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695C" w14:textId="7FF2041C" w:rsidR="00996C78" w:rsidRPr="00B81876" w:rsidRDefault="00CE11F4">
      <w:pPr>
        <w:pStyle w:val="Hode"/>
        <w:tabs>
          <w:tab w:val="right" w:pos="9809"/>
        </w:tabs>
        <w:spacing w:line="240" w:lineRule="exact"/>
        <w:rPr>
          <w:b/>
        </w:rPr>
      </w:pPr>
      <w:bookmarkStart w:id="0" w:name="_GoBack"/>
      <w:bookmarkEnd w:id="0"/>
      <w:r w:rsidRPr="00B81876">
        <w:rPr>
          <w:b/>
        </w:rPr>
        <w:t>NTNU</w:t>
      </w:r>
      <w:r w:rsidRPr="00B81876">
        <w:rPr>
          <w:b/>
        </w:rPr>
        <w:tab/>
        <w:t>S</w:t>
      </w:r>
      <w:r w:rsidR="00996C78" w:rsidRPr="00B81876">
        <w:rPr>
          <w:b/>
        </w:rPr>
        <w:t xml:space="preserve">-sak </w:t>
      </w:r>
      <w:bookmarkStart w:id="1" w:name="Ksak"/>
      <w:bookmarkEnd w:id="1"/>
      <w:r w:rsidR="00072E9B">
        <w:rPr>
          <w:b/>
        </w:rPr>
        <w:t>11</w:t>
      </w:r>
      <w:r w:rsidR="00921CAF">
        <w:rPr>
          <w:b/>
        </w:rPr>
        <w:t>/1</w:t>
      </w:r>
      <w:r w:rsidR="00DA025D">
        <w:rPr>
          <w:b/>
        </w:rPr>
        <w:t>8</w:t>
      </w:r>
    </w:p>
    <w:p w14:paraId="2870A8B8" w14:textId="77777777" w:rsidR="00996C78" w:rsidRPr="00B81876" w:rsidRDefault="00996C78">
      <w:pPr>
        <w:pStyle w:val="Hode"/>
        <w:tabs>
          <w:tab w:val="right" w:pos="9809"/>
        </w:tabs>
        <w:spacing w:line="240" w:lineRule="exact"/>
        <w:rPr>
          <w:b/>
        </w:rPr>
      </w:pPr>
      <w:r w:rsidRPr="00B81876">
        <w:rPr>
          <w:b/>
        </w:rPr>
        <w:t>Norges teknisk-naturvitenskapelige</w:t>
      </w:r>
    </w:p>
    <w:p w14:paraId="05055A76" w14:textId="77777777" w:rsidR="00996C78" w:rsidRPr="00B81876" w:rsidRDefault="00996C78">
      <w:pPr>
        <w:pStyle w:val="Hode"/>
        <w:tabs>
          <w:tab w:val="right" w:pos="9809"/>
        </w:tabs>
        <w:spacing w:line="240" w:lineRule="exact"/>
        <w:rPr>
          <w:b/>
        </w:rPr>
      </w:pPr>
      <w:r w:rsidRPr="00B81876">
        <w:rPr>
          <w:b/>
        </w:rPr>
        <w:t>universitet</w:t>
      </w:r>
    </w:p>
    <w:p w14:paraId="396C1C83" w14:textId="41AAA5EC" w:rsidR="00996C78" w:rsidRPr="00B81876" w:rsidRDefault="00A213D3">
      <w:pPr>
        <w:tabs>
          <w:tab w:val="right" w:pos="9809"/>
        </w:tabs>
      </w:pPr>
      <w:bookmarkStart w:id="2" w:name="Dato"/>
      <w:bookmarkEnd w:id="2"/>
      <w:r>
        <w:t>06</w:t>
      </w:r>
      <w:r w:rsidR="0043076C">
        <w:t>.0</w:t>
      </w:r>
      <w:r>
        <w:t>6</w:t>
      </w:r>
      <w:r w:rsidR="005C1C7C" w:rsidRPr="00B81876">
        <w:t>.201</w:t>
      </w:r>
      <w:bookmarkStart w:id="3" w:name="Init"/>
      <w:bookmarkEnd w:id="3"/>
      <w:r w:rsidR="00DA025D">
        <w:t>8</w:t>
      </w:r>
    </w:p>
    <w:p w14:paraId="038E978C" w14:textId="77777777" w:rsidR="00996C78" w:rsidRPr="00F001D3" w:rsidRDefault="00EC45FE">
      <w:pPr>
        <w:pStyle w:val="Hode"/>
        <w:tabs>
          <w:tab w:val="right" w:pos="9809"/>
        </w:tabs>
        <w:spacing w:line="240" w:lineRule="exact"/>
      </w:pPr>
      <w:r w:rsidRPr="00F001D3">
        <w:t>Saksansvarlig:  Frank Arntsen</w:t>
      </w:r>
    </w:p>
    <w:p w14:paraId="1058940E" w14:textId="77777777" w:rsidR="00996C78" w:rsidRPr="00F001D3" w:rsidRDefault="00EC45FE">
      <w:pPr>
        <w:pStyle w:val="Hode"/>
        <w:tabs>
          <w:tab w:val="right" w:pos="9809"/>
        </w:tabs>
        <w:spacing w:line="240" w:lineRule="exact"/>
      </w:pPr>
      <w:r w:rsidRPr="00F001D3">
        <w:t>Sa</w:t>
      </w:r>
      <w:r w:rsidR="006929B2">
        <w:t xml:space="preserve">ksbehandler: </w:t>
      </w:r>
      <w:r w:rsidR="00B81876">
        <w:t>Hanne Bergfjord og Marianne Dyresen</w:t>
      </w:r>
    </w:p>
    <w:p w14:paraId="3134876C" w14:textId="77777777" w:rsidR="00996C78" w:rsidRPr="00F001D3" w:rsidRDefault="00996C78">
      <w:pPr>
        <w:pStyle w:val="Hode"/>
        <w:tabs>
          <w:tab w:val="right" w:pos="9809"/>
        </w:tabs>
        <w:spacing w:line="240" w:lineRule="exact"/>
      </w:pPr>
    </w:p>
    <w:p w14:paraId="473C05C3" w14:textId="77777777" w:rsidR="00996C78" w:rsidRDefault="00996C78">
      <w:pPr>
        <w:pStyle w:val="Hode"/>
        <w:tabs>
          <w:tab w:val="right" w:pos="9809"/>
        </w:tabs>
        <w:spacing w:line="240" w:lineRule="exact"/>
      </w:pPr>
    </w:p>
    <w:p w14:paraId="64B5E746" w14:textId="77777777" w:rsidR="00996C78" w:rsidRPr="00EC45FE" w:rsidRDefault="00996C78">
      <w:pPr>
        <w:tabs>
          <w:tab w:val="right" w:pos="9809"/>
        </w:tabs>
        <w:jc w:val="center"/>
        <w:rPr>
          <w:b/>
          <w:sz w:val="26"/>
        </w:rPr>
      </w:pPr>
      <w:r w:rsidRPr="00EC45FE">
        <w:rPr>
          <w:b/>
          <w:sz w:val="26"/>
        </w:rPr>
        <w:t>N O T A T</w:t>
      </w:r>
    </w:p>
    <w:p w14:paraId="317655AD" w14:textId="77777777" w:rsidR="00996C78" w:rsidRPr="00EC45FE" w:rsidRDefault="00996C78">
      <w:pPr>
        <w:tabs>
          <w:tab w:val="right" w:pos="9809"/>
        </w:tabs>
        <w:rPr>
          <w:b/>
        </w:rPr>
      </w:pPr>
    </w:p>
    <w:p w14:paraId="23C1A13F" w14:textId="77777777" w:rsidR="0031275D" w:rsidRDefault="00996C78">
      <w:pPr>
        <w:tabs>
          <w:tab w:val="left" w:pos="567"/>
          <w:tab w:val="right" w:pos="9809"/>
        </w:tabs>
      </w:pPr>
      <w:r>
        <w:t>Til:</w:t>
      </w:r>
      <w:r>
        <w:tab/>
      </w:r>
      <w:r w:rsidR="004E7864">
        <w:t>Styret</w:t>
      </w:r>
      <w:r w:rsidR="00BD0AF3">
        <w:tab/>
      </w:r>
    </w:p>
    <w:p w14:paraId="5653A7BB" w14:textId="77777777" w:rsidR="00996C78" w:rsidRDefault="00996C78">
      <w:pPr>
        <w:tabs>
          <w:tab w:val="left" w:pos="567"/>
          <w:tab w:val="right" w:pos="9809"/>
        </w:tabs>
      </w:pPr>
      <w:r>
        <w:t>Fra:</w:t>
      </w:r>
      <w:r>
        <w:tab/>
      </w:r>
      <w:r w:rsidR="00FC4EEF">
        <w:t>Rektor</w:t>
      </w:r>
    </w:p>
    <w:p w14:paraId="62569376" w14:textId="77777777" w:rsidR="00996C78" w:rsidRDefault="00996C78">
      <w:pPr>
        <w:tabs>
          <w:tab w:val="left" w:pos="567"/>
          <w:tab w:val="right" w:pos="9809"/>
        </w:tabs>
        <w:ind w:left="567" w:hanging="567"/>
        <w:rPr>
          <w:b/>
        </w:rPr>
      </w:pPr>
      <w:r>
        <w:rPr>
          <w:b/>
        </w:rPr>
        <w:t>Om:</w:t>
      </w:r>
      <w:r>
        <w:rPr>
          <w:b/>
        </w:rPr>
        <w:tab/>
      </w:r>
      <w:bookmarkStart w:id="4" w:name="Om"/>
      <w:bookmarkEnd w:id="4"/>
      <w:r w:rsidR="00CE11F4">
        <w:rPr>
          <w:b/>
        </w:rPr>
        <w:t>Vi</w:t>
      </w:r>
      <w:r w:rsidR="00BD0AF3">
        <w:rPr>
          <w:b/>
        </w:rPr>
        <w:t>rksomhetsrapport 1. tertial 201</w:t>
      </w:r>
      <w:r w:rsidR="00DA025D">
        <w:rPr>
          <w:b/>
        </w:rPr>
        <w:t>8</w:t>
      </w:r>
    </w:p>
    <w:p w14:paraId="2E64109A" w14:textId="77777777" w:rsidR="00996C78" w:rsidRDefault="00996C78">
      <w:pPr>
        <w:tabs>
          <w:tab w:val="left" w:pos="567"/>
          <w:tab w:val="right" w:pos="9809"/>
        </w:tabs>
      </w:pPr>
    </w:p>
    <w:p w14:paraId="4FDDABA7" w14:textId="77777777" w:rsidR="00996C78" w:rsidRPr="00E32E72" w:rsidRDefault="00996C78" w:rsidP="00515589">
      <w:pPr>
        <w:pBdr>
          <w:top w:val="single" w:sz="6" w:space="1" w:color="auto"/>
        </w:pBdr>
        <w:rPr>
          <w:sz w:val="23"/>
          <w:szCs w:val="23"/>
        </w:rPr>
      </w:pPr>
    </w:p>
    <w:p w14:paraId="0772DB27" w14:textId="77777777" w:rsidR="009F1E3B" w:rsidRPr="00E32E72" w:rsidRDefault="009F1E3B" w:rsidP="00515589">
      <w:pPr>
        <w:pStyle w:val="Heading1"/>
        <w:spacing w:before="0" w:after="0"/>
        <w:rPr>
          <w:sz w:val="23"/>
          <w:szCs w:val="23"/>
        </w:rPr>
      </w:pPr>
      <w:bookmarkStart w:id="5" w:name="Start"/>
      <w:bookmarkEnd w:id="5"/>
      <w:r w:rsidRPr="00E32E72">
        <w:rPr>
          <w:sz w:val="23"/>
          <w:szCs w:val="23"/>
        </w:rPr>
        <w:t>Tilrådning</w:t>
      </w:r>
    </w:p>
    <w:p w14:paraId="5C4E2774" w14:textId="77777777" w:rsidR="009F1E3B" w:rsidRPr="00E32E72" w:rsidRDefault="009F1E3B" w:rsidP="00515589">
      <w:pPr>
        <w:rPr>
          <w:sz w:val="23"/>
          <w:szCs w:val="23"/>
        </w:rPr>
      </w:pPr>
      <w:r w:rsidRPr="00E32E72">
        <w:rPr>
          <w:sz w:val="23"/>
          <w:szCs w:val="23"/>
        </w:rPr>
        <w:t>Styret tar virksomhetsrapporteringen for 1. tertial 2018 til etterretning.</w:t>
      </w:r>
    </w:p>
    <w:p w14:paraId="3D4C8780" w14:textId="32179A19" w:rsidR="00200D1F" w:rsidRDefault="00200D1F" w:rsidP="00515589">
      <w:pPr>
        <w:rPr>
          <w:color w:val="FF0000"/>
          <w:sz w:val="23"/>
          <w:szCs w:val="23"/>
        </w:rPr>
      </w:pPr>
    </w:p>
    <w:p w14:paraId="3BF704BB" w14:textId="77777777" w:rsidR="00CE11F4" w:rsidRPr="00E32E72" w:rsidRDefault="00F7100A" w:rsidP="00515589">
      <w:pPr>
        <w:pStyle w:val="Heading1"/>
        <w:spacing w:before="0" w:after="0"/>
        <w:rPr>
          <w:sz w:val="23"/>
          <w:szCs w:val="23"/>
        </w:rPr>
      </w:pPr>
      <w:r w:rsidRPr="00E32E72">
        <w:rPr>
          <w:sz w:val="23"/>
          <w:szCs w:val="23"/>
        </w:rPr>
        <w:t>Formål</w:t>
      </w:r>
    </w:p>
    <w:p w14:paraId="0E7D3B80" w14:textId="77777777" w:rsidR="00DF1A98" w:rsidRPr="00E32E72" w:rsidRDefault="00F7100A" w:rsidP="00515589">
      <w:pPr>
        <w:rPr>
          <w:sz w:val="23"/>
          <w:szCs w:val="23"/>
        </w:rPr>
      </w:pPr>
      <w:r w:rsidRPr="00E32E72">
        <w:rPr>
          <w:sz w:val="23"/>
          <w:szCs w:val="23"/>
        </w:rPr>
        <w:t>Formålet med saken er å gi s</w:t>
      </w:r>
      <w:r w:rsidR="006F1273" w:rsidRPr="00E32E72">
        <w:rPr>
          <w:sz w:val="23"/>
          <w:szCs w:val="23"/>
        </w:rPr>
        <w:t xml:space="preserve">tyret en orientering om status </w:t>
      </w:r>
      <w:r w:rsidR="00DF1A98" w:rsidRPr="00E32E72">
        <w:rPr>
          <w:sz w:val="23"/>
          <w:szCs w:val="23"/>
        </w:rPr>
        <w:t xml:space="preserve">innenfor følgende områder: </w:t>
      </w:r>
    </w:p>
    <w:p w14:paraId="75604E80" w14:textId="3C4C5F25" w:rsidR="002C4463" w:rsidRPr="00E32E72" w:rsidRDefault="00DF1A98" w:rsidP="00515589">
      <w:pPr>
        <w:pStyle w:val="ListParagraph"/>
        <w:numPr>
          <w:ilvl w:val="0"/>
          <w:numId w:val="6"/>
        </w:numPr>
        <w:rPr>
          <w:sz w:val="23"/>
          <w:szCs w:val="23"/>
        </w:rPr>
      </w:pPr>
      <w:r w:rsidRPr="00E32E72">
        <w:rPr>
          <w:sz w:val="23"/>
          <w:szCs w:val="23"/>
        </w:rPr>
        <w:t>G</w:t>
      </w:r>
      <w:r w:rsidR="00F7100A" w:rsidRPr="00E32E72">
        <w:rPr>
          <w:sz w:val="23"/>
          <w:szCs w:val="23"/>
        </w:rPr>
        <w:t xml:space="preserve">jennomføringen av </w:t>
      </w:r>
      <w:r w:rsidR="002C4463" w:rsidRPr="00E32E72">
        <w:rPr>
          <w:sz w:val="23"/>
          <w:szCs w:val="23"/>
        </w:rPr>
        <w:t xml:space="preserve">NTNUs </w:t>
      </w:r>
      <w:r w:rsidR="00573661">
        <w:rPr>
          <w:sz w:val="23"/>
          <w:szCs w:val="23"/>
        </w:rPr>
        <w:t>årsplan</w:t>
      </w:r>
      <w:r w:rsidR="00BD0AF3" w:rsidRPr="00E32E72">
        <w:rPr>
          <w:sz w:val="23"/>
          <w:szCs w:val="23"/>
        </w:rPr>
        <w:t xml:space="preserve"> </w:t>
      </w:r>
      <w:r w:rsidR="002C4463" w:rsidRPr="00E32E72">
        <w:rPr>
          <w:sz w:val="23"/>
          <w:szCs w:val="23"/>
        </w:rPr>
        <w:t>for 201</w:t>
      </w:r>
      <w:r w:rsidR="00F53CDA" w:rsidRPr="00E32E72">
        <w:rPr>
          <w:sz w:val="23"/>
          <w:szCs w:val="23"/>
        </w:rPr>
        <w:t>8</w:t>
      </w:r>
      <w:r w:rsidR="00573661">
        <w:rPr>
          <w:sz w:val="23"/>
          <w:szCs w:val="23"/>
        </w:rPr>
        <w:t>,</w:t>
      </w:r>
      <w:r w:rsidR="00F53CDA" w:rsidRPr="00E32E72">
        <w:rPr>
          <w:sz w:val="23"/>
          <w:szCs w:val="23"/>
        </w:rPr>
        <w:t xml:space="preserve"> </w:t>
      </w:r>
      <w:r w:rsidR="00B81B51" w:rsidRPr="00E32E72">
        <w:rPr>
          <w:sz w:val="23"/>
          <w:szCs w:val="23"/>
        </w:rPr>
        <w:t xml:space="preserve">samt annen </w:t>
      </w:r>
      <w:r w:rsidR="00573661">
        <w:rPr>
          <w:sz w:val="23"/>
          <w:szCs w:val="23"/>
        </w:rPr>
        <w:t>aktuell</w:t>
      </w:r>
      <w:r w:rsidR="00985FCE" w:rsidRPr="00E32E72">
        <w:rPr>
          <w:sz w:val="23"/>
          <w:szCs w:val="23"/>
        </w:rPr>
        <w:t xml:space="preserve"> virk</w:t>
      </w:r>
      <w:r w:rsidR="00421489" w:rsidRPr="00E32E72">
        <w:rPr>
          <w:sz w:val="23"/>
          <w:szCs w:val="23"/>
        </w:rPr>
        <w:t>somhets</w:t>
      </w:r>
      <w:r w:rsidR="00B81B51" w:rsidRPr="00E32E72">
        <w:rPr>
          <w:sz w:val="23"/>
          <w:szCs w:val="23"/>
        </w:rPr>
        <w:t>info</w:t>
      </w:r>
      <w:r w:rsidR="00985FCE" w:rsidRPr="00E32E72">
        <w:rPr>
          <w:sz w:val="23"/>
          <w:szCs w:val="23"/>
        </w:rPr>
        <w:t>r</w:t>
      </w:r>
      <w:r w:rsidR="00B81B51" w:rsidRPr="00E32E72">
        <w:rPr>
          <w:sz w:val="23"/>
          <w:szCs w:val="23"/>
        </w:rPr>
        <w:t>masjon</w:t>
      </w:r>
      <w:r w:rsidR="00F53CDA" w:rsidRPr="00E32E72">
        <w:rPr>
          <w:sz w:val="23"/>
          <w:szCs w:val="23"/>
        </w:rPr>
        <w:t>.</w:t>
      </w:r>
      <w:r w:rsidR="00B81B51" w:rsidRPr="00E32E72">
        <w:rPr>
          <w:sz w:val="23"/>
          <w:szCs w:val="23"/>
        </w:rPr>
        <w:t xml:space="preserve"> </w:t>
      </w:r>
    </w:p>
    <w:p w14:paraId="0AB07CC3" w14:textId="60E89241" w:rsidR="002C4463" w:rsidRPr="00E32E72" w:rsidRDefault="002C4463" w:rsidP="00515589">
      <w:pPr>
        <w:pStyle w:val="ListParagraph"/>
        <w:numPr>
          <w:ilvl w:val="0"/>
          <w:numId w:val="6"/>
        </w:numPr>
        <w:rPr>
          <w:sz w:val="23"/>
          <w:szCs w:val="23"/>
        </w:rPr>
      </w:pPr>
      <w:r w:rsidRPr="00E32E72">
        <w:rPr>
          <w:sz w:val="23"/>
          <w:szCs w:val="23"/>
        </w:rPr>
        <w:t xml:space="preserve">Økonomisk status </w:t>
      </w:r>
      <w:r w:rsidR="00212424" w:rsidRPr="00E32E72">
        <w:rPr>
          <w:sz w:val="23"/>
          <w:szCs w:val="23"/>
        </w:rPr>
        <w:t>pr 1.tertial og prognose for årsresultat</w:t>
      </w:r>
      <w:r w:rsidR="00BD0AF3" w:rsidRPr="00E32E72">
        <w:rPr>
          <w:sz w:val="23"/>
          <w:szCs w:val="23"/>
        </w:rPr>
        <w:t xml:space="preserve"> 201</w:t>
      </w:r>
      <w:r w:rsidR="00B81B51" w:rsidRPr="00E32E72">
        <w:rPr>
          <w:sz w:val="23"/>
          <w:szCs w:val="23"/>
        </w:rPr>
        <w:t>8</w:t>
      </w:r>
      <w:r w:rsidR="00174169" w:rsidRPr="00E32E72">
        <w:rPr>
          <w:sz w:val="23"/>
          <w:szCs w:val="23"/>
        </w:rPr>
        <w:t xml:space="preserve">, </w:t>
      </w:r>
      <w:r w:rsidR="00421489" w:rsidRPr="00E32E72">
        <w:rPr>
          <w:sz w:val="23"/>
          <w:szCs w:val="23"/>
        </w:rPr>
        <w:t>inkl BOA-aktiviteten</w:t>
      </w:r>
      <w:r w:rsidR="00573661">
        <w:rPr>
          <w:sz w:val="23"/>
          <w:szCs w:val="23"/>
        </w:rPr>
        <w:t>.</w:t>
      </w:r>
    </w:p>
    <w:p w14:paraId="698CA9A9" w14:textId="712E45CC" w:rsidR="00904BBC" w:rsidRDefault="00904BBC" w:rsidP="00515589">
      <w:pPr>
        <w:rPr>
          <w:sz w:val="23"/>
          <w:szCs w:val="23"/>
        </w:rPr>
      </w:pPr>
    </w:p>
    <w:p w14:paraId="5455A783" w14:textId="642002F0" w:rsidR="00CE11F4" w:rsidRPr="00E32E72" w:rsidRDefault="00F371FA" w:rsidP="00515589">
      <w:pPr>
        <w:pStyle w:val="Heading1"/>
        <w:spacing w:before="0" w:after="0"/>
        <w:rPr>
          <w:b w:val="0"/>
          <w:sz w:val="23"/>
          <w:szCs w:val="23"/>
          <w:u w:val="none"/>
        </w:rPr>
      </w:pPr>
      <w:r w:rsidRPr="00E32E72">
        <w:rPr>
          <w:sz w:val="23"/>
          <w:szCs w:val="23"/>
        </w:rPr>
        <w:t xml:space="preserve">Oppsummering: </w:t>
      </w:r>
    </w:p>
    <w:p w14:paraId="750834BD" w14:textId="77777777" w:rsidR="00F371FA" w:rsidRPr="00E32E72" w:rsidRDefault="00F371FA" w:rsidP="00515589">
      <w:pPr>
        <w:rPr>
          <w:sz w:val="23"/>
          <w:szCs w:val="23"/>
        </w:rPr>
      </w:pPr>
    </w:p>
    <w:p w14:paraId="3D01C874" w14:textId="77777777" w:rsidR="00E31782" w:rsidRDefault="00C63181" w:rsidP="00515589">
      <w:pPr>
        <w:pStyle w:val="ListParagraph"/>
        <w:numPr>
          <w:ilvl w:val="0"/>
          <w:numId w:val="20"/>
        </w:numPr>
        <w:rPr>
          <w:sz w:val="23"/>
          <w:szCs w:val="23"/>
        </w:rPr>
      </w:pPr>
      <w:r w:rsidRPr="00E32E72">
        <w:rPr>
          <w:b/>
          <w:sz w:val="23"/>
          <w:szCs w:val="23"/>
        </w:rPr>
        <w:t xml:space="preserve">Status på gjennomføring av </w:t>
      </w:r>
      <w:r w:rsidR="00DA025D" w:rsidRPr="00E32E72">
        <w:rPr>
          <w:b/>
          <w:sz w:val="23"/>
          <w:szCs w:val="23"/>
        </w:rPr>
        <w:t>årsplan</w:t>
      </w:r>
      <w:r w:rsidR="009F7C49" w:rsidRPr="00E32E72">
        <w:rPr>
          <w:b/>
          <w:sz w:val="23"/>
          <w:szCs w:val="23"/>
        </w:rPr>
        <w:br/>
      </w:r>
      <w:r w:rsidR="00C4462F" w:rsidRPr="00E32E72">
        <w:rPr>
          <w:sz w:val="23"/>
          <w:szCs w:val="23"/>
        </w:rPr>
        <w:t>Det overordnede bildet at</w:t>
      </w:r>
      <w:r w:rsidR="003668B1" w:rsidRPr="00E32E72">
        <w:rPr>
          <w:sz w:val="23"/>
          <w:szCs w:val="23"/>
        </w:rPr>
        <w:t xml:space="preserve"> det arbeides </w:t>
      </w:r>
      <w:r w:rsidR="00402035" w:rsidRPr="00E32E72">
        <w:rPr>
          <w:sz w:val="23"/>
          <w:szCs w:val="23"/>
        </w:rPr>
        <w:t xml:space="preserve">systematisk </w:t>
      </w:r>
      <w:r w:rsidR="00402035">
        <w:rPr>
          <w:sz w:val="23"/>
          <w:szCs w:val="23"/>
        </w:rPr>
        <w:t xml:space="preserve">og </w:t>
      </w:r>
      <w:r w:rsidR="003668B1" w:rsidRPr="00E32E72">
        <w:rPr>
          <w:sz w:val="23"/>
          <w:szCs w:val="23"/>
        </w:rPr>
        <w:t xml:space="preserve">godt med virksomhetsmålene for 2018. </w:t>
      </w:r>
      <w:r w:rsidR="00C4462F" w:rsidRPr="00E32E72">
        <w:rPr>
          <w:sz w:val="23"/>
          <w:szCs w:val="23"/>
        </w:rPr>
        <w:t>Det er ikke identifisert vesentlige forsinkelser eller behov for omprioriteringer.</w:t>
      </w:r>
      <w:r w:rsidR="003668B1" w:rsidRPr="00E32E72">
        <w:rPr>
          <w:sz w:val="23"/>
          <w:szCs w:val="23"/>
        </w:rPr>
        <w:t xml:space="preserve"> </w:t>
      </w:r>
    </w:p>
    <w:p w14:paraId="38DDA224" w14:textId="70EB017D" w:rsidR="003668B1" w:rsidRPr="00E31782" w:rsidRDefault="003668B1" w:rsidP="00E31782">
      <w:pPr>
        <w:ind w:left="360"/>
        <w:rPr>
          <w:sz w:val="23"/>
          <w:szCs w:val="23"/>
        </w:rPr>
      </w:pPr>
      <w:r w:rsidRPr="00E31782">
        <w:rPr>
          <w:sz w:val="23"/>
          <w:szCs w:val="23"/>
        </w:rPr>
        <w:t>Fem av virksomhetsmålene inngår i utviklingsavtalen med KD</w:t>
      </w:r>
      <w:r w:rsidR="00573661" w:rsidRPr="00E31782">
        <w:rPr>
          <w:sz w:val="23"/>
          <w:szCs w:val="23"/>
        </w:rPr>
        <w:t>. Felles for de fem målene er alle er viktige for å realisere gevinstene av fusjonen, de innebærer aktiviteter som er vesentlige i arbeidet med faglig integrasjon</w:t>
      </w:r>
      <w:r w:rsidR="00515589" w:rsidRPr="00E31782">
        <w:rPr>
          <w:sz w:val="23"/>
          <w:szCs w:val="23"/>
        </w:rPr>
        <w:t xml:space="preserve"> og de bidrar til å </w:t>
      </w:r>
      <w:r w:rsidR="001B78AC">
        <w:rPr>
          <w:sz w:val="23"/>
          <w:szCs w:val="23"/>
        </w:rPr>
        <w:t xml:space="preserve">styrke og </w:t>
      </w:r>
      <w:r w:rsidR="00515589" w:rsidRPr="00E31782">
        <w:rPr>
          <w:sz w:val="23"/>
          <w:szCs w:val="23"/>
        </w:rPr>
        <w:t>tydeliggjøre NTNUs profil og posisjon i sektoren</w:t>
      </w:r>
      <w:r w:rsidRPr="00E31782">
        <w:rPr>
          <w:sz w:val="23"/>
          <w:szCs w:val="23"/>
        </w:rPr>
        <w:t>. Status</w:t>
      </w:r>
      <w:r w:rsidR="00E31782">
        <w:rPr>
          <w:sz w:val="23"/>
          <w:szCs w:val="23"/>
        </w:rPr>
        <w:t>-</w:t>
      </w:r>
      <w:r w:rsidRPr="00E31782">
        <w:rPr>
          <w:sz w:val="23"/>
          <w:szCs w:val="23"/>
        </w:rPr>
        <w:t xml:space="preserve">gjennomgangen viser at vi i hovedsak vil levere </w:t>
      </w:r>
      <w:r w:rsidR="008B4532">
        <w:rPr>
          <w:sz w:val="23"/>
          <w:szCs w:val="23"/>
        </w:rPr>
        <w:t>i henhold til avtalen</w:t>
      </w:r>
      <w:r w:rsidRPr="00E31782">
        <w:rPr>
          <w:sz w:val="23"/>
          <w:szCs w:val="23"/>
        </w:rPr>
        <w:t xml:space="preserve"> innen utgangen av 2019. Unntaket er noe forsinkelse i samordning av studieporteføljen </w:t>
      </w:r>
      <w:r w:rsidR="0040548E">
        <w:rPr>
          <w:sz w:val="23"/>
          <w:szCs w:val="23"/>
        </w:rPr>
        <w:t>fordi</w:t>
      </w:r>
      <w:r w:rsidRPr="00E31782">
        <w:rPr>
          <w:sz w:val="23"/>
          <w:szCs w:val="23"/>
        </w:rPr>
        <w:t xml:space="preserve"> vi avventer endringer i rammeplaner for å unngå å måtte gjøre </w:t>
      </w:r>
      <w:r w:rsidR="0040548E">
        <w:rPr>
          <w:sz w:val="23"/>
          <w:szCs w:val="23"/>
        </w:rPr>
        <w:t xml:space="preserve">store </w:t>
      </w:r>
      <w:r w:rsidRPr="00E31782">
        <w:rPr>
          <w:sz w:val="23"/>
          <w:szCs w:val="23"/>
        </w:rPr>
        <w:t>endringer flere ganger</w:t>
      </w:r>
      <w:r w:rsidR="0040548E">
        <w:rPr>
          <w:sz w:val="23"/>
          <w:szCs w:val="23"/>
        </w:rPr>
        <w:t xml:space="preserve"> på kort tid</w:t>
      </w:r>
      <w:r w:rsidRPr="00E31782">
        <w:rPr>
          <w:sz w:val="23"/>
          <w:szCs w:val="23"/>
        </w:rPr>
        <w:t>.</w:t>
      </w:r>
      <w:r w:rsidR="008B4532">
        <w:rPr>
          <w:sz w:val="23"/>
          <w:szCs w:val="23"/>
        </w:rPr>
        <w:t xml:space="preserve"> Vi ser også behov for å vurdere utviklingen innen publisering nærmere, men det er for tidlig å konkludere om utviklingen får konsekvenser for måloppnåelse i utviklingsavtalen.</w:t>
      </w:r>
    </w:p>
    <w:p w14:paraId="287909E0" w14:textId="77777777" w:rsidR="00C4462F" w:rsidRPr="00E32E72" w:rsidRDefault="00C4462F" w:rsidP="00515589">
      <w:pPr>
        <w:pStyle w:val="ListParagraph"/>
        <w:ind w:left="360"/>
        <w:rPr>
          <w:sz w:val="23"/>
          <w:szCs w:val="23"/>
        </w:rPr>
      </w:pPr>
    </w:p>
    <w:p w14:paraId="2CC12C03" w14:textId="77777777" w:rsidR="003668B1" w:rsidRPr="00E32E72" w:rsidRDefault="003668B1" w:rsidP="00515589">
      <w:pPr>
        <w:pStyle w:val="ListParagraph"/>
        <w:numPr>
          <w:ilvl w:val="0"/>
          <w:numId w:val="20"/>
        </w:numPr>
        <w:rPr>
          <w:b/>
          <w:sz w:val="23"/>
          <w:szCs w:val="23"/>
        </w:rPr>
      </w:pPr>
      <w:r w:rsidRPr="00E32E72">
        <w:rPr>
          <w:b/>
          <w:sz w:val="23"/>
          <w:szCs w:val="23"/>
        </w:rPr>
        <w:t>Aktuell informasjon og styringsdata</w:t>
      </w:r>
    </w:p>
    <w:p w14:paraId="68A024BF" w14:textId="49D9F7B6" w:rsidR="007859FE" w:rsidRPr="00E32E72" w:rsidRDefault="003668B1" w:rsidP="00515589">
      <w:pPr>
        <w:ind w:left="360"/>
        <w:rPr>
          <w:sz w:val="23"/>
          <w:szCs w:val="23"/>
        </w:rPr>
      </w:pPr>
      <w:r w:rsidRPr="00E32E72">
        <w:rPr>
          <w:sz w:val="23"/>
          <w:szCs w:val="23"/>
        </w:rPr>
        <w:t xml:space="preserve">Kapitlet inneholder diverse informasjon </w:t>
      </w:r>
      <w:r w:rsidR="00E32E72">
        <w:rPr>
          <w:sz w:val="23"/>
          <w:szCs w:val="23"/>
        </w:rPr>
        <w:t>s</w:t>
      </w:r>
      <w:r w:rsidRPr="00E32E72">
        <w:rPr>
          <w:sz w:val="23"/>
          <w:szCs w:val="23"/>
        </w:rPr>
        <w:t xml:space="preserve">om </w:t>
      </w:r>
      <w:r w:rsidR="00E32E72">
        <w:rPr>
          <w:sz w:val="23"/>
          <w:szCs w:val="23"/>
        </w:rPr>
        <w:t>e</w:t>
      </w:r>
      <w:r w:rsidRPr="00E32E72">
        <w:rPr>
          <w:sz w:val="23"/>
          <w:szCs w:val="23"/>
        </w:rPr>
        <w:t>r aktuel</w:t>
      </w:r>
      <w:r w:rsidR="00E32E72">
        <w:rPr>
          <w:sz w:val="23"/>
          <w:szCs w:val="23"/>
        </w:rPr>
        <w:t>l</w:t>
      </w:r>
      <w:r w:rsidRPr="00E32E72">
        <w:rPr>
          <w:sz w:val="23"/>
          <w:szCs w:val="23"/>
        </w:rPr>
        <w:t xml:space="preserve"> akkurat nå.</w:t>
      </w:r>
      <w:r w:rsidR="00E32E72" w:rsidRPr="00E32E72">
        <w:rPr>
          <w:sz w:val="23"/>
          <w:szCs w:val="23"/>
        </w:rPr>
        <w:t xml:space="preserve"> Kapitlet er nytt i virksomhets</w:t>
      </w:r>
      <w:r w:rsidR="00E32E72">
        <w:rPr>
          <w:sz w:val="23"/>
          <w:szCs w:val="23"/>
        </w:rPr>
        <w:t>-</w:t>
      </w:r>
      <w:r w:rsidR="00E32E72" w:rsidRPr="00E32E72">
        <w:rPr>
          <w:sz w:val="23"/>
          <w:szCs w:val="23"/>
        </w:rPr>
        <w:t xml:space="preserve">rapporten, og er et svar på at styret har etterlyst en bredere rapportering tertialvis. </w:t>
      </w:r>
      <w:r w:rsidR="007859FE" w:rsidRPr="00E32E72">
        <w:rPr>
          <w:sz w:val="23"/>
          <w:szCs w:val="23"/>
        </w:rPr>
        <w:t>For 2018 vedtok vi å benytte KDs styringsparametere som indikatorer på resultatutvikling. Etter at årsrapporten ble fremlagt har vi fått endelige tall for publisering i 2017, og søkertallene i 2018 er nå klare.</w:t>
      </w:r>
    </w:p>
    <w:p w14:paraId="3F360C48" w14:textId="77777777" w:rsidR="00421489" w:rsidRPr="00E32E72" w:rsidRDefault="00421489" w:rsidP="00515589">
      <w:pPr>
        <w:pStyle w:val="ListParagraph"/>
        <w:ind w:left="360"/>
        <w:rPr>
          <w:b/>
          <w:sz w:val="23"/>
          <w:szCs w:val="23"/>
        </w:rPr>
      </w:pPr>
    </w:p>
    <w:p w14:paraId="158F8DA7" w14:textId="0E673CD4" w:rsidR="00E92B99" w:rsidRPr="00E32E72" w:rsidRDefault="00F042A4" w:rsidP="00515589">
      <w:pPr>
        <w:pStyle w:val="ListParagraph"/>
        <w:numPr>
          <w:ilvl w:val="0"/>
          <w:numId w:val="20"/>
        </w:numPr>
        <w:rPr>
          <w:sz w:val="23"/>
          <w:szCs w:val="23"/>
        </w:rPr>
      </w:pPr>
      <w:r w:rsidRPr="00E32E72">
        <w:rPr>
          <w:b/>
          <w:sz w:val="23"/>
          <w:szCs w:val="23"/>
        </w:rPr>
        <w:t>Status økonomi og prognose pr</w:t>
      </w:r>
      <w:r w:rsidR="009F7C49" w:rsidRPr="00E32E72">
        <w:rPr>
          <w:b/>
          <w:sz w:val="23"/>
          <w:szCs w:val="23"/>
        </w:rPr>
        <w:t xml:space="preserve"> 1. tertial – bevilgningsøkonomien</w:t>
      </w:r>
      <w:r w:rsidR="00421489" w:rsidRPr="00E32E72">
        <w:rPr>
          <w:b/>
          <w:color w:val="FF0000"/>
          <w:sz w:val="23"/>
          <w:szCs w:val="23"/>
        </w:rPr>
        <w:t xml:space="preserve"> </w:t>
      </w:r>
      <w:r w:rsidR="009F7C49" w:rsidRPr="00E32E72">
        <w:rPr>
          <w:b/>
          <w:color w:val="FF0000"/>
          <w:sz w:val="23"/>
          <w:szCs w:val="23"/>
        </w:rPr>
        <w:br/>
      </w:r>
      <w:r w:rsidR="00DA4EF8" w:rsidRPr="00E32E72">
        <w:rPr>
          <w:sz w:val="23"/>
          <w:szCs w:val="23"/>
        </w:rPr>
        <w:t xml:space="preserve">NTNU har totalt sett et </w:t>
      </w:r>
      <w:r w:rsidR="002011EC" w:rsidRPr="00E32E72">
        <w:rPr>
          <w:sz w:val="23"/>
          <w:szCs w:val="23"/>
        </w:rPr>
        <w:t xml:space="preserve">mindreforbruk </w:t>
      </w:r>
      <w:r w:rsidR="00DF1A98" w:rsidRPr="00E32E72">
        <w:rPr>
          <w:sz w:val="23"/>
          <w:szCs w:val="23"/>
        </w:rPr>
        <w:t>ift</w:t>
      </w:r>
      <w:r w:rsidR="00DD5521">
        <w:rPr>
          <w:sz w:val="23"/>
          <w:szCs w:val="23"/>
        </w:rPr>
        <w:t>.</w:t>
      </w:r>
      <w:r w:rsidR="00DF1A98" w:rsidRPr="00E32E72">
        <w:rPr>
          <w:sz w:val="23"/>
          <w:szCs w:val="23"/>
        </w:rPr>
        <w:t xml:space="preserve"> budsjett </w:t>
      </w:r>
      <w:r w:rsidR="00DA4EF8" w:rsidRPr="00E32E72">
        <w:rPr>
          <w:sz w:val="23"/>
          <w:szCs w:val="23"/>
        </w:rPr>
        <w:t xml:space="preserve">på </w:t>
      </w:r>
      <w:r w:rsidR="00C4462F" w:rsidRPr="00E32E72">
        <w:rPr>
          <w:sz w:val="23"/>
          <w:szCs w:val="23"/>
        </w:rPr>
        <w:t>129</w:t>
      </w:r>
      <w:r w:rsidR="00DA4EF8" w:rsidRPr="00E32E72">
        <w:rPr>
          <w:sz w:val="23"/>
          <w:szCs w:val="23"/>
        </w:rPr>
        <w:t xml:space="preserve"> mill.kr</w:t>
      </w:r>
      <w:r w:rsidR="002011EC" w:rsidRPr="00E32E72">
        <w:rPr>
          <w:sz w:val="23"/>
          <w:szCs w:val="23"/>
        </w:rPr>
        <w:t xml:space="preserve">. </w:t>
      </w:r>
      <w:r w:rsidR="00DA4EF8" w:rsidRPr="00E32E72">
        <w:rPr>
          <w:sz w:val="23"/>
          <w:szCs w:val="23"/>
        </w:rPr>
        <w:t xml:space="preserve">ved utgangen av 1.tertial. </w:t>
      </w:r>
      <w:r w:rsidR="00421489" w:rsidRPr="00E32E72">
        <w:rPr>
          <w:sz w:val="23"/>
          <w:szCs w:val="23"/>
        </w:rPr>
        <w:t>Dette forklares delvis av forsinket og utsatt aktivitet knyttet til bl.a</w:t>
      </w:r>
      <w:r w:rsidR="00DD5521">
        <w:rPr>
          <w:sz w:val="23"/>
          <w:szCs w:val="23"/>
        </w:rPr>
        <w:t>.</w:t>
      </w:r>
      <w:r w:rsidR="00421489" w:rsidRPr="00E32E72">
        <w:rPr>
          <w:sz w:val="23"/>
          <w:szCs w:val="23"/>
        </w:rPr>
        <w:t xml:space="preserve"> ansettelser og investeringer, men også at inntektsnivået har blitt høyere enn forventet, både i form av </w:t>
      </w:r>
      <w:r w:rsidR="00402035">
        <w:rPr>
          <w:sz w:val="23"/>
          <w:szCs w:val="23"/>
        </w:rPr>
        <w:t>større</w:t>
      </w:r>
      <w:r w:rsidR="00421489" w:rsidRPr="00E32E72">
        <w:rPr>
          <w:sz w:val="23"/>
          <w:szCs w:val="23"/>
        </w:rPr>
        <w:t xml:space="preserve"> bevilgninger enn antatt og mer inntekter fra BOA-virksomheten. Deler av budsjettavviket så langt skyldes også periodiseringseffekter i budsjett og/eller regnskap som vil utlignes i løpet av årets totale budsjett. </w:t>
      </w:r>
      <w:r w:rsidR="00DF1A98" w:rsidRPr="00E32E72">
        <w:rPr>
          <w:sz w:val="23"/>
          <w:szCs w:val="23"/>
        </w:rPr>
        <w:t>Budsjettet for 201</w:t>
      </w:r>
      <w:r w:rsidR="00421489" w:rsidRPr="00E32E72">
        <w:rPr>
          <w:sz w:val="23"/>
          <w:szCs w:val="23"/>
        </w:rPr>
        <w:t>8</w:t>
      </w:r>
      <w:r w:rsidR="00DF1A98" w:rsidRPr="00E32E72">
        <w:rPr>
          <w:sz w:val="23"/>
          <w:szCs w:val="23"/>
        </w:rPr>
        <w:t xml:space="preserve"> tilsier et negativt resultat (nedbygging av ubrukte bevilgninger) på </w:t>
      </w:r>
      <w:r w:rsidR="00421489" w:rsidRPr="00E32E72">
        <w:rPr>
          <w:sz w:val="23"/>
          <w:szCs w:val="23"/>
        </w:rPr>
        <w:t>310</w:t>
      </w:r>
      <w:r w:rsidR="00DF1A98" w:rsidRPr="00E32E72">
        <w:rPr>
          <w:sz w:val="23"/>
          <w:szCs w:val="23"/>
        </w:rPr>
        <w:t xml:space="preserve"> mil.kr. </w:t>
      </w:r>
      <w:r w:rsidR="002011EC" w:rsidRPr="00E32E72">
        <w:rPr>
          <w:sz w:val="23"/>
          <w:szCs w:val="23"/>
        </w:rPr>
        <w:t xml:space="preserve">Prognosen </w:t>
      </w:r>
      <w:r w:rsidR="00D97C8C" w:rsidRPr="00E32E72">
        <w:rPr>
          <w:sz w:val="23"/>
          <w:szCs w:val="23"/>
        </w:rPr>
        <w:t>for 201</w:t>
      </w:r>
      <w:r w:rsidR="00421489" w:rsidRPr="00E32E72">
        <w:rPr>
          <w:sz w:val="23"/>
          <w:szCs w:val="23"/>
        </w:rPr>
        <w:t>8</w:t>
      </w:r>
      <w:r w:rsidR="00D97C8C" w:rsidRPr="00E32E72">
        <w:rPr>
          <w:sz w:val="23"/>
          <w:szCs w:val="23"/>
        </w:rPr>
        <w:t xml:space="preserve"> tilsier et</w:t>
      </w:r>
      <w:r w:rsidR="002011EC" w:rsidRPr="00E32E72">
        <w:rPr>
          <w:sz w:val="23"/>
          <w:szCs w:val="23"/>
        </w:rPr>
        <w:t xml:space="preserve"> </w:t>
      </w:r>
      <w:r w:rsidR="00271686" w:rsidRPr="00E32E72">
        <w:rPr>
          <w:sz w:val="23"/>
          <w:szCs w:val="23"/>
        </w:rPr>
        <w:t xml:space="preserve">årsresultat </w:t>
      </w:r>
      <w:r w:rsidR="00E325C3" w:rsidRPr="00E32E72">
        <w:rPr>
          <w:sz w:val="23"/>
          <w:szCs w:val="23"/>
        </w:rPr>
        <w:t>med en nedbygging på mellom</w:t>
      </w:r>
      <w:r w:rsidR="00271686" w:rsidRPr="00E32E72">
        <w:rPr>
          <w:sz w:val="23"/>
          <w:szCs w:val="23"/>
        </w:rPr>
        <w:t xml:space="preserve"> </w:t>
      </w:r>
      <w:r w:rsidR="00421489" w:rsidRPr="00E32E72">
        <w:rPr>
          <w:sz w:val="23"/>
          <w:szCs w:val="23"/>
        </w:rPr>
        <w:t>0</w:t>
      </w:r>
      <w:r w:rsidR="00E92B99" w:rsidRPr="00E32E72">
        <w:rPr>
          <w:sz w:val="23"/>
          <w:szCs w:val="23"/>
        </w:rPr>
        <w:t xml:space="preserve"> og 200</w:t>
      </w:r>
      <w:r w:rsidR="00E325C3" w:rsidRPr="00E32E72">
        <w:rPr>
          <w:sz w:val="23"/>
          <w:szCs w:val="23"/>
        </w:rPr>
        <w:t xml:space="preserve"> mill.</w:t>
      </w:r>
      <w:r w:rsidR="00D97C8C" w:rsidRPr="00E32E72">
        <w:rPr>
          <w:sz w:val="23"/>
          <w:szCs w:val="23"/>
        </w:rPr>
        <w:t xml:space="preserve">kr. </w:t>
      </w:r>
    </w:p>
    <w:p w14:paraId="3F39F325" w14:textId="77777777" w:rsidR="00D97C8C" w:rsidRPr="00E32E72" w:rsidRDefault="00D97C8C" w:rsidP="00515589">
      <w:pPr>
        <w:pStyle w:val="ListParagraph"/>
        <w:rPr>
          <w:color w:val="FF0000"/>
          <w:sz w:val="23"/>
          <w:szCs w:val="23"/>
        </w:rPr>
      </w:pPr>
    </w:p>
    <w:p w14:paraId="3ABB3B08" w14:textId="77777777" w:rsidR="00421489" w:rsidRPr="00E32E72" w:rsidRDefault="006D33BD" w:rsidP="00515589">
      <w:pPr>
        <w:pStyle w:val="ListParagraph"/>
        <w:numPr>
          <w:ilvl w:val="0"/>
          <w:numId w:val="20"/>
        </w:numPr>
        <w:rPr>
          <w:sz w:val="23"/>
          <w:szCs w:val="23"/>
        </w:rPr>
      </w:pPr>
      <w:r w:rsidRPr="00E32E72">
        <w:rPr>
          <w:b/>
          <w:sz w:val="23"/>
          <w:szCs w:val="23"/>
        </w:rPr>
        <w:t>Bidrag- og oppdragsfinansiering aktivitet (BOA)</w:t>
      </w:r>
      <w:r w:rsidR="00E92B99" w:rsidRPr="00E32E72">
        <w:rPr>
          <w:b/>
          <w:sz w:val="23"/>
          <w:szCs w:val="23"/>
        </w:rPr>
        <w:t xml:space="preserve"> </w:t>
      </w:r>
    </w:p>
    <w:p w14:paraId="6471C5EC" w14:textId="09435048" w:rsidR="006D33BD" w:rsidRPr="00E32E72" w:rsidRDefault="00FA0CE4" w:rsidP="00515589">
      <w:pPr>
        <w:ind w:left="360"/>
        <w:rPr>
          <w:sz w:val="23"/>
          <w:szCs w:val="23"/>
        </w:rPr>
      </w:pPr>
      <w:r w:rsidRPr="00E32E72">
        <w:rPr>
          <w:sz w:val="23"/>
          <w:szCs w:val="23"/>
        </w:rPr>
        <w:t xml:space="preserve">Oppsummert </w:t>
      </w:r>
      <w:r w:rsidR="00E86276" w:rsidRPr="00E32E72">
        <w:rPr>
          <w:sz w:val="23"/>
          <w:szCs w:val="23"/>
        </w:rPr>
        <w:t>antas total BOA-omsetning i 201</w:t>
      </w:r>
      <w:r w:rsidR="00F53CDA" w:rsidRPr="00E32E72">
        <w:rPr>
          <w:sz w:val="23"/>
          <w:szCs w:val="23"/>
        </w:rPr>
        <w:t>8</w:t>
      </w:r>
      <w:r w:rsidRPr="00E32E72">
        <w:rPr>
          <w:sz w:val="23"/>
          <w:szCs w:val="23"/>
        </w:rPr>
        <w:t xml:space="preserve"> å bli </w:t>
      </w:r>
      <w:r w:rsidR="00E325C3" w:rsidRPr="00E32E72">
        <w:rPr>
          <w:sz w:val="23"/>
          <w:szCs w:val="23"/>
        </w:rPr>
        <w:t xml:space="preserve">anslagsvis </w:t>
      </w:r>
      <w:r w:rsidR="00421489" w:rsidRPr="00E32E72">
        <w:rPr>
          <w:sz w:val="23"/>
          <w:szCs w:val="23"/>
        </w:rPr>
        <w:t>2100-2200</w:t>
      </w:r>
      <w:r w:rsidR="00E325C3" w:rsidRPr="00E32E72">
        <w:rPr>
          <w:sz w:val="23"/>
          <w:szCs w:val="23"/>
        </w:rPr>
        <w:t xml:space="preserve"> mill.kr</w:t>
      </w:r>
      <w:r w:rsidRPr="00E32E72">
        <w:rPr>
          <w:sz w:val="23"/>
          <w:szCs w:val="23"/>
        </w:rPr>
        <w:t>.</w:t>
      </w:r>
      <w:r w:rsidR="007F55D4" w:rsidRPr="00E32E72">
        <w:rPr>
          <w:sz w:val="23"/>
          <w:szCs w:val="23"/>
        </w:rPr>
        <w:t xml:space="preserve"> </w:t>
      </w:r>
      <w:r w:rsidRPr="00E32E72">
        <w:rPr>
          <w:sz w:val="23"/>
          <w:szCs w:val="23"/>
        </w:rPr>
        <w:t>Justert for pris- og lønnsvekst</w:t>
      </w:r>
      <w:r w:rsidR="007F55D4" w:rsidRPr="00E32E72">
        <w:rPr>
          <w:sz w:val="23"/>
          <w:szCs w:val="23"/>
        </w:rPr>
        <w:t xml:space="preserve"> tilsier dette en </w:t>
      </w:r>
      <w:r w:rsidR="00421489" w:rsidRPr="00E32E72">
        <w:rPr>
          <w:sz w:val="23"/>
          <w:szCs w:val="23"/>
        </w:rPr>
        <w:t>liten</w:t>
      </w:r>
      <w:r w:rsidR="00F53CDA" w:rsidRPr="00E32E72">
        <w:rPr>
          <w:sz w:val="23"/>
          <w:szCs w:val="23"/>
        </w:rPr>
        <w:t xml:space="preserve"> aktivitets</w:t>
      </w:r>
      <w:r w:rsidR="00421489" w:rsidRPr="00E32E72">
        <w:rPr>
          <w:sz w:val="23"/>
          <w:szCs w:val="23"/>
        </w:rPr>
        <w:t>økning sammenlignet med 2017</w:t>
      </w:r>
      <w:r w:rsidR="00E325C3" w:rsidRPr="00E32E72">
        <w:rPr>
          <w:sz w:val="23"/>
          <w:szCs w:val="23"/>
        </w:rPr>
        <w:t>.</w:t>
      </w:r>
    </w:p>
    <w:p w14:paraId="5B1DEC58" w14:textId="15A44DC1" w:rsidR="00515589" w:rsidRDefault="00515589">
      <w:pPr>
        <w:rPr>
          <w:sz w:val="23"/>
          <w:szCs w:val="23"/>
        </w:rPr>
      </w:pPr>
      <w:r>
        <w:rPr>
          <w:sz w:val="23"/>
          <w:szCs w:val="23"/>
        </w:rPr>
        <w:br w:type="page"/>
      </w:r>
    </w:p>
    <w:p w14:paraId="7E97B2E7" w14:textId="77777777" w:rsidR="008576F8" w:rsidRPr="00365B80" w:rsidRDefault="008576F8" w:rsidP="00535949">
      <w:pPr>
        <w:pStyle w:val="ListParagraph"/>
        <w:numPr>
          <w:ilvl w:val="0"/>
          <w:numId w:val="14"/>
        </w:numPr>
        <w:rPr>
          <w:b/>
          <w:sz w:val="28"/>
          <w:szCs w:val="24"/>
        </w:rPr>
      </w:pPr>
      <w:r w:rsidRPr="00365B80">
        <w:rPr>
          <w:b/>
          <w:sz w:val="28"/>
          <w:szCs w:val="24"/>
        </w:rPr>
        <w:lastRenderedPageBreak/>
        <w:t>Status på gjennomføring av årsplanen for 2018</w:t>
      </w:r>
    </w:p>
    <w:p w14:paraId="1CB73A56" w14:textId="77777777" w:rsidR="008576F8" w:rsidRDefault="008576F8" w:rsidP="00535949">
      <w:pPr>
        <w:rPr>
          <w:szCs w:val="24"/>
        </w:rPr>
      </w:pPr>
    </w:p>
    <w:p w14:paraId="3C45B6CE" w14:textId="77777777" w:rsidR="008576F8" w:rsidRPr="00672FB2" w:rsidRDefault="008576F8" w:rsidP="00535949">
      <w:pPr>
        <w:rPr>
          <w:szCs w:val="22"/>
        </w:rPr>
      </w:pPr>
      <w:r>
        <w:rPr>
          <w:szCs w:val="22"/>
        </w:rPr>
        <w:t>NTNUs årsplan for 2018</w:t>
      </w:r>
      <w:r w:rsidRPr="00672FB2">
        <w:rPr>
          <w:szCs w:val="22"/>
        </w:rPr>
        <w:t xml:space="preserve"> ble vedtatt av styret i desember 2016, sak 80/16. </w:t>
      </w:r>
      <w:r>
        <w:rPr>
          <w:szCs w:val="22"/>
        </w:rPr>
        <w:t>For 2018</w:t>
      </w:r>
      <w:r w:rsidRPr="00672FB2">
        <w:rPr>
          <w:szCs w:val="22"/>
        </w:rPr>
        <w:t xml:space="preserve"> ble det vedtatt tre likeordnede hovedprioriteringer med tilhørende virksomhetsmål og tiltak, s</w:t>
      </w:r>
      <w:r>
        <w:rPr>
          <w:szCs w:val="22"/>
        </w:rPr>
        <w:t>amt resultatindikatorer for 2018</w:t>
      </w:r>
      <w:r w:rsidRPr="00672FB2">
        <w:rPr>
          <w:szCs w:val="22"/>
        </w:rPr>
        <w:t xml:space="preserve">. </w:t>
      </w:r>
      <w:r>
        <w:rPr>
          <w:szCs w:val="22"/>
        </w:rPr>
        <w:t xml:space="preserve">Hovedprioriteringene fokuserer på områder der hele organisasjonen arbeider med forbedringstiltak. </w:t>
      </w:r>
      <w:r w:rsidRPr="00672FB2">
        <w:rPr>
          <w:szCs w:val="22"/>
        </w:rPr>
        <w:t>Fem av virksomhetsmålene inngår i utviklingsavtalen som NTNU har inngått med KD.</w:t>
      </w:r>
    </w:p>
    <w:p w14:paraId="5982D433" w14:textId="77777777" w:rsidR="008576F8" w:rsidRDefault="008576F8" w:rsidP="00535949">
      <w:pPr>
        <w:rPr>
          <w:szCs w:val="24"/>
        </w:rPr>
      </w:pPr>
    </w:p>
    <w:p w14:paraId="0B13A0CA" w14:textId="77777777" w:rsidR="008576F8" w:rsidRDefault="008576F8" w:rsidP="00535949">
      <w:pPr>
        <w:rPr>
          <w:szCs w:val="24"/>
        </w:rPr>
      </w:pPr>
    </w:p>
    <w:p w14:paraId="0B0C2D51" w14:textId="77777777" w:rsidR="008576F8" w:rsidRPr="00C65D23" w:rsidRDefault="008576F8" w:rsidP="00535949">
      <w:pPr>
        <w:rPr>
          <w:b/>
          <w:color w:val="0070C0"/>
          <w:szCs w:val="24"/>
        </w:rPr>
      </w:pPr>
      <w:r w:rsidRPr="00C65D23">
        <w:rPr>
          <w:b/>
          <w:color w:val="0070C0"/>
          <w:szCs w:val="24"/>
        </w:rPr>
        <w:t xml:space="preserve">Hovedprioriteringen </w:t>
      </w:r>
      <w:r w:rsidRPr="00C65D23">
        <w:rPr>
          <w:b/>
          <w:i/>
          <w:iCs/>
          <w:color w:val="0070C0"/>
          <w:szCs w:val="22"/>
          <w:lang w:eastAsia="en-US"/>
        </w:rPr>
        <w:t>Ett NTNU</w:t>
      </w:r>
      <w:r w:rsidRPr="00C65D23">
        <w:rPr>
          <w:b/>
          <w:color w:val="0070C0"/>
          <w:szCs w:val="24"/>
        </w:rPr>
        <w:t xml:space="preserve"> har følgende tre virksomhetsmål for 2018:</w:t>
      </w:r>
    </w:p>
    <w:p w14:paraId="6D333E49" w14:textId="77777777" w:rsidR="008576F8" w:rsidRPr="005A7052" w:rsidRDefault="008576F8" w:rsidP="00535949">
      <w:pPr>
        <w:numPr>
          <w:ilvl w:val="0"/>
          <w:numId w:val="11"/>
        </w:numPr>
        <w:rPr>
          <w:color w:val="0070C0"/>
          <w:szCs w:val="24"/>
        </w:rPr>
      </w:pPr>
      <w:r w:rsidRPr="005A7052">
        <w:rPr>
          <w:color w:val="0070C0"/>
          <w:szCs w:val="24"/>
        </w:rPr>
        <w:t>Vi skal implementere ny strategi og videreutvikle organisasjonen.</w:t>
      </w:r>
    </w:p>
    <w:p w14:paraId="61E969C2" w14:textId="77777777" w:rsidR="008576F8" w:rsidRPr="005A7052" w:rsidRDefault="008576F8" w:rsidP="00535949">
      <w:pPr>
        <w:numPr>
          <w:ilvl w:val="0"/>
          <w:numId w:val="11"/>
        </w:numPr>
        <w:rPr>
          <w:color w:val="0070C0"/>
          <w:szCs w:val="24"/>
        </w:rPr>
      </w:pPr>
      <w:r w:rsidRPr="005A7052">
        <w:rPr>
          <w:color w:val="0070C0"/>
          <w:szCs w:val="24"/>
        </w:rPr>
        <w:t>Vi skal heve kvaliteten i studieporteføljen gjennom samordning og effektivisering.</w:t>
      </w:r>
    </w:p>
    <w:p w14:paraId="528B1F67" w14:textId="77777777" w:rsidR="008576F8" w:rsidRPr="00EE1EBA" w:rsidRDefault="008576F8" w:rsidP="00535949">
      <w:pPr>
        <w:numPr>
          <w:ilvl w:val="0"/>
          <w:numId w:val="11"/>
        </w:numPr>
        <w:rPr>
          <w:color w:val="4F81BD" w:themeColor="accent1"/>
          <w:szCs w:val="24"/>
        </w:rPr>
      </w:pPr>
      <w:r w:rsidRPr="005A7052">
        <w:rPr>
          <w:color w:val="0070C0"/>
          <w:szCs w:val="24"/>
        </w:rPr>
        <w:t>Vi skal forbedre, standardisere og digitalisere utvalgte arbeidsprosesser</w:t>
      </w:r>
      <w:r w:rsidRPr="00EE1EBA">
        <w:rPr>
          <w:color w:val="4F81BD" w:themeColor="accent1"/>
          <w:szCs w:val="24"/>
        </w:rPr>
        <w:t>.</w:t>
      </w:r>
    </w:p>
    <w:p w14:paraId="3E4089C9" w14:textId="77777777" w:rsidR="008576F8" w:rsidRDefault="008576F8" w:rsidP="00535949">
      <w:pPr>
        <w:rPr>
          <w:szCs w:val="22"/>
        </w:rPr>
      </w:pPr>
    </w:p>
    <w:p w14:paraId="4CF2B5EA" w14:textId="77777777" w:rsidR="008576F8" w:rsidRDefault="008576F8" w:rsidP="00535949">
      <w:pPr>
        <w:rPr>
          <w:szCs w:val="22"/>
        </w:rPr>
      </w:pPr>
      <w:r w:rsidRPr="00EE1EBA">
        <w:rPr>
          <w:szCs w:val="22"/>
        </w:rPr>
        <w:t>Hovedprioriteringen handler primært om integrasjon av de fire fusjonerte enhetene, hvordan vi utvikler oss som institusjon til beste for alle partnerne og legger til rette for å høste gevinster av fusjonen.</w:t>
      </w:r>
    </w:p>
    <w:p w14:paraId="1639C04E" w14:textId="77777777" w:rsidR="008576F8" w:rsidRDefault="008576F8" w:rsidP="00535949">
      <w:pPr>
        <w:rPr>
          <w:szCs w:val="22"/>
        </w:rPr>
      </w:pPr>
    </w:p>
    <w:p w14:paraId="40933233" w14:textId="77777777" w:rsidR="008576F8" w:rsidRDefault="008576F8" w:rsidP="00535949">
      <w:pPr>
        <w:rPr>
          <w:szCs w:val="22"/>
        </w:rPr>
      </w:pPr>
    </w:p>
    <w:p w14:paraId="69F99B67" w14:textId="77777777" w:rsidR="008576F8" w:rsidRPr="00C65D23" w:rsidRDefault="008576F8" w:rsidP="00535949">
      <w:pPr>
        <w:rPr>
          <w:b/>
          <w:i/>
          <w:iCs/>
          <w:color w:val="0070C0"/>
        </w:rPr>
      </w:pPr>
      <w:r w:rsidRPr="00C65D23">
        <w:rPr>
          <w:b/>
          <w:i/>
          <w:iCs/>
          <w:color w:val="0070C0"/>
        </w:rPr>
        <w:t xml:space="preserve">Vi skal implementere ny strategi og videreutvikle organisasjonen </w:t>
      </w:r>
    </w:p>
    <w:p w14:paraId="1E825A6F" w14:textId="77777777" w:rsidR="006B743C" w:rsidRDefault="006B743C" w:rsidP="00535949">
      <w:pPr>
        <w:rPr>
          <w:szCs w:val="22"/>
        </w:rPr>
      </w:pPr>
      <w:r>
        <w:rPr>
          <w:szCs w:val="22"/>
        </w:rPr>
        <w:t xml:space="preserve">NTNUs reviderte strategi ble vedtatt i desember 2017, mens fakultetene og instituttene bruker våren og deler av høsten på utvikling av avledede strategier for egen enhet (innenfor rammen av NTNUs strategi). </w:t>
      </w:r>
    </w:p>
    <w:p w14:paraId="09D426AD" w14:textId="77777777" w:rsidR="006B743C" w:rsidRDefault="006B743C" w:rsidP="00535949">
      <w:pPr>
        <w:rPr>
          <w:szCs w:val="22"/>
        </w:rPr>
      </w:pPr>
    </w:p>
    <w:p w14:paraId="2ADC5FDD" w14:textId="77777777" w:rsidR="006B743C" w:rsidRPr="00F41D57" w:rsidRDefault="006B743C" w:rsidP="00535949">
      <w:pPr>
        <w:rPr>
          <w:szCs w:val="22"/>
        </w:rPr>
      </w:pPr>
      <w:r w:rsidRPr="00F41D57">
        <w:rPr>
          <w:szCs w:val="22"/>
        </w:rPr>
        <w:t>Årets dialogmøter mellom Rektorat og fakultetene hadde «</w:t>
      </w:r>
      <w:r w:rsidRPr="003F6EF4">
        <w:rPr>
          <w:i/>
          <w:szCs w:val="22"/>
        </w:rPr>
        <w:t>Hvordan kan vi sammen realisere strategien</w:t>
      </w:r>
      <w:r w:rsidRPr="00F41D57">
        <w:rPr>
          <w:szCs w:val="22"/>
        </w:rPr>
        <w:t xml:space="preserve">?» som hovedtema. Oppmerksomheten var rettet mot fakultetenes strategiarbeid, og fakultetene presenterte sitt strategiarbeid og hvilke prioriteringer de </w:t>
      </w:r>
      <w:r>
        <w:rPr>
          <w:szCs w:val="22"/>
        </w:rPr>
        <w:t>setter</w:t>
      </w:r>
      <w:r w:rsidRPr="00F41D57">
        <w:rPr>
          <w:szCs w:val="22"/>
        </w:rPr>
        <w:t xml:space="preserve"> høyest på dagsorden</w:t>
      </w:r>
      <w:r>
        <w:rPr>
          <w:szCs w:val="22"/>
        </w:rPr>
        <w:t xml:space="preserve"> i første del av strategiperioden</w:t>
      </w:r>
      <w:r w:rsidRPr="00F41D57">
        <w:rPr>
          <w:szCs w:val="22"/>
        </w:rPr>
        <w:t>.</w:t>
      </w:r>
      <w:r w:rsidRPr="0098331C">
        <w:rPr>
          <w:szCs w:val="22"/>
        </w:rPr>
        <w:t xml:space="preserve"> </w:t>
      </w:r>
      <w:r>
        <w:rPr>
          <w:szCs w:val="22"/>
        </w:rPr>
        <w:t>Rektors inntrykk er at organisasjonen arbeider svært godt med iverksetting av strategien.</w:t>
      </w:r>
    </w:p>
    <w:p w14:paraId="635670C8" w14:textId="77777777" w:rsidR="006B743C" w:rsidRDefault="006B743C" w:rsidP="00535949">
      <w:pPr>
        <w:rPr>
          <w:szCs w:val="22"/>
        </w:rPr>
      </w:pPr>
    </w:p>
    <w:p w14:paraId="06319E26" w14:textId="5B487799" w:rsidR="006B743C" w:rsidRDefault="006B743C" w:rsidP="00535949">
      <w:pPr>
        <w:tabs>
          <w:tab w:val="num" w:pos="720"/>
        </w:tabs>
        <w:rPr>
          <w:szCs w:val="22"/>
        </w:rPr>
      </w:pPr>
      <w:r>
        <w:rPr>
          <w:szCs w:val="22"/>
        </w:rPr>
        <w:t>En viktig tilbakemelding fra fakultets- og instituttlederne er at man opplever å</w:t>
      </w:r>
      <w:r w:rsidRPr="00F41D57">
        <w:rPr>
          <w:szCs w:val="22"/>
        </w:rPr>
        <w:t xml:space="preserve"> fortsatt stå midt i </w:t>
      </w:r>
      <w:r>
        <w:rPr>
          <w:szCs w:val="22"/>
        </w:rPr>
        <w:t xml:space="preserve">gjennomføringen av </w:t>
      </w:r>
      <w:r w:rsidRPr="00F41D57">
        <w:rPr>
          <w:szCs w:val="22"/>
        </w:rPr>
        <w:t>fusjonen og har behov for konsolidering.</w:t>
      </w:r>
      <w:r>
        <w:rPr>
          <w:szCs w:val="22"/>
        </w:rPr>
        <w:t xml:space="preserve"> Arbeid med f</w:t>
      </w:r>
      <w:r w:rsidRPr="00F41D57">
        <w:rPr>
          <w:szCs w:val="22"/>
        </w:rPr>
        <w:t>aglig integrasjon kreve</w:t>
      </w:r>
      <w:r>
        <w:rPr>
          <w:szCs w:val="22"/>
        </w:rPr>
        <w:t>r</w:t>
      </w:r>
      <w:r w:rsidRPr="00F41D57">
        <w:rPr>
          <w:szCs w:val="22"/>
        </w:rPr>
        <w:t xml:space="preserve"> høy oppmerksomhet i 2018 og </w:t>
      </w:r>
      <w:r>
        <w:rPr>
          <w:szCs w:val="22"/>
        </w:rPr>
        <w:t xml:space="preserve">må også fortsette i </w:t>
      </w:r>
      <w:r w:rsidRPr="00F41D57">
        <w:rPr>
          <w:szCs w:val="22"/>
        </w:rPr>
        <w:t xml:space="preserve">2019. </w:t>
      </w:r>
      <w:r>
        <w:rPr>
          <w:szCs w:val="22"/>
        </w:rPr>
        <w:t xml:space="preserve">De viktigste tiltakene for faglig integrasjon er samordning av studieporteføljen og utvikling av sterke fagmiljøer. Samlokalisering er en viktig faktor for å lykkes med integrasjonsarbeidet. </w:t>
      </w:r>
      <w:r w:rsidRPr="00F41D57">
        <w:rPr>
          <w:szCs w:val="22"/>
        </w:rPr>
        <w:t xml:space="preserve">Det er et ønske om at samlokaliseringsarbeidet i større grad ses i sammenheng med Campusprosjektet for å </w:t>
      </w:r>
      <w:r w:rsidR="00402035">
        <w:rPr>
          <w:szCs w:val="22"/>
        </w:rPr>
        <w:t xml:space="preserve">sikre at det utvikles </w:t>
      </w:r>
      <w:r w:rsidRPr="00F41D57">
        <w:rPr>
          <w:szCs w:val="22"/>
        </w:rPr>
        <w:t xml:space="preserve">løsninger </w:t>
      </w:r>
      <w:r w:rsidR="00402035">
        <w:rPr>
          <w:szCs w:val="22"/>
        </w:rPr>
        <w:t xml:space="preserve">og gjøres investeringer </w:t>
      </w:r>
      <w:r w:rsidRPr="00F41D57">
        <w:rPr>
          <w:szCs w:val="22"/>
        </w:rPr>
        <w:t xml:space="preserve">som </w:t>
      </w:r>
      <w:r>
        <w:rPr>
          <w:szCs w:val="22"/>
        </w:rPr>
        <w:t xml:space="preserve">er </w:t>
      </w:r>
      <w:r w:rsidR="00402035">
        <w:rPr>
          <w:szCs w:val="22"/>
        </w:rPr>
        <w:t>fornuftige også i et langsiktig perspektiv</w:t>
      </w:r>
      <w:r>
        <w:rPr>
          <w:szCs w:val="22"/>
        </w:rPr>
        <w:t>.</w:t>
      </w:r>
    </w:p>
    <w:p w14:paraId="388CC417" w14:textId="77777777" w:rsidR="006B743C" w:rsidRDefault="006B743C" w:rsidP="00535949">
      <w:pPr>
        <w:tabs>
          <w:tab w:val="num" w:pos="720"/>
        </w:tabs>
        <w:rPr>
          <w:szCs w:val="22"/>
        </w:rPr>
      </w:pPr>
    </w:p>
    <w:p w14:paraId="0B4B673F" w14:textId="77777777" w:rsidR="006B743C" w:rsidRDefault="006B743C" w:rsidP="00535949">
      <w:pPr>
        <w:tabs>
          <w:tab w:val="num" w:pos="720"/>
        </w:tabs>
        <w:rPr>
          <w:szCs w:val="22"/>
        </w:rPr>
      </w:pPr>
      <w:r>
        <w:rPr>
          <w:szCs w:val="22"/>
        </w:rPr>
        <w:t>Innspill fra dialogmøterunden inngår i det videre planarbeidet for 2019, som legges fram for styret i august i forbindelse med behandlingen av planleggingsrammer og hovedprioriteringer for 2019.</w:t>
      </w:r>
    </w:p>
    <w:p w14:paraId="66C49AE6" w14:textId="77777777" w:rsidR="006B743C" w:rsidRDefault="006B743C" w:rsidP="00535949">
      <w:pPr>
        <w:tabs>
          <w:tab w:val="num" w:pos="720"/>
        </w:tabs>
        <w:rPr>
          <w:szCs w:val="22"/>
        </w:rPr>
      </w:pPr>
    </w:p>
    <w:p w14:paraId="1F77608B" w14:textId="0144FC5E" w:rsidR="006B743C" w:rsidRDefault="006B743C" w:rsidP="00535949">
      <w:pPr>
        <w:rPr>
          <w:szCs w:val="24"/>
          <w:shd w:val="clear" w:color="auto" w:fill="FFFFFF"/>
        </w:rPr>
      </w:pPr>
      <w:r>
        <w:rPr>
          <w:szCs w:val="24"/>
          <w:shd w:val="clear" w:color="auto" w:fill="FFFFFF"/>
        </w:rPr>
        <w:t>Som følge av</w:t>
      </w:r>
      <w:r w:rsidRPr="00467448">
        <w:rPr>
          <w:szCs w:val="24"/>
          <w:shd w:val="clear" w:color="auto" w:fill="FFFFFF"/>
        </w:rPr>
        <w:t xml:space="preserve"> fusjonen ble det gjennomført flere organisatoriske endringer innenfor administrasjonen ved det nye NTNU. Samtidig ble ABE-kuttet effektuert gjennom reduksjon og tilpasning av den samlede administrative delen av organisasjonen. I etterkant følges situasjonen nøye, innbefattet en vurdering av den administrative kapasiteten, oppgavefordeling og kompetanse på alle nivå i organisasjonen. Dette sees også i lys av digitalisering, effektivisering og omstilling og </w:t>
      </w:r>
      <w:r>
        <w:rPr>
          <w:szCs w:val="24"/>
          <w:shd w:val="clear" w:color="auto" w:fill="FFFFFF"/>
        </w:rPr>
        <w:t>ulike</w:t>
      </w:r>
      <w:r w:rsidRPr="00467448">
        <w:rPr>
          <w:szCs w:val="24"/>
          <w:shd w:val="clear" w:color="auto" w:fill="FFFFFF"/>
        </w:rPr>
        <w:t xml:space="preserve"> prosessforbedringstiltak NTNU har på gang.  Et spesielt fokus har vært rettet mot våre campuser i Gjøvik og Ålesund, der de administrative endringene har vært store og der geografisk avstand gir oss særskilte utfordringer. En evaluering av den administrative organiseringen som </w:t>
      </w:r>
      <w:r>
        <w:rPr>
          <w:szCs w:val="24"/>
          <w:shd w:val="clear" w:color="auto" w:fill="FFFFFF"/>
        </w:rPr>
        <w:t xml:space="preserve">her </w:t>
      </w:r>
      <w:r w:rsidRPr="00467448">
        <w:rPr>
          <w:szCs w:val="24"/>
          <w:shd w:val="clear" w:color="auto" w:fill="FFFFFF"/>
        </w:rPr>
        <w:t xml:space="preserve">ble etablert etter fusjonen er igangsatt i 1. tertial og vil resultere i flere forslag til tilpasninger og forbedring. </w:t>
      </w:r>
    </w:p>
    <w:p w14:paraId="4E926210" w14:textId="4192712C" w:rsidR="006B743C" w:rsidRDefault="006B743C" w:rsidP="00535949">
      <w:pPr>
        <w:rPr>
          <w:szCs w:val="24"/>
          <w:shd w:val="clear" w:color="auto" w:fill="FFFFFF"/>
        </w:rPr>
      </w:pPr>
    </w:p>
    <w:p w14:paraId="2A0C7396" w14:textId="77777777" w:rsidR="006B743C" w:rsidRPr="00467448" w:rsidRDefault="006B743C" w:rsidP="00535949">
      <w:pPr>
        <w:rPr>
          <w:szCs w:val="24"/>
          <w:shd w:val="clear" w:color="auto" w:fill="FFFFFF"/>
        </w:rPr>
      </w:pPr>
    </w:p>
    <w:p w14:paraId="45902FFA" w14:textId="77777777" w:rsidR="008576F8" w:rsidRPr="00C65D23" w:rsidRDefault="008576F8" w:rsidP="00535949">
      <w:pPr>
        <w:pStyle w:val="Heading4"/>
        <w:spacing w:before="0"/>
        <w:rPr>
          <w:rFonts w:ascii="Times New Roman" w:eastAsia="Times New Roman" w:hAnsi="Times New Roman" w:cs="Times New Roman"/>
          <w:b/>
          <w:color w:val="0070C0"/>
        </w:rPr>
      </w:pPr>
      <w:r w:rsidRPr="00C65D23">
        <w:rPr>
          <w:rFonts w:ascii="Times New Roman" w:eastAsia="Times New Roman" w:hAnsi="Times New Roman" w:cs="Times New Roman"/>
          <w:b/>
          <w:color w:val="0070C0"/>
        </w:rPr>
        <w:t xml:space="preserve">Vi skal heve kvaliteten i studieporteføljen gjennom samordning og effektivisering </w:t>
      </w:r>
    </w:p>
    <w:p w14:paraId="7CE1EEF6" w14:textId="77777777" w:rsidR="006B743C" w:rsidRPr="00EA7DB8" w:rsidRDefault="006B743C" w:rsidP="00535949">
      <w:pPr>
        <w:rPr>
          <w:color w:val="000000" w:themeColor="text1"/>
          <w:szCs w:val="22"/>
        </w:rPr>
      </w:pPr>
      <w:r w:rsidRPr="00EA7DB8">
        <w:rPr>
          <w:color w:val="000000" w:themeColor="text1"/>
          <w:szCs w:val="22"/>
        </w:rPr>
        <w:t xml:space="preserve">Våren 2018 har det vært jobbet mye med å forberede omfattende samordninger og sammenslåinger innenfor bachelorprogrammene i ingeniørfag, og med videre utvikling av den nye fellesemneordningen. Vi holder skjema i forhold til utviklingsplanen med sikte på implementering fra og med studieåret 2019/20. I tillegg jobbes det med samordninger på andre områder, blant annet innenfor helse- og sosial samt økonomi. For disse utdanningsområdene tas det sikte på samordninger og sammenslåinger på programnivå fra 2020/21. </w:t>
      </w:r>
    </w:p>
    <w:p w14:paraId="02995D3D" w14:textId="77777777" w:rsidR="006B743C" w:rsidRPr="00EA7DB8" w:rsidRDefault="006B743C" w:rsidP="00535949">
      <w:pPr>
        <w:rPr>
          <w:color w:val="000000" w:themeColor="text1"/>
          <w:szCs w:val="22"/>
        </w:rPr>
      </w:pPr>
    </w:p>
    <w:p w14:paraId="509AA907" w14:textId="77777777" w:rsidR="006B743C" w:rsidRPr="00EA7DB8" w:rsidRDefault="006B743C" w:rsidP="00535949">
      <w:pPr>
        <w:rPr>
          <w:color w:val="000000" w:themeColor="text1"/>
          <w:szCs w:val="22"/>
        </w:rPr>
      </w:pPr>
      <w:r w:rsidRPr="00EA7DB8">
        <w:rPr>
          <w:color w:val="000000" w:themeColor="text1"/>
          <w:szCs w:val="22"/>
        </w:rPr>
        <w:t xml:space="preserve">For å sikre kvaliteten i studieprogrammene må vi ha velfungerende studieprogramråd, og det legges mange steder opp til at ett studieprogramråd kan favne flere beslektede studieprogram. </w:t>
      </w:r>
      <w:r>
        <w:rPr>
          <w:color w:val="000000" w:themeColor="text1"/>
          <w:szCs w:val="22"/>
        </w:rPr>
        <w:t>Dette vil bidra til bedre</w:t>
      </w:r>
      <w:r w:rsidRPr="00EA7DB8">
        <w:rPr>
          <w:color w:val="000000" w:themeColor="text1"/>
          <w:szCs w:val="22"/>
        </w:rPr>
        <w:t xml:space="preserve"> samordning og effektivisering</w:t>
      </w:r>
      <w:r>
        <w:rPr>
          <w:color w:val="000000" w:themeColor="text1"/>
          <w:szCs w:val="22"/>
        </w:rPr>
        <w:t>.</w:t>
      </w:r>
    </w:p>
    <w:p w14:paraId="34116FC8" w14:textId="77777777" w:rsidR="008576F8" w:rsidRPr="00EA7DB8" w:rsidRDefault="008576F8" w:rsidP="00535949">
      <w:pPr>
        <w:rPr>
          <w:color w:val="000000" w:themeColor="text1"/>
          <w:szCs w:val="22"/>
        </w:rPr>
      </w:pPr>
    </w:p>
    <w:p w14:paraId="1BFA1FCE" w14:textId="77777777" w:rsidR="008576F8" w:rsidRPr="00EA7DB8" w:rsidRDefault="008576F8" w:rsidP="00535949">
      <w:pPr>
        <w:rPr>
          <w:color w:val="000000" w:themeColor="text1"/>
          <w:szCs w:val="22"/>
        </w:rPr>
      </w:pPr>
      <w:r w:rsidRPr="00EA7DB8">
        <w:rPr>
          <w:color w:val="000000" w:themeColor="text1"/>
          <w:szCs w:val="22"/>
        </w:rPr>
        <w:t>Innen utgangen av året skal vi kunne dokumentere at alle våre studietilbud tilfredsstiller den nye studietilsynsforskriften. Arbeidet med å heve kvaliteten i studieporteføljen gjennom samordning og effektivisering og arbeidet med øvrige virksomhetsmål ses i sammenheng med dette dokumentasjonskravet. Det er startet et prosjekt som ser på standardisering og digitalisering av studieplan- og kvalitetsprosessene. Når dette prosjektet er ferdig i 2020 vil det innebære verktøystøtte som støtter opp om det videre arbeidet med samordning og effektivisering i årene framover.</w:t>
      </w:r>
    </w:p>
    <w:p w14:paraId="65A2D4A3" w14:textId="77777777" w:rsidR="008576F8" w:rsidRDefault="008576F8" w:rsidP="00535949">
      <w:pPr>
        <w:rPr>
          <w:szCs w:val="22"/>
        </w:rPr>
      </w:pPr>
    </w:p>
    <w:p w14:paraId="32C450E6" w14:textId="77777777" w:rsidR="008576F8" w:rsidRPr="00212424" w:rsidRDefault="008576F8" w:rsidP="00535949">
      <w:pPr>
        <w:rPr>
          <w:sz w:val="22"/>
        </w:rPr>
      </w:pPr>
    </w:p>
    <w:p w14:paraId="30605FAC" w14:textId="77777777" w:rsidR="008576F8" w:rsidRPr="00C65D23" w:rsidRDefault="008576F8" w:rsidP="00535949">
      <w:pPr>
        <w:pStyle w:val="Heading4"/>
        <w:spacing w:before="0"/>
        <w:rPr>
          <w:rFonts w:ascii="Times New Roman" w:eastAsia="Times New Roman" w:hAnsi="Times New Roman" w:cs="Times New Roman"/>
          <w:b/>
          <w:color w:val="0070C0"/>
        </w:rPr>
      </w:pPr>
      <w:r w:rsidRPr="00C65D23">
        <w:rPr>
          <w:rFonts w:ascii="Times New Roman" w:eastAsia="Times New Roman" w:hAnsi="Times New Roman" w:cs="Times New Roman"/>
          <w:b/>
          <w:color w:val="0070C0"/>
        </w:rPr>
        <w:t>Vi skal forbedre, standardisere og digitalisere utvalgte arbeidsprosesser</w:t>
      </w:r>
    </w:p>
    <w:p w14:paraId="2E1EDD13" w14:textId="77777777" w:rsidR="006B743C" w:rsidRPr="00D9715C" w:rsidRDefault="006B743C" w:rsidP="00535949">
      <w:pPr>
        <w:rPr>
          <w:sz w:val="22"/>
        </w:rPr>
      </w:pPr>
      <w:r w:rsidRPr="00D9715C">
        <w:t xml:space="preserve">Ved alle enheter av NTNU foregår det betydelig arbeid knyttet til forbedring, standardisering og digitalisering, både av prosesser og av mer enkeltstående oppgaver, rutiner etc. </w:t>
      </w:r>
    </w:p>
    <w:p w14:paraId="7113F8E4" w14:textId="77777777" w:rsidR="006B743C" w:rsidRDefault="006B743C" w:rsidP="00535949">
      <w:pPr>
        <w:rPr>
          <w:sz w:val="22"/>
        </w:rPr>
      </w:pPr>
    </w:p>
    <w:p w14:paraId="26403E9D" w14:textId="77777777" w:rsidR="006B743C" w:rsidRDefault="006B743C" w:rsidP="00535949">
      <w:pPr>
        <w:rPr>
          <w:szCs w:val="22"/>
        </w:rPr>
      </w:pPr>
      <w:r>
        <w:t xml:space="preserve">NTNUs styre vedtok i 2016 å innføre prosesseierskap, dvs. en matriseorganisering der direktører og prorektorer har formelt og reelt ansvar for og myndighet over gjennomgående arbeidsprosesser, inkludert over de delene av prosessen som utføres på fakultet- og instituttnivå. </w:t>
      </w:r>
      <w:r w:rsidRPr="00F800C5">
        <w:rPr>
          <w:szCs w:val="22"/>
        </w:rPr>
        <w:t>I tilknytning til forbedringsprogrammet er det i 1. tertial igangsatt flere opplæringstiltak innen prosessforbedring.</w:t>
      </w:r>
    </w:p>
    <w:p w14:paraId="09AEC336" w14:textId="77777777" w:rsidR="006B743C" w:rsidRDefault="006B743C" w:rsidP="00535949">
      <w:pPr>
        <w:rPr>
          <w:szCs w:val="22"/>
        </w:rPr>
      </w:pPr>
    </w:p>
    <w:p w14:paraId="1083AE9C" w14:textId="462D29BC" w:rsidR="006B743C" w:rsidRPr="00F800C5" w:rsidRDefault="006B743C" w:rsidP="00535949">
      <w:pPr>
        <w:rPr>
          <w:szCs w:val="22"/>
        </w:rPr>
      </w:pPr>
      <w:r w:rsidRPr="00D9715C">
        <w:t>På bakgrunn av Børresen-utvalgets utredning ble det i 2016 valgt ut tre gjennomgående administrative prosesser hvor det gjøres særskilte forbedringstiltak i 2017 og 2018.</w:t>
      </w:r>
      <w:r>
        <w:t xml:space="preserve"> Forprosjektet om «</w:t>
      </w:r>
      <w:r w:rsidRPr="003F6EF4">
        <w:rPr>
          <w:i/>
        </w:rPr>
        <w:t>Studieplan-prosessen</w:t>
      </w:r>
      <w:r>
        <w:t xml:space="preserve">» er fullført. Man har valgt konsept og plattform for løsning. Hovedprosjektet er under oppstart, </w:t>
      </w:r>
      <w:r w:rsidRPr="00D9715C">
        <w:t xml:space="preserve">noen måneder </w:t>
      </w:r>
      <w:r>
        <w:t>etter</w:t>
      </w:r>
      <w:r w:rsidRPr="00D9715C">
        <w:t xml:space="preserve"> skjema.</w:t>
      </w:r>
      <w:r>
        <w:t xml:space="preserve"> I prosjektet «</w:t>
      </w:r>
      <w:r w:rsidRPr="003F6EF4">
        <w:rPr>
          <w:i/>
        </w:rPr>
        <w:t>Rekruttering av fast vitenskapelig ansatte</w:t>
      </w:r>
      <w:r>
        <w:t>» er man i ferd med å ferdigstille standardiserte rutiner, o</w:t>
      </w:r>
      <w:r w:rsidRPr="00D9715C">
        <w:t xml:space="preserve">g har </w:t>
      </w:r>
      <w:r>
        <w:t>startet</w:t>
      </w:r>
      <w:r w:rsidRPr="00D9715C">
        <w:t xml:space="preserve"> arbeid med å utarbeide pilot for </w:t>
      </w:r>
      <w:r>
        <w:t>en felles portal</w:t>
      </w:r>
      <w:r w:rsidRPr="00D9715C">
        <w:t xml:space="preserve">. </w:t>
      </w:r>
      <w:r w:rsidRPr="0012763A">
        <w:t>«</w:t>
      </w:r>
      <w:r w:rsidRPr="003F6EF4">
        <w:rPr>
          <w:i/>
        </w:rPr>
        <w:t>Plan- budsjett og oppfølgingsprosessen</w:t>
      </w:r>
      <w:r w:rsidRPr="0012763A">
        <w:t xml:space="preserve">» videreutvikles som en del av arbeidet med å iverksette ny strategi. Verktøy for digital virksomhetsstyring er under utvikling, men er noe forsinket som følge av IT-utfordringer og </w:t>
      </w:r>
      <w:r w:rsidRPr="0012763A">
        <w:rPr>
          <w:szCs w:val="22"/>
        </w:rPr>
        <w:t xml:space="preserve">mangel på ressurser til </w:t>
      </w:r>
      <w:r w:rsidR="00402035">
        <w:rPr>
          <w:szCs w:val="22"/>
        </w:rPr>
        <w:t>forvaltning</w:t>
      </w:r>
      <w:r w:rsidRPr="0012763A">
        <w:rPr>
          <w:szCs w:val="22"/>
        </w:rPr>
        <w:t xml:space="preserve"> og brukerstøtte</w:t>
      </w:r>
      <w:r w:rsidR="00402035">
        <w:rPr>
          <w:szCs w:val="22"/>
        </w:rPr>
        <w:t xml:space="preserve"> til å ivareta de nye løsningene som rulles ut</w:t>
      </w:r>
      <w:r w:rsidRPr="0012763A">
        <w:rPr>
          <w:szCs w:val="22"/>
        </w:rPr>
        <w:t>.</w:t>
      </w:r>
      <w:r w:rsidRPr="00F800C5">
        <w:rPr>
          <w:szCs w:val="22"/>
        </w:rPr>
        <w:t xml:space="preserve"> </w:t>
      </w:r>
    </w:p>
    <w:p w14:paraId="26CE4ECC" w14:textId="77777777" w:rsidR="006B743C" w:rsidRPr="00D9715C" w:rsidRDefault="006B743C" w:rsidP="00535949"/>
    <w:p w14:paraId="53B19D75" w14:textId="77777777" w:rsidR="006B743C" w:rsidRPr="00F800C5" w:rsidRDefault="006B743C" w:rsidP="00535949">
      <w:pPr>
        <w:rPr>
          <w:szCs w:val="22"/>
        </w:rPr>
      </w:pPr>
      <w:r w:rsidRPr="00F800C5">
        <w:rPr>
          <w:szCs w:val="22"/>
        </w:rPr>
        <w:t xml:space="preserve">Fra 2018 er det etablert et digitaliseringsprogram som skal koordinere alle digitaliseringstiltak ved NTNU. Formålet med programorganiseringen er å øke tilfanget av og fremdriften i NTNUs digitaliseringsarbeid. Programmets visjon er at </w:t>
      </w:r>
      <w:r w:rsidRPr="00F800C5">
        <w:rPr>
          <w:i/>
          <w:szCs w:val="22"/>
        </w:rPr>
        <w:t>«NTNU skal være ledende på fremtidsrettede digitale tjenester».</w:t>
      </w:r>
      <w:r w:rsidRPr="00F800C5">
        <w:rPr>
          <w:szCs w:val="22"/>
        </w:rPr>
        <w:t xml:space="preserve"> Per 1. tertial har programmet 33 prosjekter i porteføljen, hvorav 22 er igangsatt mens de øvrige 11 er i konsept- eller oppstartsfase.</w:t>
      </w:r>
      <w:r w:rsidRPr="00F800C5">
        <w:rPr>
          <w:rFonts w:asciiTheme="minorHAnsi" w:eastAsiaTheme="minorHAnsi" w:hAnsiTheme="minorHAnsi" w:cstheme="minorBidi"/>
          <w:sz w:val="22"/>
          <w:szCs w:val="22"/>
          <w:lang w:eastAsia="en-US"/>
        </w:rPr>
        <w:t xml:space="preserve"> K</w:t>
      </w:r>
      <w:r w:rsidRPr="00F800C5">
        <w:rPr>
          <w:szCs w:val="22"/>
        </w:rPr>
        <w:t xml:space="preserve">un to av disse hadde planlagte leveranser i første tertial: Vi har nå to robotiseringsløsninger i drift innenfor økonomiområdet og én innenfor dokumentasjons-forvaltning, og NTNU nettbutikk har satt i drift en pilot på salg av læringsmateriell til studenter. </w:t>
      </w:r>
      <w:r w:rsidRPr="00BC14E4">
        <w:rPr>
          <w:szCs w:val="22"/>
        </w:rPr>
        <w:t xml:space="preserve">Se </w:t>
      </w:r>
      <w:r>
        <w:rPr>
          <w:szCs w:val="22"/>
        </w:rPr>
        <w:t xml:space="preserve">for øvrig </w:t>
      </w:r>
      <w:r w:rsidRPr="00BC14E4">
        <w:rPr>
          <w:szCs w:val="22"/>
        </w:rPr>
        <w:t>egen orienteringssak om digitaliseringsprogrammet</w:t>
      </w:r>
      <w:r>
        <w:rPr>
          <w:szCs w:val="22"/>
        </w:rPr>
        <w:t xml:space="preserve"> som legges frem i samme møte</w:t>
      </w:r>
      <w:r w:rsidRPr="00BC14E4">
        <w:rPr>
          <w:szCs w:val="22"/>
        </w:rPr>
        <w:t>.</w:t>
      </w:r>
    </w:p>
    <w:p w14:paraId="5FF277EE" w14:textId="77777777" w:rsidR="006B743C" w:rsidRPr="00F800C5" w:rsidRDefault="006B743C" w:rsidP="00535949">
      <w:pPr>
        <w:rPr>
          <w:szCs w:val="22"/>
        </w:rPr>
      </w:pPr>
    </w:p>
    <w:p w14:paraId="73EFCAE9" w14:textId="44007433" w:rsidR="006B743C" w:rsidRDefault="006B743C" w:rsidP="00535949">
      <w:pPr>
        <w:rPr>
          <w:szCs w:val="22"/>
        </w:rPr>
      </w:pPr>
      <w:r w:rsidRPr="00F800C5">
        <w:rPr>
          <w:szCs w:val="22"/>
        </w:rPr>
        <w:t xml:space="preserve">En felles risiko for forbedrings- og digitaliseringsprosjektene er at det er utfordrende å få organisasjonen til å </w:t>
      </w:r>
      <w:r>
        <w:rPr>
          <w:szCs w:val="22"/>
        </w:rPr>
        <w:t>frigjøre</w:t>
      </w:r>
      <w:r w:rsidRPr="00F800C5">
        <w:rPr>
          <w:szCs w:val="22"/>
        </w:rPr>
        <w:t xml:space="preserve"> tid til deltagelse</w:t>
      </w:r>
      <w:r>
        <w:rPr>
          <w:szCs w:val="22"/>
        </w:rPr>
        <w:t xml:space="preserve"> i utviklingsarbeidet</w:t>
      </w:r>
      <w:r w:rsidRPr="00F800C5">
        <w:rPr>
          <w:szCs w:val="22"/>
        </w:rPr>
        <w:t>, på tross av stor entusiasme og etterspørsel etter resultater. Dette gjelder både for frikjøp/skjerming av prosjektmedarbeidere og for brukerne som skal involveres i utvikling av løsningene.</w:t>
      </w:r>
    </w:p>
    <w:p w14:paraId="6076A91C" w14:textId="650306D5" w:rsidR="003668B1" w:rsidRDefault="003668B1" w:rsidP="00535949">
      <w:pPr>
        <w:rPr>
          <w:szCs w:val="22"/>
        </w:rPr>
      </w:pPr>
    </w:p>
    <w:p w14:paraId="402A1217" w14:textId="77777777" w:rsidR="003668B1" w:rsidRPr="00F800C5" w:rsidRDefault="003668B1" w:rsidP="00535949">
      <w:pPr>
        <w:rPr>
          <w:szCs w:val="22"/>
        </w:rPr>
      </w:pPr>
    </w:p>
    <w:p w14:paraId="1AECF8D9" w14:textId="77777777" w:rsidR="008576F8" w:rsidRPr="00C65D23" w:rsidRDefault="008576F8" w:rsidP="00535949">
      <w:pPr>
        <w:rPr>
          <w:b/>
          <w:color w:val="0070C0"/>
          <w:szCs w:val="24"/>
        </w:rPr>
      </w:pPr>
      <w:r w:rsidRPr="00C65D23">
        <w:rPr>
          <w:b/>
          <w:color w:val="0070C0"/>
          <w:szCs w:val="24"/>
        </w:rPr>
        <w:t xml:space="preserve">Hovedprioriteringen </w:t>
      </w:r>
      <w:r w:rsidRPr="00C65D23">
        <w:rPr>
          <w:b/>
          <w:i/>
          <w:iCs/>
          <w:color w:val="0070C0"/>
          <w:szCs w:val="22"/>
          <w:lang w:eastAsia="en-US"/>
        </w:rPr>
        <w:t>Nasjonal premissleverandør</w:t>
      </w:r>
      <w:r w:rsidRPr="00C65D23">
        <w:rPr>
          <w:b/>
          <w:color w:val="0070C0"/>
          <w:szCs w:val="24"/>
        </w:rPr>
        <w:t xml:space="preserve"> har følgende fem virksomhetsmål for 2018:</w:t>
      </w:r>
    </w:p>
    <w:p w14:paraId="1013521C" w14:textId="77777777" w:rsidR="008576F8" w:rsidRPr="005A7052" w:rsidRDefault="008576F8" w:rsidP="00535949">
      <w:pPr>
        <w:numPr>
          <w:ilvl w:val="0"/>
          <w:numId w:val="11"/>
        </w:numPr>
        <w:rPr>
          <w:color w:val="0070C0"/>
          <w:szCs w:val="24"/>
        </w:rPr>
      </w:pPr>
      <w:r w:rsidRPr="005A7052">
        <w:rPr>
          <w:color w:val="0070C0"/>
          <w:szCs w:val="24"/>
        </w:rPr>
        <w:t>Vi skal utvikle profil, helhet og sammenheng i studieprogrammene gjennom å fornye og tydeliggjøre læringsutbyttebeskrivelsene.</w:t>
      </w:r>
    </w:p>
    <w:p w14:paraId="5041B544" w14:textId="77777777" w:rsidR="008576F8" w:rsidRPr="005A7052" w:rsidRDefault="008576F8" w:rsidP="00535949">
      <w:pPr>
        <w:numPr>
          <w:ilvl w:val="0"/>
          <w:numId w:val="11"/>
        </w:numPr>
        <w:rPr>
          <w:color w:val="0070C0"/>
          <w:szCs w:val="24"/>
        </w:rPr>
      </w:pPr>
      <w:r w:rsidRPr="005A7052">
        <w:rPr>
          <w:color w:val="0070C0"/>
          <w:szCs w:val="24"/>
        </w:rPr>
        <w:t>Vi skal øke vår relevans og videreutvikle vårt samarbeid med arbeidslivet.</w:t>
      </w:r>
    </w:p>
    <w:p w14:paraId="03D3DB48" w14:textId="77777777" w:rsidR="008576F8" w:rsidRPr="005A7052" w:rsidRDefault="008576F8" w:rsidP="00535949">
      <w:pPr>
        <w:numPr>
          <w:ilvl w:val="0"/>
          <w:numId w:val="11"/>
        </w:numPr>
        <w:rPr>
          <w:color w:val="0070C0"/>
          <w:szCs w:val="24"/>
        </w:rPr>
      </w:pPr>
      <w:r w:rsidRPr="005A7052">
        <w:rPr>
          <w:color w:val="0070C0"/>
          <w:szCs w:val="24"/>
        </w:rPr>
        <w:t>Vi skal synliggjøre og øke nyskapingsaktiviteten med utspring fra klynger og sentre.</w:t>
      </w:r>
    </w:p>
    <w:p w14:paraId="71900A02" w14:textId="77777777" w:rsidR="008576F8" w:rsidRPr="005A7052" w:rsidRDefault="008576F8" w:rsidP="00535949">
      <w:pPr>
        <w:numPr>
          <w:ilvl w:val="0"/>
          <w:numId w:val="11"/>
        </w:numPr>
        <w:rPr>
          <w:color w:val="0070C0"/>
          <w:szCs w:val="24"/>
        </w:rPr>
      </w:pPr>
      <w:r w:rsidRPr="005A7052">
        <w:rPr>
          <w:color w:val="0070C0"/>
          <w:szCs w:val="24"/>
        </w:rPr>
        <w:t>Vi skal planlegge en fremtidsrettet, samlet campus som kan bli modell for fremtidige offentlige utbygginger i Norge.</w:t>
      </w:r>
    </w:p>
    <w:p w14:paraId="3DDCD90D" w14:textId="77777777" w:rsidR="008576F8" w:rsidRPr="005A7052" w:rsidRDefault="008576F8" w:rsidP="00535949">
      <w:pPr>
        <w:numPr>
          <w:ilvl w:val="0"/>
          <w:numId w:val="11"/>
        </w:numPr>
        <w:rPr>
          <w:color w:val="0070C0"/>
          <w:szCs w:val="24"/>
        </w:rPr>
      </w:pPr>
      <w:r w:rsidRPr="005A7052">
        <w:rPr>
          <w:color w:val="0070C0"/>
          <w:szCs w:val="24"/>
        </w:rPr>
        <w:t>Vi skal skape fleksible arealer som er tilpasset nye læringsformer på alle campus.</w:t>
      </w:r>
    </w:p>
    <w:p w14:paraId="5C7F97F8" w14:textId="77777777" w:rsidR="008576F8" w:rsidRPr="00EE1EBA" w:rsidRDefault="008576F8" w:rsidP="00535949"/>
    <w:p w14:paraId="25F5F38A" w14:textId="77777777" w:rsidR="008576F8" w:rsidRPr="00EE1EBA" w:rsidRDefault="008576F8" w:rsidP="00535949">
      <w:pPr>
        <w:rPr>
          <w:szCs w:val="22"/>
        </w:rPr>
      </w:pPr>
      <w:r w:rsidRPr="00EE1EBA">
        <w:rPr>
          <w:szCs w:val="22"/>
        </w:rPr>
        <w:t>Hovedprioriteringen favner NTNUs nasjonale og regionale samfunnsoppdrag. Vi ønsker å være</w:t>
      </w:r>
      <w:r>
        <w:rPr>
          <w:szCs w:val="22"/>
        </w:rPr>
        <w:t xml:space="preserve"> </w:t>
      </w:r>
      <w:r w:rsidRPr="00EE1EBA">
        <w:rPr>
          <w:szCs w:val="22"/>
        </w:rPr>
        <w:t>Norges mest attraktive studiested, en foretrukken samarbeidspartner for omstilling og utvikling og</w:t>
      </w:r>
      <w:r>
        <w:rPr>
          <w:szCs w:val="22"/>
        </w:rPr>
        <w:t xml:space="preserve"> </w:t>
      </w:r>
      <w:r w:rsidRPr="00EE1EBA">
        <w:rPr>
          <w:szCs w:val="22"/>
        </w:rPr>
        <w:t>en attraktiv arbeidsgiver.</w:t>
      </w:r>
    </w:p>
    <w:p w14:paraId="678CC4EE" w14:textId="77777777" w:rsidR="008576F8" w:rsidRDefault="008576F8" w:rsidP="00535949"/>
    <w:p w14:paraId="1E6BC976" w14:textId="77777777" w:rsidR="008576F8" w:rsidRPr="00EE1EBA" w:rsidRDefault="008576F8" w:rsidP="00535949"/>
    <w:p w14:paraId="281C7608" w14:textId="77777777" w:rsidR="008576F8" w:rsidRPr="00C65D23" w:rsidRDefault="008576F8" w:rsidP="00535949">
      <w:pPr>
        <w:rPr>
          <w:b/>
          <w:color w:val="0070C0"/>
          <w:szCs w:val="22"/>
        </w:rPr>
      </w:pPr>
      <w:r w:rsidRPr="00C65D23">
        <w:rPr>
          <w:b/>
          <w:i/>
          <w:iCs/>
          <w:color w:val="0070C0"/>
        </w:rPr>
        <w:t xml:space="preserve">Vi skal utvikle profil, helhet og sammenheng i studieprogrammene gjennom å fornye og tydeliggjøre læringsutbyttebeskrivelsene </w:t>
      </w:r>
    </w:p>
    <w:p w14:paraId="66E8D34A" w14:textId="77777777" w:rsidR="008576F8" w:rsidRPr="00EA7DB8" w:rsidRDefault="008576F8" w:rsidP="00535949">
      <w:pPr>
        <w:shd w:val="clear" w:color="auto" w:fill="FFFFFF"/>
        <w:rPr>
          <w:color w:val="000000" w:themeColor="text1"/>
        </w:rPr>
      </w:pPr>
      <w:r w:rsidRPr="00EA7DB8">
        <w:rPr>
          <w:color w:val="000000" w:themeColor="text1"/>
        </w:rPr>
        <w:t>Arbeid med å fornye og tydeliggjøre læringsutbyttebeskrivelsene er tett knyttet til arbeidet med samordning og effektivisering av studieporteføljen. Den nye studietilsynsforskriften stiller krav om akkreditering- og reakkreditering av alle våre studieprogram, og videre-utvikling av eksisterende læringsutbyttebeskrivelser er sentralt i dette. Utfordringer og muligheter ved utforming av læringsutbyttebeskrivelser er tatt opp og diskutert i utdannings-utvalg, i dialogmøter med fakultetene, i forvaltningsutvalg mm. Det legges vekt på nivellering overfor Nasjonalt kvalifikasjonsrammeverk, samt betydningen av at læringsutbyttebeskrivelsene tydeliggjør det fagspesifikke ved studieprogrammene og viser godt samsvar mellom læringsutbytte, undervisnings- og læringsaktiviteter og vurderingsform. I første tertial har det vært et særskilt fokus på opplæringsbehov, bevisstgjøring og utvikling av felles kvalitetskultur.</w:t>
      </w:r>
    </w:p>
    <w:p w14:paraId="0CFEBB8A" w14:textId="77777777" w:rsidR="008576F8" w:rsidRPr="00EA7DB8" w:rsidRDefault="008576F8" w:rsidP="00535949">
      <w:pPr>
        <w:shd w:val="clear" w:color="auto" w:fill="FFFFFF"/>
        <w:rPr>
          <w:color w:val="000000" w:themeColor="text1"/>
        </w:rPr>
      </w:pPr>
      <w:r w:rsidRPr="00EA7DB8">
        <w:rPr>
          <w:color w:val="000000" w:themeColor="text1"/>
        </w:rPr>
        <w:t>Det er laget en tiltaksplan for 2018 hvor det fokuseres på informasjon, utvikling av en database med læringsutbyttebeskrivelser, samt arbeid med opplæring. Aktiviteter i første tertial er i samsvar med planlagte tiltak for virksomhetsmålet.</w:t>
      </w:r>
    </w:p>
    <w:p w14:paraId="236D6810" w14:textId="77777777" w:rsidR="008576F8" w:rsidRDefault="008576F8" w:rsidP="00535949">
      <w:pPr>
        <w:rPr>
          <w:szCs w:val="22"/>
        </w:rPr>
      </w:pPr>
    </w:p>
    <w:p w14:paraId="373DF9DE" w14:textId="77777777" w:rsidR="008576F8" w:rsidRPr="007D56FF" w:rsidRDefault="008576F8" w:rsidP="00535949"/>
    <w:p w14:paraId="5FA77B22" w14:textId="77777777" w:rsidR="008576F8" w:rsidRPr="00C65D23" w:rsidRDefault="008576F8" w:rsidP="00535949">
      <w:pPr>
        <w:rPr>
          <w:b/>
          <w:i/>
          <w:iCs/>
          <w:color w:val="0070C0"/>
        </w:rPr>
      </w:pPr>
      <w:r w:rsidRPr="00C65D23">
        <w:rPr>
          <w:b/>
          <w:i/>
          <w:iCs/>
          <w:color w:val="0070C0"/>
        </w:rPr>
        <w:t xml:space="preserve">Vi skal øke vår relevans og videreutvikle vårt samarbeid med arbeidslivet. </w:t>
      </w:r>
    </w:p>
    <w:p w14:paraId="372BBE1D" w14:textId="77777777" w:rsidR="008576F8" w:rsidRPr="00DE6F6D" w:rsidRDefault="008576F8" w:rsidP="00535949">
      <w:pPr>
        <w:rPr>
          <w:szCs w:val="22"/>
        </w:rPr>
      </w:pPr>
      <w:r w:rsidRPr="00DE6F6D">
        <w:rPr>
          <w:szCs w:val="22"/>
        </w:rPr>
        <w:t xml:space="preserve">Det jobbes med å løfte fram forståelsen av og betydningen av universitetenes rolle i samfunnet. </w:t>
      </w:r>
      <w:r>
        <w:rPr>
          <w:szCs w:val="22"/>
        </w:rPr>
        <w:t xml:space="preserve">Framtidens samspillsmodell med NTNU inkluderer både forskning, innovasjon og utdanning. </w:t>
      </w:r>
    </w:p>
    <w:p w14:paraId="2429348E" w14:textId="77777777" w:rsidR="008576F8" w:rsidRPr="00021B0C" w:rsidRDefault="008576F8" w:rsidP="00535949">
      <w:pPr>
        <w:rPr>
          <w:szCs w:val="22"/>
        </w:rPr>
      </w:pPr>
      <w:r w:rsidRPr="0011626E">
        <w:t>NTNU erfarer at arbeidslivet ønsker et tettere samspill med NTNU og de ønsker tettere kontakt med studenter undervegs i studieløpet for å kunne bidra med relevant kompetanse med tanke på fremtidig rekruttering,</w:t>
      </w:r>
      <w:r>
        <w:t xml:space="preserve"> </w:t>
      </w:r>
      <w:r w:rsidRPr="00021B0C">
        <w:rPr>
          <w:szCs w:val="22"/>
        </w:rPr>
        <w:t xml:space="preserve">kompetanseutvikling av egne ansatte </w:t>
      </w:r>
      <w:r>
        <w:rPr>
          <w:szCs w:val="22"/>
        </w:rPr>
        <w:t xml:space="preserve">via EVU, </w:t>
      </w:r>
      <w:r w:rsidRPr="00021B0C">
        <w:rPr>
          <w:szCs w:val="22"/>
        </w:rPr>
        <w:t>ny kunnskap gjennom forskningssamarbeid</w:t>
      </w:r>
      <w:r>
        <w:rPr>
          <w:szCs w:val="22"/>
        </w:rPr>
        <w:t xml:space="preserve">, ideer og impulser til utvikling av egen virksomhet; til </w:t>
      </w:r>
      <w:r w:rsidRPr="00021B0C">
        <w:rPr>
          <w:szCs w:val="22"/>
        </w:rPr>
        <w:t>konkrete nye løsninger, nye arbeidsmetoder og tjenester via innovasjon</w:t>
      </w:r>
      <w:r>
        <w:rPr>
          <w:szCs w:val="22"/>
        </w:rPr>
        <w:t xml:space="preserve"> eller </w:t>
      </w:r>
      <w:r w:rsidRPr="00021B0C">
        <w:rPr>
          <w:szCs w:val="22"/>
        </w:rPr>
        <w:t>nye samarbeidsrelasjoner og kompetanse på tvers av fagområdene</w:t>
      </w:r>
      <w:r>
        <w:rPr>
          <w:szCs w:val="22"/>
        </w:rPr>
        <w:t>.</w:t>
      </w:r>
    </w:p>
    <w:p w14:paraId="5BD1F324" w14:textId="77777777" w:rsidR="008576F8" w:rsidRDefault="008576F8" w:rsidP="00535949">
      <w:pPr>
        <w:rPr>
          <w:szCs w:val="22"/>
        </w:rPr>
      </w:pPr>
    </w:p>
    <w:p w14:paraId="206997D4" w14:textId="77777777" w:rsidR="008576F8" w:rsidRDefault="008576F8" w:rsidP="00535949">
      <w:pPr>
        <w:rPr>
          <w:i/>
          <w:iCs/>
          <w:color w:val="365F91" w:themeColor="accent1" w:themeShade="BF"/>
        </w:rPr>
      </w:pPr>
      <w:r w:rsidRPr="001C47BB">
        <w:rPr>
          <w:bCs/>
          <w:szCs w:val="22"/>
        </w:rPr>
        <w:t xml:space="preserve">Som en del av campusprosjektet arbeides med konseptutvikling av samspillsarealer for </w:t>
      </w:r>
      <w:r w:rsidRPr="001C47BB">
        <w:rPr>
          <w:szCs w:val="22"/>
        </w:rPr>
        <w:t>studenter, ansatte, næringsliv, offentlig sektor</w:t>
      </w:r>
      <w:r>
        <w:rPr>
          <w:szCs w:val="22"/>
        </w:rPr>
        <w:t xml:space="preserve">, </w:t>
      </w:r>
      <w:r w:rsidRPr="001C47BB">
        <w:rPr>
          <w:szCs w:val="22"/>
        </w:rPr>
        <w:t>for programsatsinger der s</w:t>
      </w:r>
      <w:r>
        <w:rPr>
          <w:szCs w:val="22"/>
        </w:rPr>
        <w:t>amspill mellom fou-arbeidsliv er</w:t>
      </w:r>
      <w:r w:rsidRPr="001C47BB">
        <w:rPr>
          <w:szCs w:val="22"/>
        </w:rPr>
        <w:t xml:space="preserve"> en viktig forutset</w:t>
      </w:r>
      <w:r>
        <w:rPr>
          <w:szCs w:val="22"/>
        </w:rPr>
        <w:t>n</w:t>
      </w:r>
      <w:r w:rsidRPr="001C47BB">
        <w:rPr>
          <w:szCs w:val="22"/>
        </w:rPr>
        <w:t>ing</w:t>
      </w:r>
      <w:r>
        <w:rPr>
          <w:szCs w:val="22"/>
        </w:rPr>
        <w:t xml:space="preserve"> som eksempelvis </w:t>
      </w:r>
      <w:r w:rsidRPr="001C47BB">
        <w:rPr>
          <w:szCs w:val="22"/>
        </w:rPr>
        <w:t xml:space="preserve">SFI, SFF, FME, etc. </w:t>
      </w:r>
      <w:r>
        <w:rPr>
          <w:szCs w:val="22"/>
        </w:rPr>
        <w:t xml:space="preserve">Tilpassede og tilstrekkelige </w:t>
      </w:r>
      <w:r w:rsidRPr="001C47BB">
        <w:rPr>
          <w:bCs/>
          <w:szCs w:val="22"/>
        </w:rPr>
        <w:t xml:space="preserve">arealer </w:t>
      </w:r>
      <w:r>
        <w:rPr>
          <w:bCs/>
          <w:szCs w:val="22"/>
        </w:rPr>
        <w:t xml:space="preserve">og laboratorieinfrastruktur er viktige virkemidler for </w:t>
      </w:r>
      <w:r w:rsidRPr="001C47BB">
        <w:rPr>
          <w:bCs/>
          <w:szCs w:val="22"/>
        </w:rPr>
        <w:t xml:space="preserve">realisering </w:t>
      </w:r>
      <w:r>
        <w:rPr>
          <w:bCs/>
          <w:szCs w:val="22"/>
        </w:rPr>
        <w:t>av vedtatte utviklingsmål</w:t>
      </w:r>
      <w:r w:rsidRPr="001C47BB">
        <w:rPr>
          <w:bCs/>
          <w:szCs w:val="22"/>
        </w:rPr>
        <w:t>.</w:t>
      </w:r>
    </w:p>
    <w:p w14:paraId="0DF25B23" w14:textId="77777777" w:rsidR="008576F8" w:rsidRDefault="008576F8" w:rsidP="00535949">
      <w:pPr>
        <w:rPr>
          <w:szCs w:val="22"/>
        </w:rPr>
      </w:pPr>
    </w:p>
    <w:p w14:paraId="259F0D42" w14:textId="77777777" w:rsidR="008576F8" w:rsidRPr="00212424" w:rsidRDefault="008576F8" w:rsidP="00535949">
      <w:pPr>
        <w:rPr>
          <w:szCs w:val="22"/>
        </w:rPr>
      </w:pPr>
    </w:p>
    <w:p w14:paraId="61CC51A6" w14:textId="77777777" w:rsidR="008576F8" w:rsidRPr="00C65D23" w:rsidRDefault="008576F8" w:rsidP="00535949">
      <w:pPr>
        <w:pStyle w:val="Heading4"/>
        <w:spacing w:before="0"/>
        <w:rPr>
          <w:rFonts w:ascii="Times New Roman" w:eastAsia="Times New Roman" w:hAnsi="Times New Roman" w:cs="Times New Roman"/>
          <w:b/>
          <w:color w:val="0070C0"/>
        </w:rPr>
      </w:pPr>
      <w:r w:rsidRPr="00C65D23">
        <w:rPr>
          <w:rFonts w:ascii="Times New Roman" w:eastAsia="Times New Roman" w:hAnsi="Times New Roman" w:cs="Times New Roman"/>
          <w:b/>
          <w:color w:val="0070C0"/>
        </w:rPr>
        <w:t>Vi skal synliggjøre og øke nyskapingsaktiviteten med utspring fra klynger og sentre.</w:t>
      </w:r>
    </w:p>
    <w:p w14:paraId="766541BE" w14:textId="64A43019" w:rsidR="008576F8" w:rsidRDefault="008576F8" w:rsidP="00535949">
      <w:pPr>
        <w:rPr>
          <w:szCs w:val="22"/>
        </w:rPr>
      </w:pPr>
      <w:r>
        <w:rPr>
          <w:szCs w:val="22"/>
        </w:rPr>
        <w:t>Det</w:t>
      </w:r>
      <w:r w:rsidRPr="00021B0C">
        <w:rPr>
          <w:bCs/>
          <w:szCs w:val="22"/>
        </w:rPr>
        <w:t xml:space="preserve"> jobbe</w:t>
      </w:r>
      <w:r>
        <w:rPr>
          <w:bCs/>
          <w:szCs w:val="22"/>
        </w:rPr>
        <w:t>s</w:t>
      </w:r>
      <w:r w:rsidRPr="00021B0C">
        <w:rPr>
          <w:bCs/>
          <w:szCs w:val="22"/>
        </w:rPr>
        <w:t xml:space="preserve"> strategisk med innovasjon </w:t>
      </w:r>
      <w:r>
        <w:rPr>
          <w:bCs/>
          <w:szCs w:val="22"/>
        </w:rPr>
        <w:t xml:space="preserve">rettet mot </w:t>
      </w:r>
      <w:r w:rsidRPr="00021B0C">
        <w:rPr>
          <w:bCs/>
          <w:szCs w:val="22"/>
        </w:rPr>
        <w:t>eksisterende</w:t>
      </w:r>
      <w:r>
        <w:rPr>
          <w:bCs/>
          <w:szCs w:val="22"/>
        </w:rPr>
        <w:t xml:space="preserve"> arbeidsliv</w:t>
      </w:r>
      <w:r w:rsidRPr="00021B0C">
        <w:rPr>
          <w:bCs/>
          <w:szCs w:val="22"/>
        </w:rPr>
        <w:t xml:space="preserve"> og nye virksomheter</w:t>
      </w:r>
      <w:r>
        <w:rPr>
          <w:bCs/>
          <w:szCs w:val="22"/>
        </w:rPr>
        <w:t xml:space="preserve">. </w:t>
      </w:r>
      <w:r w:rsidRPr="00021B0C">
        <w:rPr>
          <w:bCs/>
          <w:szCs w:val="22"/>
        </w:rPr>
        <w:t xml:space="preserve"> </w:t>
      </w:r>
      <w:r>
        <w:rPr>
          <w:bCs/>
          <w:szCs w:val="22"/>
        </w:rPr>
        <w:t>I</w:t>
      </w:r>
      <w:r w:rsidRPr="00021B0C">
        <w:rPr>
          <w:bCs/>
          <w:szCs w:val="22"/>
        </w:rPr>
        <w:t xml:space="preserve">nnovasjon er </w:t>
      </w:r>
      <w:r w:rsidR="00402035">
        <w:rPr>
          <w:bCs/>
          <w:szCs w:val="22"/>
        </w:rPr>
        <w:t xml:space="preserve">et </w:t>
      </w:r>
      <w:r w:rsidRPr="00021B0C">
        <w:rPr>
          <w:bCs/>
          <w:szCs w:val="22"/>
        </w:rPr>
        <w:t xml:space="preserve">kjerneområde i </w:t>
      </w:r>
      <w:r w:rsidR="00402035">
        <w:rPr>
          <w:bCs/>
          <w:szCs w:val="22"/>
        </w:rPr>
        <w:t xml:space="preserve">NTNUs </w:t>
      </w:r>
      <w:r w:rsidRPr="00021B0C">
        <w:rPr>
          <w:bCs/>
          <w:szCs w:val="22"/>
        </w:rPr>
        <w:t>ny</w:t>
      </w:r>
      <w:r w:rsidR="00402035">
        <w:rPr>
          <w:bCs/>
          <w:szCs w:val="22"/>
        </w:rPr>
        <w:t>e</w:t>
      </w:r>
      <w:r w:rsidRPr="00021B0C">
        <w:rPr>
          <w:bCs/>
          <w:szCs w:val="22"/>
        </w:rPr>
        <w:t xml:space="preserve"> strategi</w:t>
      </w:r>
      <w:r>
        <w:rPr>
          <w:bCs/>
          <w:szCs w:val="22"/>
        </w:rPr>
        <w:t>, og d</w:t>
      </w:r>
      <w:r>
        <w:rPr>
          <w:szCs w:val="22"/>
        </w:rPr>
        <w:t xml:space="preserve">et jobbes med linjeforankring og –ansvar via prodekaner for </w:t>
      </w:r>
      <w:r w:rsidRPr="00021B0C">
        <w:rPr>
          <w:szCs w:val="22"/>
        </w:rPr>
        <w:t xml:space="preserve">nyskaping ved fakultetene/VM og </w:t>
      </w:r>
      <w:r>
        <w:rPr>
          <w:szCs w:val="22"/>
        </w:rPr>
        <w:t>eget i</w:t>
      </w:r>
      <w:r w:rsidRPr="00021B0C">
        <w:rPr>
          <w:szCs w:val="22"/>
        </w:rPr>
        <w:t>nnovasjonsforum</w:t>
      </w:r>
      <w:r>
        <w:rPr>
          <w:szCs w:val="22"/>
        </w:rPr>
        <w:t>. Videre jobbes det med videreutvikling av økosystemet for innovasjon og nyskaping. Fakultet for økonomi utreder «State of the art» om hva som fremmer innovasjon fra universitetene og vil bidra til å frambringe nytt kunnskapsgrunnlag og komme med forslag til tiltak og virkemidler som kan øke nyskapingsaktiviteten. Rapport forventes i desember 2018. Arbeidet med u</w:t>
      </w:r>
      <w:r w:rsidRPr="00021B0C">
        <w:rPr>
          <w:szCs w:val="22"/>
        </w:rPr>
        <w:t>tvikling av helhetlig indikatorsett for måling og synliggjøring av innovasjon og nyskapingsaktivitet</w:t>
      </w:r>
      <w:r>
        <w:rPr>
          <w:szCs w:val="22"/>
        </w:rPr>
        <w:t xml:space="preserve"> er i rute og det skal arrangeres en innspillskonferanse i juni for diskusjon av resultatene så langt.  </w:t>
      </w:r>
    </w:p>
    <w:p w14:paraId="2597FA34" w14:textId="77777777" w:rsidR="008576F8" w:rsidRDefault="008576F8" w:rsidP="00535949">
      <w:pPr>
        <w:rPr>
          <w:szCs w:val="22"/>
        </w:rPr>
      </w:pPr>
    </w:p>
    <w:p w14:paraId="477AE543" w14:textId="77777777" w:rsidR="006B743C" w:rsidRPr="0036724E" w:rsidRDefault="006B743C" w:rsidP="00535949">
      <w:pPr>
        <w:rPr>
          <w:bCs/>
          <w:szCs w:val="22"/>
        </w:rPr>
      </w:pPr>
      <w:r w:rsidRPr="006C2336">
        <w:rPr>
          <w:bCs/>
          <w:szCs w:val="22"/>
        </w:rPr>
        <w:t>Det er inngått</w:t>
      </w:r>
      <w:r>
        <w:rPr>
          <w:bCs/>
          <w:szCs w:val="22"/>
        </w:rPr>
        <w:t xml:space="preserve"> flere </w:t>
      </w:r>
      <w:r w:rsidRPr="006C2336">
        <w:rPr>
          <w:bCs/>
          <w:szCs w:val="22"/>
        </w:rPr>
        <w:t>l</w:t>
      </w:r>
      <w:r w:rsidRPr="006C2336">
        <w:rPr>
          <w:szCs w:val="22"/>
        </w:rPr>
        <w:t>angsiktige</w:t>
      </w:r>
      <w:r w:rsidRPr="00EB70B7">
        <w:rPr>
          <w:szCs w:val="22"/>
        </w:rPr>
        <w:t xml:space="preserve"> samarbeidsavtaler med eksterne aktører</w:t>
      </w:r>
      <w:r>
        <w:rPr>
          <w:szCs w:val="22"/>
        </w:rPr>
        <w:t xml:space="preserve"> på NTNU-nivå i tillegg til samarbeidsavtaler på fakultetsnivå, og flere initiativ er på gang</w:t>
      </w:r>
      <w:r w:rsidRPr="0036724E">
        <w:rPr>
          <w:bCs/>
          <w:szCs w:val="22"/>
        </w:rPr>
        <w:t xml:space="preserve">. For å nå NTNUs vedtatte ambisjoner for </w:t>
      </w:r>
      <w:r>
        <w:rPr>
          <w:bCs/>
          <w:szCs w:val="22"/>
        </w:rPr>
        <w:t>EVU</w:t>
      </w:r>
      <w:r w:rsidRPr="0036724E">
        <w:rPr>
          <w:bCs/>
          <w:szCs w:val="22"/>
        </w:rPr>
        <w:t xml:space="preserve">-området er det opprettet to arbeidsgrupper med spesifikke mandat. Den </w:t>
      </w:r>
      <w:r>
        <w:rPr>
          <w:bCs/>
          <w:szCs w:val="22"/>
        </w:rPr>
        <w:t>ene h</w:t>
      </w:r>
      <w:r w:rsidRPr="0036724E">
        <w:rPr>
          <w:bCs/>
          <w:szCs w:val="22"/>
        </w:rPr>
        <w:t xml:space="preserve">ar </w:t>
      </w:r>
      <w:r>
        <w:rPr>
          <w:bCs/>
          <w:szCs w:val="22"/>
        </w:rPr>
        <w:t xml:space="preserve">sitt </w:t>
      </w:r>
      <w:r w:rsidRPr="0036724E">
        <w:rPr>
          <w:bCs/>
          <w:szCs w:val="22"/>
        </w:rPr>
        <w:t>mandat rettet mot operasjonalisering av NTNUs ambisjoner om økt EVU og hvilke krav det setter til finansiering og hvordan NTNU strukturerer seg internt gjennom organisering, styring og støttefunksjoner</w:t>
      </w:r>
      <w:r>
        <w:rPr>
          <w:bCs/>
          <w:szCs w:val="22"/>
        </w:rPr>
        <w:t>. D</w:t>
      </w:r>
      <w:r w:rsidRPr="0036724E">
        <w:rPr>
          <w:bCs/>
          <w:szCs w:val="22"/>
        </w:rPr>
        <w:t xml:space="preserve">en andre </w:t>
      </w:r>
      <w:r>
        <w:rPr>
          <w:bCs/>
          <w:szCs w:val="22"/>
        </w:rPr>
        <w:t xml:space="preserve">arbeidsgruppen har sitt </w:t>
      </w:r>
      <w:r w:rsidRPr="0036724E">
        <w:rPr>
          <w:bCs/>
          <w:szCs w:val="22"/>
        </w:rPr>
        <w:t xml:space="preserve">mandat rettet spesifikt mot utvikling av nye kurs og programmer innen digitalisering. </w:t>
      </w:r>
      <w:r>
        <w:rPr>
          <w:bCs/>
          <w:szCs w:val="22"/>
        </w:rPr>
        <w:t xml:space="preserve">I tillegg deltar NTNU i flere nasjonale utvalg som arbeider med å klargjøre rammebetingelsene for EVU framover. </w:t>
      </w:r>
      <w:r w:rsidRPr="0036724E">
        <w:rPr>
          <w:bCs/>
          <w:szCs w:val="22"/>
        </w:rPr>
        <w:t xml:space="preserve">Disse initiativene sammen med Strategisk program for kunnskapsbasert innovasjon og Universitetskommune TRD 3.0 forventes å gi </w:t>
      </w:r>
      <w:r>
        <w:rPr>
          <w:bCs/>
          <w:szCs w:val="22"/>
        </w:rPr>
        <w:t xml:space="preserve">flere EVU-, </w:t>
      </w:r>
      <w:r w:rsidRPr="0036724E">
        <w:rPr>
          <w:bCs/>
          <w:szCs w:val="22"/>
        </w:rPr>
        <w:t>oppdragsforskning</w:t>
      </w:r>
      <w:r>
        <w:rPr>
          <w:bCs/>
          <w:szCs w:val="22"/>
        </w:rPr>
        <w:t xml:space="preserve">-, </w:t>
      </w:r>
      <w:r w:rsidRPr="0036724E">
        <w:rPr>
          <w:bCs/>
          <w:szCs w:val="22"/>
        </w:rPr>
        <w:t>IFU/OFU-pros</w:t>
      </w:r>
      <w:r>
        <w:rPr>
          <w:bCs/>
          <w:szCs w:val="22"/>
        </w:rPr>
        <w:t>jekter og lignende</w:t>
      </w:r>
      <w:r w:rsidRPr="0036724E">
        <w:rPr>
          <w:bCs/>
          <w:szCs w:val="22"/>
        </w:rPr>
        <w:t xml:space="preserve"> på sikt.</w:t>
      </w:r>
    </w:p>
    <w:p w14:paraId="3F10FF2D" w14:textId="77777777" w:rsidR="008576F8" w:rsidRDefault="008576F8" w:rsidP="00535949">
      <w:pPr>
        <w:rPr>
          <w:szCs w:val="22"/>
        </w:rPr>
      </w:pPr>
    </w:p>
    <w:p w14:paraId="0A1A38CB" w14:textId="77777777" w:rsidR="008576F8" w:rsidRPr="00212424" w:rsidRDefault="008576F8" w:rsidP="00535949">
      <w:pPr>
        <w:rPr>
          <w:szCs w:val="22"/>
          <w:highlight w:val="yellow"/>
        </w:rPr>
      </w:pPr>
    </w:p>
    <w:p w14:paraId="2B017640" w14:textId="77777777" w:rsidR="008576F8" w:rsidRPr="00C65D23" w:rsidRDefault="008576F8" w:rsidP="00535949">
      <w:pPr>
        <w:pStyle w:val="Heading4"/>
        <w:spacing w:before="0"/>
        <w:rPr>
          <w:rFonts w:ascii="Times New Roman" w:eastAsia="Times New Roman" w:hAnsi="Times New Roman" w:cs="Times New Roman"/>
          <w:b/>
          <w:color w:val="0070C0"/>
        </w:rPr>
      </w:pPr>
      <w:r w:rsidRPr="00C65D23">
        <w:rPr>
          <w:rFonts w:ascii="Times New Roman" w:eastAsia="Times New Roman" w:hAnsi="Times New Roman" w:cs="Times New Roman"/>
          <w:b/>
          <w:color w:val="0070C0"/>
        </w:rPr>
        <w:t xml:space="preserve">Vi skal planlegge en fremtidsrettet, samlet campus som kan bli modell for fremtidige offentlige utbygginger i Norge </w:t>
      </w:r>
    </w:p>
    <w:p w14:paraId="7222390F" w14:textId="64226310" w:rsidR="008576F8" w:rsidRDefault="008576F8" w:rsidP="00535949">
      <w:pPr>
        <w:rPr>
          <w:szCs w:val="22"/>
        </w:rPr>
      </w:pPr>
      <w:r>
        <w:rPr>
          <w:szCs w:val="22"/>
        </w:rPr>
        <w:t>Campusutvikling er godt i gang med planleggingen av samlet campus for NTNU. Vi er nå i sluttfasen av arbeid med å beskrive arealkonsepter for arbeidsplass, læringsarena og knutepunkt. NTNUs fysiske plan og forslag til planprogram med overordnede konsekvensutredninger ble ferdigstilt slutten av 2017, og planprogrammet lå fram til 4. mai ute for høring og offentlig ettersyn. Som del av planarbeidet gjennomføres det mulighetsstudier på og rundt Gløshaugen for å kartlegge mulighetsrommet knyttet til areal som befinner seg her. Sluttbehandling og fastsettelse av planprogram vil skje i Bystyret. Tidspunkt for sluttbehandlingen av planprogram er avhengig av Statsbyggs oppdrag med å utarbeide rapporten som blir grunnlaget for Regjeringens beslutning om Oppstart forprosjekt (OFP-rapport). NTNU campusutvikling har fra starten av mai jobbet tett sammen med Statsbygg</w:t>
      </w:r>
      <w:r w:rsidR="00402035">
        <w:rPr>
          <w:szCs w:val="22"/>
        </w:rPr>
        <w:t xml:space="preserve"> i arbeidet med OFP-rapporten. Utvalget som utreder f</w:t>
      </w:r>
      <w:r>
        <w:rPr>
          <w:szCs w:val="22"/>
        </w:rPr>
        <w:t>aglig lokalisering er ferdig med arbeidet knyttet til prinsipper og kriterier og er nå godt i gang med å analysere rammebetingelser og foreslå premisser for fysisk planlegging. Utvalget vil levere sin anbefaling med konkrete alternativer for faglig lokalisering i desember 2018. Arbeidet fra de tre ulike prosjektene vil bidra med resultater inn i arbeidet med r</w:t>
      </w:r>
      <w:r w:rsidRPr="0033569E">
        <w:rPr>
          <w:szCs w:val="22"/>
        </w:rPr>
        <w:t>om- og funksjonsprogrammet</w:t>
      </w:r>
      <w:r>
        <w:rPr>
          <w:szCs w:val="22"/>
        </w:rPr>
        <w:t xml:space="preserve"> som påbegynnes mot slutten av 2018.</w:t>
      </w:r>
    </w:p>
    <w:p w14:paraId="25F3DD0D" w14:textId="77777777" w:rsidR="008576F8" w:rsidRDefault="008576F8" w:rsidP="00535949">
      <w:pPr>
        <w:rPr>
          <w:szCs w:val="22"/>
        </w:rPr>
      </w:pPr>
    </w:p>
    <w:p w14:paraId="17740515" w14:textId="77777777" w:rsidR="008576F8" w:rsidRPr="00DB3E52" w:rsidRDefault="008576F8" w:rsidP="00535949">
      <w:pPr>
        <w:rPr>
          <w:szCs w:val="22"/>
        </w:rPr>
      </w:pPr>
      <w:r>
        <w:rPr>
          <w:szCs w:val="22"/>
        </w:rPr>
        <w:t xml:space="preserve">I tillegg er Campusutvikling involvert i flere ulike forskningsprosjekter som sammen med øvrige prosjekter bidrar til planleggingen av et nytt og fremtidsrettet campus som vil hjelpe til å </w:t>
      </w:r>
      <w:r w:rsidRPr="0033569E">
        <w:rPr>
          <w:szCs w:val="22"/>
        </w:rPr>
        <w:t>realisere NTNUs faglige ambisjoner</w:t>
      </w:r>
      <w:r>
        <w:rPr>
          <w:szCs w:val="22"/>
        </w:rPr>
        <w:t>.</w:t>
      </w:r>
    </w:p>
    <w:p w14:paraId="58F3A36F" w14:textId="77777777" w:rsidR="008576F8" w:rsidRDefault="008576F8" w:rsidP="00535949">
      <w:pPr>
        <w:rPr>
          <w:szCs w:val="24"/>
        </w:rPr>
      </w:pPr>
    </w:p>
    <w:p w14:paraId="15D1CAFE" w14:textId="77777777" w:rsidR="008576F8" w:rsidRDefault="008576F8" w:rsidP="00535949">
      <w:pPr>
        <w:rPr>
          <w:szCs w:val="24"/>
        </w:rPr>
      </w:pPr>
    </w:p>
    <w:p w14:paraId="2C653ACE" w14:textId="77777777" w:rsidR="008576F8" w:rsidRPr="00BC14E4" w:rsidRDefault="008576F8" w:rsidP="00535949">
      <w:pPr>
        <w:pStyle w:val="Heading4"/>
        <w:spacing w:before="0"/>
        <w:rPr>
          <w:rFonts w:ascii="Times New Roman" w:eastAsia="Times New Roman" w:hAnsi="Times New Roman" w:cs="Times New Roman"/>
          <w:b/>
          <w:color w:val="0070C0"/>
        </w:rPr>
      </w:pPr>
      <w:r w:rsidRPr="00BC14E4">
        <w:rPr>
          <w:rFonts w:ascii="Times New Roman" w:eastAsia="Times New Roman" w:hAnsi="Times New Roman" w:cs="Times New Roman"/>
          <w:b/>
          <w:color w:val="0070C0"/>
        </w:rPr>
        <w:t xml:space="preserve">Vi skal skape fleksible læringsarealer på alle campus som er tilpasset nye læringsformer </w:t>
      </w:r>
    </w:p>
    <w:p w14:paraId="428DC415" w14:textId="77777777" w:rsidR="008576F8" w:rsidRDefault="008576F8" w:rsidP="00535949">
      <w:r>
        <w:t>Det pågår utviklingsarbeid for mer fleksible og innovative læringsareal på flere campuser ved NTNU. Mye av utviklingen er basert på erfaringene fra pilotprosjektene vi har gjennomført tidligere år.</w:t>
      </w:r>
    </w:p>
    <w:p w14:paraId="53A82BE6" w14:textId="77777777" w:rsidR="008576F8" w:rsidRDefault="008576F8" w:rsidP="00535949"/>
    <w:p w14:paraId="75A90153" w14:textId="77777777" w:rsidR="008576F8" w:rsidRDefault="008576F8" w:rsidP="00535949">
      <w:pPr>
        <w:rPr>
          <w:sz w:val="22"/>
        </w:rPr>
      </w:pPr>
      <w:r>
        <w:t>I løpet av våren 2018 er det utviklet og planlagt ombygging av fire tradisjonelle undervisningsrom på Dragvoll til innovative fleksible undervisningsrom. To av undervisningsrommene bygges om i løpet av sommeren, de to øvrige rommene bygges om til høsten. Læringsarealene er lokalisert i klynge ved allerede etablerte pilot «Sandkassa».</w:t>
      </w:r>
    </w:p>
    <w:p w14:paraId="6FA4C722" w14:textId="77777777" w:rsidR="008576F8" w:rsidRDefault="008576F8" w:rsidP="00535949"/>
    <w:p w14:paraId="1F785878" w14:textId="77777777" w:rsidR="008576F8" w:rsidRDefault="008576F8" w:rsidP="00535949">
      <w:r>
        <w:t>På Gløshaugen ombygges to mindre undervisningsrom til et større innovativt fleksibelt undervisningsrom i Kjelhuset. Prosjektet er en del av arbeidet med samlokalisering etter fusjonen.</w:t>
      </w:r>
      <w:r w:rsidRPr="002629E7">
        <w:t xml:space="preserve"> </w:t>
      </w:r>
      <w:r>
        <w:t>Størrelsen er valgt med bakgrunn i analyser for hvilke kapasiteter vi vil ha behov for fremover på Gløshaugen</w:t>
      </w:r>
    </w:p>
    <w:p w14:paraId="66E6A379" w14:textId="77777777" w:rsidR="008576F8" w:rsidRDefault="008576F8" w:rsidP="00535949"/>
    <w:p w14:paraId="391A356B" w14:textId="77777777" w:rsidR="008576F8" w:rsidRDefault="008576F8" w:rsidP="00535949">
      <w:r>
        <w:t>Det er i vår utviklet og planlagt ca 160 nye fleksible studentarbeidsplasser i Elektrogårdene på Gløshaugen. Gjennomføring av prosjektet skjer i løpet av sommer/høst. I tillegg planlegges det masterplasser i gamle Elektro med mer innovative løsninger.</w:t>
      </w:r>
    </w:p>
    <w:p w14:paraId="3D802941" w14:textId="77777777" w:rsidR="008576F8" w:rsidRDefault="008576F8" w:rsidP="00535949"/>
    <w:p w14:paraId="44EB10BD" w14:textId="77777777" w:rsidR="006B743C" w:rsidRDefault="006B743C" w:rsidP="00535949">
      <w:r>
        <w:t>I tillegg ferdigstilles prosjektet «Fremtidens læringsareal, på Campus Ålesund i løpet av mai. Tilsvarende er deler av nybygget Smaragden på Gjøvik er møblert med løsninger utviklet gjennom pilotprosjektene.</w:t>
      </w:r>
    </w:p>
    <w:p w14:paraId="4CF290AE" w14:textId="77777777" w:rsidR="008576F8" w:rsidRDefault="008576F8" w:rsidP="00535949">
      <w:pPr>
        <w:rPr>
          <w:szCs w:val="24"/>
        </w:rPr>
      </w:pPr>
    </w:p>
    <w:p w14:paraId="10A54D3D" w14:textId="77777777" w:rsidR="008576F8" w:rsidRDefault="008576F8" w:rsidP="00535949">
      <w:pPr>
        <w:rPr>
          <w:color w:val="0070C0"/>
          <w:szCs w:val="24"/>
        </w:rPr>
      </w:pPr>
    </w:p>
    <w:p w14:paraId="3090D176" w14:textId="77777777" w:rsidR="008576F8" w:rsidRPr="00BC14E4" w:rsidRDefault="008576F8" w:rsidP="00535949">
      <w:pPr>
        <w:rPr>
          <w:b/>
          <w:color w:val="0070C0"/>
          <w:szCs w:val="24"/>
        </w:rPr>
      </w:pPr>
      <w:r w:rsidRPr="00BC14E4">
        <w:rPr>
          <w:b/>
          <w:color w:val="0070C0"/>
          <w:szCs w:val="24"/>
        </w:rPr>
        <w:t xml:space="preserve">Hovedprioriteringen </w:t>
      </w:r>
      <w:r w:rsidRPr="00BC14E4">
        <w:rPr>
          <w:b/>
          <w:i/>
          <w:iCs/>
          <w:color w:val="0070C0"/>
          <w:szCs w:val="22"/>
          <w:lang w:eastAsia="en-US"/>
        </w:rPr>
        <w:t>Sterke, internasjonalt orienterte fagmiljøer</w:t>
      </w:r>
      <w:r w:rsidRPr="00BC14E4">
        <w:rPr>
          <w:b/>
          <w:color w:val="0070C0"/>
          <w:szCs w:val="24"/>
        </w:rPr>
        <w:t xml:space="preserve"> har følgende fire virksomhetsmål for 2018:</w:t>
      </w:r>
    </w:p>
    <w:p w14:paraId="3EC06D77" w14:textId="77777777" w:rsidR="008576F8" w:rsidRPr="005A7052" w:rsidRDefault="008576F8" w:rsidP="00535949">
      <w:pPr>
        <w:pStyle w:val="ListParagraph"/>
        <w:numPr>
          <w:ilvl w:val="0"/>
          <w:numId w:val="15"/>
        </w:numPr>
        <w:rPr>
          <w:color w:val="0070C0"/>
          <w:szCs w:val="24"/>
        </w:rPr>
      </w:pPr>
      <w:r w:rsidRPr="005A7052">
        <w:rPr>
          <w:color w:val="0070C0"/>
          <w:szCs w:val="24"/>
        </w:rPr>
        <w:t xml:space="preserve">Vi skal bli en mer aktiv internasjonal aktør gjennom å øke vår deltakelse i Horisont 2020, Erasmus+ og EIT. </w:t>
      </w:r>
    </w:p>
    <w:p w14:paraId="773440A6" w14:textId="77777777" w:rsidR="008576F8" w:rsidRPr="005A7052" w:rsidRDefault="008576F8" w:rsidP="00535949">
      <w:pPr>
        <w:pStyle w:val="ListParagraph"/>
        <w:numPr>
          <w:ilvl w:val="0"/>
          <w:numId w:val="15"/>
        </w:numPr>
        <w:rPr>
          <w:color w:val="0070C0"/>
          <w:szCs w:val="24"/>
        </w:rPr>
      </w:pPr>
      <w:r w:rsidRPr="005A7052">
        <w:rPr>
          <w:color w:val="0070C0"/>
          <w:szCs w:val="24"/>
        </w:rPr>
        <w:t>Vi skal styrke forskningskulturen og legge vekt på åpen tilgang til forskning.</w:t>
      </w:r>
    </w:p>
    <w:p w14:paraId="2AA11904" w14:textId="77777777" w:rsidR="008576F8" w:rsidRPr="005A7052" w:rsidRDefault="008576F8" w:rsidP="00535949">
      <w:pPr>
        <w:pStyle w:val="ListParagraph"/>
        <w:numPr>
          <w:ilvl w:val="0"/>
          <w:numId w:val="15"/>
        </w:numPr>
        <w:rPr>
          <w:color w:val="0070C0"/>
          <w:szCs w:val="24"/>
        </w:rPr>
      </w:pPr>
      <w:r w:rsidRPr="005A7052">
        <w:rPr>
          <w:color w:val="0070C0"/>
          <w:szCs w:val="24"/>
        </w:rPr>
        <w:t>Vi skal heve kvaliteten i forskningen og utvikle flere fagmiljøer på høyt internasjonalt nivå.</w:t>
      </w:r>
    </w:p>
    <w:p w14:paraId="014979E9" w14:textId="77777777" w:rsidR="008576F8" w:rsidRPr="005A7052" w:rsidRDefault="008576F8" w:rsidP="00535949">
      <w:pPr>
        <w:pStyle w:val="ListParagraph"/>
        <w:numPr>
          <w:ilvl w:val="0"/>
          <w:numId w:val="15"/>
        </w:numPr>
        <w:rPr>
          <w:color w:val="0070C0"/>
          <w:szCs w:val="24"/>
        </w:rPr>
      </w:pPr>
      <w:r w:rsidRPr="005A7052">
        <w:rPr>
          <w:color w:val="0070C0"/>
          <w:szCs w:val="24"/>
        </w:rPr>
        <w:t>Vi skal styrke den pedagogiske kompetansen og utvikle et system for pedagogisk merittering.</w:t>
      </w:r>
    </w:p>
    <w:p w14:paraId="7AD68FBF" w14:textId="77777777" w:rsidR="008576F8" w:rsidRDefault="008576F8" w:rsidP="00535949">
      <w:pPr>
        <w:rPr>
          <w:szCs w:val="22"/>
        </w:rPr>
      </w:pPr>
    </w:p>
    <w:p w14:paraId="145583C2" w14:textId="77777777" w:rsidR="008576F8" w:rsidRDefault="008576F8" w:rsidP="00535949">
      <w:pPr>
        <w:rPr>
          <w:szCs w:val="22"/>
        </w:rPr>
      </w:pPr>
      <w:r w:rsidRPr="005A7052">
        <w:rPr>
          <w:szCs w:val="22"/>
        </w:rPr>
        <w:t xml:space="preserve">Denne hovedprioriteringen bygger opp under visjonen om å bli et internasjonalt fremragende universitet som leverer «kunnskap for en bedre verden». NTNU skal være et internasjonalt orientert universitet som har høy kvalitet i all forskning og kunstnerisk virksomhet. Vår utdanning skal holde høy faglig og pedagogisk kvalitet. </w:t>
      </w:r>
    </w:p>
    <w:p w14:paraId="2FAC61C0" w14:textId="77777777" w:rsidR="008576F8" w:rsidRDefault="008576F8" w:rsidP="00535949">
      <w:pPr>
        <w:rPr>
          <w:szCs w:val="22"/>
        </w:rPr>
      </w:pPr>
    </w:p>
    <w:p w14:paraId="032EC60A" w14:textId="77777777" w:rsidR="008576F8" w:rsidRDefault="008576F8" w:rsidP="00535949">
      <w:pPr>
        <w:rPr>
          <w:szCs w:val="22"/>
        </w:rPr>
      </w:pPr>
    </w:p>
    <w:p w14:paraId="34702575" w14:textId="77777777" w:rsidR="008576F8" w:rsidRPr="00BC14E4" w:rsidRDefault="008576F8" w:rsidP="00535949">
      <w:pPr>
        <w:rPr>
          <w:b/>
          <w:i/>
          <w:iCs/>
          <w:color w:val="0070C0"/>
        </w:rPr>
      </w:pPr>
      <w:r w:rsidRPr="00BC14E4">
        <w:rPr>
          <w:b/>
          <w:i/>
          <w:iCs/>
          <w:color w:val="0070C0"/>
        </w:rPr>
        <w:t xml:space="preserve">Vi skal bli en mer aktiv internasjonal aktør gjennom å øke vår deltakelse i Horisont 2020, Erasmus+ og EIT. </w:t>
      </w:r>
    </w:p>
    <w:p w14:paraId="4D59B958" w14:textId="77777777" w:rsidR="008576F8" w:rsidRPr="00861098" w:rsidRDefault="008576F8" w:rsidP="00535949">
      <w:r w:rsidRPr="00861098">
        <w:t xml:space="preserve">Søknadsaktiviteten fra NTNU til Horisont 2020 har gått noe opp. Så langt har NTNU deltatt i nesten 800 søknader til rammeprogrammet. I 2017 deltok vi i 278 søknader. Så langt i 2018 har vi deltatt i 145 søknader. Tilslagsprosenten har ligget relativt stabilt på rundt 10 % gjennom hele rammeprogramperioden. Vi deltar i 107 prosjekter i Horisont 2020. Inntekten vår fra programmet er på 540 millioner kroner. Fortsatt er halvparten av midlene i Horisont 2020 ikke delt ut. Vi ligger dermed godt an til å nå målet om en inntekt på 1 milliard kroner fra programmet. </w:t>
      </w:r>
    </w:p>
    <w:p w14:paraId="06284C86" w14:textId="77777777" w:rsidR="008576F8" w:rsidRPr="00861098" w:rsidRDefault="008576F8" w:rsidP="00535949"/>
    <w:p w14:paraId="530C6534" w14:textId="4D56D66B" w:rsidR="008576F8" w:rsidRPr="00861098" w:rsidRDefault="008576F8" w:rsidP="00535949">
      <w:r w:rsidRPr="00861098">
        <w:t xml:space="preserve">Vi har de siste årene arbeidet systematisk for å komme med i flere European Institute of Innovation and Technology Knowledge and Innovation Communities. NTNU har vært medlem i Climate-KIC siden 2015. I 2017 kom vi med i KIC Raw Materials og vi arbeider våren 2018 med å komme med i KIC InnoEnergy, samtidig som vi deltar i et konsortium som søker om KIC Advanced Manufacturing. </w:t>
      </w:r>
    </w:p>
    <w:p w14:paraId="1D936265" w14:textId="77777777" w:rsidR="008576F8" w:rsidRDefault="008576F8" w:rsidP="00535949">
      <w:pPr>
        <w:rPr>
          <w:szCs w:val="22"/>
        </w:rPr>
      </w:pPr>
    </w:p>
    <w:p w14:paraId="3A3282C0" w14:textId="77777777" w:rsidR="008576F8" w:rsidRDefault="008576F8" w:rsidP="00535949">
      <w:pPr>
        <w:rPr>
          <w:szCs w:val="22"/>
        </w:rPr>
      </w:pPr>
    </w:p>
    <w:p w14:paraId="3ECED338" w14:textId="77777777" w:rsidR="008576F8" w:rsidRPr="00BC14E4" w:rsidRDefault="008576F8" w:rsidP="00535949">
      <w:pPr>
        <w:rPr>
          <w:b/>
          <w:i/>
          <w:iCs/>
          <w:color w:val="0070C0"/>
        </w:rPr>
      </w:pPr>
      <w:r w:rsidRPr="00BC14E4">
        <w:rPr>
          <w:b/>
          <w:i/>
          <w:iCs/>
          <w:color w:val="0070C0"/>
        </w:rPr>
        <w:t>Vi skal styrke forskningskulturen og legge vekt på åpen tilgang til forskning.</w:t>
      </w:r>
      <w:r w:rsidRPr="00BC14E4">
        <w:rPr>
          <w:b/>
          <w:i/>
          <w:iCs/>
          <w:color w:val="0070C0"/>
          <w:highlight w:val="yellow"/>
        </w:rPr>
        <w:t xml:space="preserve"> </w:t>
      </w:r>
    </w:p>
    <w:p w14:paraId="1F89F286" w14:textId="2A3B1929" w:rsidR="008576F8" w:rsidRDefault="008576F8" w:rsidP="00535949">
      <w:r>
        <w:t xml:space="preserve">Fakultetene arbeider stadig med integrasjon av fagmiljøene etter omorganiseringen, og det innebærer også fysisk samlokalisering i enkelte tilfeller. Målet er at godt integrerte fagmiljøer skal føre til en styrking av felles forskningskultur, men dette er et arbeid som nødvendigvis må ta tid. Utviklingen innen vitenskapelig publisering </w:t>
      </w:r>
      <w:r w:rsidR="005A156C">
        <w:t xml:space="preserve">(se avsnitt senere i rapporten) viser </w:t>
      </w:r>
      <w:r>
        <w:t xml:space="preserve">at </w:t>
      </w:r>
      <w:r w:rsidR="005A156C">
        <w:t xml:space="preserve">det gjenstår endel før NTNU kan sies å være </w:t>
      </w:r>
      <w:r>
        <w:t>et forskningsuniversitet på høyt nivå, slik strategi</w:t>
      </w:r>
      <w:r w:rsidR="005A156C">
        <w:t>en</w:t>
      </w:r>
      <w:r>
        <w:t xml:space="preserve"> </w:t>
      </w:r>
      <w:r w:rsidR="005A156C">
        <w:t>har som ambisjon</w:t>
      </w:r>
      <w:r>
        <w:t>.</w:t>
      </w:r>
    </w:p>
    <w:p w14:paraId="0A29B6BB" w14:textId="77777777" w:rsidR="008576F8" w:rsidRDefault="008576F8" w:rsidP="00535949"/>
    <w:p w14:paraId="7D53D250" w14:textId="16802020" w:rsidR="008576F8" w:rsidRDefault="008576F8" w:rsidP="00535949">
      <w:r w:rsidRPr="00CC5D51">
        <w:t>NTNU har i 2017–2018 vedtatt politikk og handlingsplaner for åpen tilgang til forskningspublikasjoner og -data.</w:t>
      </w:r>
      <w:r>
        <w:t xml:space="preserve"> </w:t>
      </w:r>
      <w:r w:rsidRPr="00CC5D51">
        <w:t>Andel egenarkiverte publikasjoner har økt fra 36 % i 2016 til 54 % i 2017.</w:t>
      </w:r>
      <w:r>
        <w:t xml:space="preserve"> </w:t>
      </w:r>
      <w:r w:rsidRPr="00CC5D51">
        <w:t xml:space="preserve">Andel publikasjoner i Gull Open Access-kanaler i 2017 var 16,4 %. </w:t>
      </w:r>
      <w:r>
        <w:t>Medregnet</w:t>
      </w:r>
      <w:r w:rsidRPr="00CC5D51">
        <w:t xml:space="preserve"> egenarkivering var andelen publikasjoner med åpen tilgang 60 % i 2017, mot 36 % i 2016.</w:t>
      </w:r>
      <w:r>
        <w:t xml:space="preserve"> Myndighetenes krav er at </w:t>
      </w:r>
      <w:r>
        <w:rPr>
          <w:i/>
        </w:rPr>
        <w:t>alle</w:t>
      </w:r>
      <w:r>
        <w:t xml:space="preserve"> publikasjoner fra offentlig finansiert forskning skal være åpent tilgjengelige innen 2024. Det er en stor</w:t>
      </w:r>
      <w:r w:rsidRPr="00CC5D51">
        <w:t xml:space="preserve">, men </w:t>
      </w:r>
      <w:r>
        <w:t>ikke uoverkommelig oppgave</w:t>
      </w:r>
      <w:r w:rsidR="006B743C">
        <w:t xml:space="preserve">, og </w:t>
      </w:r>
      <w:r w:rsidRPr="00CC5D51">
        <w:t xml:space="preserve">ambisjonen er </w:t>
      </w:r>
      <w:r>
        <w:t>at minst</w:t>
      </w:r>
      <w:r w:rsidRPr="00CC5D51">
        <w:t xml:space="preserve"> 90 %</w:t>
      </w:r>
      <w:r>
        <w:t xml:space="preserve"> av nye publikasjoner i 2018 skal egenarkiveres og være åpent tilgjengelig innen kort tid.</w:t>
      </w:r>
    </w:p>
    <w:p w14:paraId="13B8319D" w14:textId="77777777" w:rsidR="008576F8" w:rsidRDefault="008576F8" w:rsidP="00535949"/>
    <w:p w14:paraId="1C5412E7" w14:textId="77777777" w:rsidR="008576F8" w:rsidRDefault="008576F8" w:rsidP="00535949">
      <w:r>
        <w:t xml:space="preserve">Kravet om åpen tilgang til forskningsdata er en formidabel utfordring, både med hensyn til å endre forskningskulturen og når det gjelder behov for systemer for arkivering og tilgjengeliggjøring av data. Det er etablert en Åpne data-gruppe forankret ved Universitetsbiblioteket og IT-avdelingen som blant annet arbeider med å kartlegge brukerbehov, vurdere tekniske løsninger og å informere forskerne. NTNU deltar blant annet med piloter innenfor NORDi-prosjekter ved Norsk senter for forskningsdata (NSD), som utvikler </w:t>
      </w:r>
      <w:r w:rsidRPr="00675CE0">
        <w:t>verktøy for å finne, lagre og dele forskningsdata</w:t>
      </w:r>
      <w:r>
        <w:t>.</w:t>
      </w:r>
    </w:p>
    <w:p w14:paraId="6065EA9A" w14:textId="77777777" w:rsidR="008576F8" w:rsidRDefault="008576F8" w:rsidP="00535949"/>
    <w:p w14:paraId="40E6091C" w14:textId="77777777" w:rsidR="008576F8" w:rsidRPr="00963F5B" w:rsidRDefault="008576F8" w:rsidP="00535949">
      <w:pPr>
        <w:rPr>
          <w:szCs w:val="22"/>
        </w:rPr>
      </w:pPr>
    </w:p>
    <w:p w14:paraId="53F857FA" w14:textId="77777777" w:rsidR="008576F8" w:rsidRPr="00BC14E4" w:rsidRDefault="008576F8" w:rsidP="00535949">
      <w:pPr>
        <w:rPr>
          <w:b/>
          <w:i/>
          <w:iCs/>
          <w:color w:val="0070C0"/>
          <w:szCs w:val="22"/>
          <w:lang w:eastAsia="en-US"/>
        </w:rPr>
      </w:pPr>
      <w:r w:rsidRPr="00BC14E4">
        <w:rPr>
          <w:b/>
          <w:i/>
          <w:iCs/>
          <w:color w:val="0070C0"/>
          <w:szCs w:val="22"/>
          <w:lang w:eastAsia="en-US"/>
        </w:rPr>
        <w:t xml:space="preserve">Vi skal heve kvaliteten i forskningen og utvikle flere fagmiljøer på høyt internasjonalt nivå </w:t>
      </w:r>
    </w:p>
    <w:p w14:paraId="27D1EAE8" w14:textId="2617A226" w:rsidR="00CF49DB" w:rsidRDefault="00CF49DB" w:rsidP="00535949">
      <w:r>
        <w:t>Utvikling av fagmiljøer sto høyt på dagsorden i dialogmøtene med fakultetene, og mange har utvikling av fagmiljøer som prioriterte satsinger for å realisere fusjonseffekter og lykkes med gjennomføring av strategien. Inntrykket både gjennom dialogen og fra fakultetenes rapporter er at det er høy bevissthet om viktigheten av dette og at det arbeides godt og systematisk ved alle fakulteter.</w:t>
      </w:r>
    </w:p>
    <w:p w14:paraId="6DD91941" w14:textId="77777777" w:rsidR="00CF49DB" w:rsidRDefault="00CF49DB" w:rsidP="00535949"/>
    <w:p w14:paraId="795405BB" w14:textId="3DCFF43A" w:rsidR="008576F8" w:rsidRPr="008F2382" w:rsidRDefault="008576F8" w:rsidP="00535949">
      <w:r w:rsidRPr="008F2382">
        <w:t xml:space="preserve">Vi har gjennomført en felles samling for alle Onsager Fellows våren 2018. Tema for samlingen var krav og retningslinjer </w:t>
      </w:r>
      <w:r>
        <w:t xml:space="preserve">knyttet til </w:t>
      </w:r>
      <w:r w:rsidRPr="008F2382">
        <w:t>den norske innstegsordningen</w:t>
      </w:r>
      <w:r>
        <w:t>,</w:t>
      </w:r>
      <w:r w:rsidRPr="008F2382">
        <w:t xml:space="preserve"> og utvikling av ERC</w:t>
      </w:r>
      <w:r>
        <w:t>-</w:t>
      </w:r>
      <w:r w:rsidRPr="008F2382">
        <w:t xml:space="preserve">søknader </w:t>
      </w:r>
      <w:r>
        <w:t>med</w:t>
      </w:r>
      <w:r w:rsidRPr="008F2382">
        <w:t xml:space="preserve"> gjennomgang av NTNUs støtteapparat. </w:t>
      </w:r>
    </w:p>
    <w:p w14:paraId="276CD710" w14:textId="77777777" w:rsidR="008576F8" w:rsidRPr="008F2382" w:rsidRDefault="008576F8" w:rsidP="00535949"/>
    <w:p w14:paraId="15834BAB" w14:textId="77777777" w:rsidR="008576F8" w:rsidRDefault="008576F8" w:rsidP="00535949">
      <w:r w:rsidRPr="008F2382">
        <w:t>Det er gjennomført individuelle samtaler med delta</w:t>
      </w:r>
      <w:r>
        <w:t>k</w:t>
      </w:r>
      <w:r w:rsidRPr="008F2382">
        <w:t>erne i Stjerneprogrammet 2.0 (kull 2)</w:t>
      </w:r>
      <w:r>
        <w:t>,</w:t>
      </w:r>
      <w:r w:rsidRPr="008F2382">
        <w:t xml:space="preserve"> </w:t>
      </w:r>
      <w:r>
        <w:t>der</w:t>
      </w:r>
      <w:r w:rsidRPr="008F2382">
        <w:t xml:space="preserve"> prodekan forskning og instituttleder deltok f</w:t>
      </w:r>
      <w:r>
        <w:t>or å sikre forankring i linja.</w:t>
      </w:r>
    </w:p>
    <w:p w14:paraId="1440E6A1" w14:textId="1E8E36A9" w:rsidR="00BE7E10" w:rsidRDefault="00BE7E10" w:rsidP="00535949"/>
    <w:p w14:paraId="50D3C41D" w14:textId="2F7CBAF1" w:rsidR="004B20BB" w:rsidRDefault="004B20BB" w:rsidP="00535949">
      <w:r>
        <w:t xml:space="preserve">I mai ble NTNU tildelt ett nytt Geminisenter, </w:t>
      </w:r>
      <w:r w:rsidRPr="004B20BB">
        <w:t>Digital Sepsisforebygging</w:t>
      </w:r>
      <w:r>
        <w:t>, og fire eksisterende senter fikk en forlengelse på 4 år. (Geminisentrene er strategiske samhandlingsarenaer mellom parallelle faggrupper ved NTNU, SINTEF, Universitetet i Oslo og St. Olavs Hospital. Formålet er å bygge større og mer robuste fagmiljøer med høyere kvalitet.)</w:t>
      </w:r>
    </w:p>
    <w:p w14:paraId="10FD92DE" w14:textId="77777777" w:rsidR="004B20BB" w:rsidRPr="00796CCB" w:rsidRDefault="004B20BB" w:rsidP="00535949"/>
    <w:p w14:paraId="18DC5E5F" w14:textId="5694C8AA" w:rsidR="00BE7E10" w:rsidRDefault="004B20BB" w:rsidP="00535949">
      <w:r>
        <w:t xml:space="preserve">For øvrig nevens at </w:t>
      </w:r>
      <w:r w:rsidR="00BE7E10" w:rsidRPr="00796CCB">
        <w:t>NTNU forbereder seg på ny SFI-utlysning som er forventet å komme våren 2019. Fakultetene jobber med</w:t>
      </w:r>
      <w:r w:rsidR="00BE7E10">
        <w:t xml:space="preserve"> å</w:t>
      </w:r>
      <w:r w:rsidR="00BE7E10" w:rsidRPr="00796CCB">
        <w:t xml:space="preserve"> konkretisere og kvalitetssikre initiativ i påvente av utlysning.</w:t>
      </w:r>
    </w:p>
    <w:p w14:paraId="68FAA434" w14:textId="77777777" w:rsidR="008576F8" w:rsidRDefault="008576F8" w:rsidP="00535949">
      <w:pPr>
        <w:rPr>
          <w:szCs w:val="22"/>
        </w:rPr>
      </w:pPr>
    </w:p>
    <w:p w14:paraId="727A4ADC" w14:textId="77777777" w:rsidR="008576F8" w:rsidRDefault="008576F8" w:rsidP="00535949">
      <w:pPr>
        <w:rPr>
          <w:szCs w:val="22"/>
        </w:rPr>
      </w:pPr>
    </w:p>
    <w:p w14:paraId="5896D04F" w14:textId="77777777" w:rsidR="008576F8" w:rsidRPr="00BC14E4" w:rsidRDefault="008576F8" w:rsidP="00535949">
      <w:pPr>
        <w:pStyle w:val="Heading4"/>
        <w:spacing w:before="0"/>
        <w:rPr>
          <w:rFonts w:ascii="Times New Roman" w:eastAsia="Times New Roman" w:hAnsi="Times New Roman" w:cs="Times New Roman"/>
          <w:b/>
          <w:color w:val="0070C0"/>
          <w:highlight w:val="yellow"/>
        </w:rPr>
      </w:pPr>
      <w:r w:rsidRPr="00BC14E4">
        <w:rPr>
          <w:rFonts w:ascii="Times New Roman" w:eastAsia="Times New Roman" w:hAnsi="Times New Roman" w:cs="Times New Roman"/>
          <w:b/>
          <w:color w:val="0070C0"/>
        </w:rPr>
        <w:t>Vi skal styrke den pedagogiske kompetansen og utvikle et system for pedagogisk merittering.</w:t>
      </w:r>
      <w:r w:rsidRPr="00BC14E4">
        <w:rPr>
          <w:b/>
          <w:i w:val="0"/>
          <w:iCs w:val="0"/>
          <w:color w:val="0070C0"/>
          <w:highlight w:val="yellow"/>
        </w:rPr>
        <w:t xml:space="preserve"> </w:t>
      </w:r>
    </w:p>
    <w:p w14:paraId="2CC2403D" w14:textId="77777777" w:rsidR="008576F8" w:rsidRPr="00EA7DB8" w:rsidRDefault="008576F8" w:rsidP="00535949">
      <w:pPr>
        <w:shd w:val="clear" w:color="auto" w:fill="FFFFFF"/>
        <w:rPr>
          <w:color w:val="000000" w:themeColor="text1"/>
        </w:rPr>
      </w:pPr>
      <w:r w:rsidRPr="00EA7DB8">
        <w:rPr>
          <w:color w:val="000000" w:themeColor="text1"/>
        </w:rPr>
        <w:t xml:space="preserve">Arbeidet med å styrke den pedagogiske kompetansen går som planlagt. SU-fakultet har på bestilling fra prorektor levert rapporten «Utdanningsfaglig basiskompetanse ved NTNU – utvikling og pilotering av nytt tilbud». Det nye tilbudet, som omfatter universitets-pedagogikk, didaktikk og bruk av digital teknologi i undervisning og læring, er for faglig ansatte og skal erstatte dagens Pedup (basiskurs i universitetspedagogikk). Piloten starter opp høsten 2018. AD-, SU- og NV-fakultetet deltar i piloten sammen med Uniped, Læringsstøttesenteret og NTNU Drive. Piloten legges under et tverrfakultært programråd. En stipendiatstilling for 2019 allokeres til SU-fakultetet for følgeforskning knyttet til nyutviklingen av utdanningstilbudet innen utdanningsfaglig basiskompetanse for våre faglig ansatte. </w:t>
      </w:r>
    </w:p>
    <w:p w14:paraId="33274053" w14:textId="77777777" w:rsidR="008576F8" w:rsidRPr="00EA7DB8" w:rsidRDefault="008576F8" w:rsidP="00535949">
      <w:pPr>
        <w:rPr>
          <w:color w:val="000000" w:themeColor="text1"/>
        </w:rPr>
      </w:pPr>
    </w:p>
    <w:p w14:paraId="03DB73AB" w14:textId="2C1248B2" w:rsidR="008576F8" w:rsidRPr="00EA7DB8" w:rsidRDefault="008576F8" w:rsidP="00535949">
      <w:pPr>
        <w:rPr>
          <w:color w:val="000000" w:themeColor="text1"/>
        </w:rPr>
      </w:pPr>
      <w:r w:rsidRPr="00EA7DB8">
        <w:rPr>
          <w:color w:val="000000" w:themeColor="text1"/>
        </w:rPr>
        <w:t xml:space="preserve">NTNU har lyst ut andre søknadsperiode for status som merittert underviser, med frist 15. september. Denne tidsplanen tilsier at vi vil utnevne flere meritterte undervisere inneværende år. I andre utlysning er ordningen utvidet, fra å gjelde kun førsteamanuensis og professor, til å også omfatte førstelektor og dosent. Nye søkere får tilbud om støtte individuelt og i seminarer. Søkere som ikke nådde opp i første runde har fått tilbakemeldinger på søknaden og får spesiell oppfølging der en utvikling av søknaden kan medføre at de lykkes i denne runden. Prodekanene </w:t>
      </w:r>
      <w:r w:rsidR="00DF141F">
        <w:rPr>
          <w:color w:val="000000" w:themeColor="text1"/>
        </w:rPr>
        <w:t xml:space="preserve">er </w:t>
      </w:r>
      <w:r w:rsidRPr="00EA7DB8">
        <w:rPr>
          <w:color w:val="000000" w:themeColor="text1"/>
        </w:rPr>
        <w:t>oppfordret til å ha spesielt øye for tiltak som kan gi flere kvinnelige søkere, da andel kvinnelige søkere ikke gjenspeilet kjønnsbalansen ellers i første runde. NTNU samarbeider fortsatt tett med UiT - Norges arktiske universitet, og utlysning, kriterier og prosess utvikles basert på gjensidig erfaringsutveksling.</w:t>
      </w:r>
    </w:p>
    <w:p w14:paraId="14F10D7D" w14:textId="77777777" w:rsidR="008576F8" w:rsidRDefault="008576F8" w:rsidP="00535949">
      <w:pPr>
        <w:rPr>
          <w:szCs w:val="22"/>
        </w:rPr>
      </w:pPr>
    </w:p>
    <w:p w14:paraId="3ACA0123" w14:textId="3A641168" w:rsidR="008576F8" w:rsidRDefault="008576F8" w:rsidP="00535949">
      <w:pPr>
        <w:rPr>
          <w:szCs w:val="22"/>
        </w:rPr>
      </w:pPr>
    </w:p>
    <w:p w14:paraId="729A7540" w14:textId="78DB437F" w:rsidR="008576F8" w:rsidRPr="0014331F" w:rsidRDefault="007859FE" w:rsidP="00535949">
      <w:pPr>
        <w:pStyle w:val="ListParagraph"/>
        <w:numPr>
          <w:ilvl w:val="0"/>
          <w:numId w:val="14"/>
        </w:numPr>
        <w:rPr>
          <w:b/>
          <w:sz w:val="28"/>
          <w:szCs w:val="24"/>
        </w:rPr>
      </w:pPr>
      <w:r>
        <w:rPr>
          <w:b/>
          <w:sz w:val="28"/>
          <w:szCs w:val="24"/>
        </w:rPr>
        <w:t>Aktuell</w:t>
      </w:r>
      <w:r w:rsidR="008576F8" w:rsidRPr="0014331F">
        <w:rPr>
          <w:b/>
          <w:sz w:val="28"/>
          <w:szCs w:val="24"/>
        </w:rPr>
        <w:t xml:space="preserve"> informasjon </w:t>
      </w:r>
      <w:r w:rsidR="003668B1">
        <w:rPr>
          <w:b/>
          <w:sz w:val="28"/>
          <w:szCs w:val="24"/>
        </w:rPr>
        <w:t>og styringsdata</w:t>
      </w:r>
    </w:p>
    <w:p w14:paraId="2A911AC7" w14:textId="77777777" w:rsidR="008576F8" w:rsidRDefault="008576F8" w:rsidP="00535949">
      <w:pPr>
        <w:rPr>
          <w:i/>
          <w:color w:val="4F81BD" w:themeColor="accent1"/>
          <w:szCs w:val="24"/>
        </w:rPr>
      </w:pPr>
    </w:p>
    <w:p w14:paraId="1BBD07F5" w14:textId="77777777" w:rsidR="008576F8" w:rsidRPr="00BC14E4" w:rsidRDefault="008576F8" w:rsidP="00535949">
      <w:pPr>
        <w:rPr>
          <w:b/>
          <w:color w:val="0070C0"/>
          <w:szCs w:val="22"/>
        </w:rPr>
      </w:pPr>
      <w:r w:rsidRPr="00BC14E4">
        <w:rPr>
          <w:b/>
          <w:i/>
          <w:color w:val="0070C0"/>
          <w:szCs w:val="24"/>
        </w:rPr>
        <w:t>Utdanning</w:t>
      </w:r>
    </w:p>
    <w:p w14:paraId="79FD1E6E" w14:textId="77777777" w:rsidR="00D71EF5" w:rsidRDefault="008576F8" w:rsidP="00535949">
      <w:pPr>
        <w:rPr>
          <w:szCs w:val="22"/>
        </w:rPr>
      </w:pPr>
      <w:r w:rsidRPr="00EA7DB8">
        <w:rPr>
          <w:szCs w:val="22"/>
        </w:rPr>
        <w:t xml:space="preserve">På utdanningsområdet er det i første tertial lagt ned mye innsats knyttet til å utvikle rutiner og dokumentasjon på at studieporteføljen tilfredsstiller de skjerpede kravene den nye tilsynsforskriften stiller til faglig ledelse, ansvar for kvalitetsutvikling av studietilbud og institusjonens systematiske kvalitetsarbeid. </w:t>
      </w:r>
    </w:p>
    <w:p w14:paraId="434F72FA" w14:textId="77777777" w:rsidR="00D71EF5" w:rsidRDefault="00D71EF5" w:rsidP="00535949">
      <w:pPr>
        <w:rPr>
          <w:szCs w:val="22"/>
        </w:rPr>
      </w:pPr>
    </w:p>
    <w:p w14:paraId="0492CE41" w14:textId="1280F959" w:rsidR="00D71EF5" w:rsidRDefault="008576F8" w:rsidP="00535949">
      <w:pPr>
        <w:rPr>
          <w:szCs w:val="22"/>
        </w:rPr>
      </w:pPr>
      <w:r w:rsidRPr="00EA7DB8">
        <w:rPr>
          <w:szCs w:val="22"/>
        </w:rPr>
        <w:t xml:space="preserve">Det har videre vært jobbet mye med tilrettelegging for digitalisering: Implementeringsprosjektet knyttet til det nye e-læringssystemet Blackboard ble offisielt avsluttet og systemet overlevert til linja 31. mars. Kapasiteten for digital skoleeksamen er økt – i vår er kapasiteten utvidet til ca. 250 plasser i både Gjøvik og Ålesund, og i Trondheim klargjøres nye lokaler i Postterminalen på Sluppen og Sukkerhuset på Kalvskinnet til bruk for digital skoleeksamen. I vår vil det være mulig å ta i bruk 300 av totalt 1450 plasser på Sluppen og 200 av totalt 260 plasser på Sukkerhuset. </w:t>
      </w:r>
      <w:r w:rsidR="00D71EF5">
        <w:rPr>
          <w:szCs w:val="22"/>
        </w:rPr>
        <w:t>I full drift med</w:t>
      </w:r>
      <w:r w:rsidR="00D71EF5" w:rsidRPr="00D71EF5">
        <w:rPr>
          <w:szCs w:val="22"/>
        </w:rPr>
        <w:t xml:space="preserve"> drøyt 1700 plasser vil vi ha tilstrekkelig kapasitet til hele behovet i Trondheim, med </w:t>
      </w:r>
      <w:r w:rsidR="00D71EF5">
        <w:rPr>
          <w:szCs w:val="22"/>
        </w:rPr>
        <w:t xml:space="preserve">noen </w:t>
      </w:r>
      <w:r w:rsidR="00D71EF5" w:rsidRPr="00D71EF5">
        <w:rPr>
          <w:szCs w:val="22"/>
        </w:rPr>
        <w:t>forbehold</w:t>
      </w:r>
      <w:r w:rsidR="00D71EF5">
        <w:rPr>
          <w:szCs w:val="22"/>
        </w:rPr>
        <w:t xml:space="preserve"> siden vi er i en oppbyggingsfase og trenger tid til å gjøre oss erfaringer.</w:t>
      </w:r>
      <w:r w:rsidR="00D71EF5" w:rsidRPr="00D71EF5">
        <w:rPr>
          <w:szCs w:val="22"/>
        </w:rPr>
        <w:t xml:space="preserve"> </w:t>
      </w:r>
      <w:r w:rsidR="00D71EF5">
        <w:rPr>
          <w:szCs w:val="22"/>
        </w:rPr>
        <w:t xml:space="preserve">I </w:t>
      </w:r>
      <w:r w:rsidR="00D71EF5" w:rsidRPr="00D71EF5">
        <w:rPr>
          <w:szCs w:val="22"/>
        </w:rPr>
        <w:t xml:space="preserve">Gjøvik og Ålesund skal </w:t>
      </w:r>
      <w:r w:rsidR="00D71EF5">
        <w:rPr>
          <w:szCs w:val="22"/>
        </w:rPr>
        <w:t xml:space="preserve">vi </w:t>
      </w:r>
      <w:r w:rsidR="00D71EF5" w:rsidRPr="00D71EF5">
        <w:rPr>
          <w:szCs w:val="22"/>
        </w:rPr>
        <w:t>ha en evaluering av lokaler etter eksamensperioden</w:t>
      </w:r>
      <w:r w:rsidR="00D71EF5">
        <w:rPr>
          <w:szCs w:val="22"/>
        </w:rPr>
        <w:t>, da det kan være behov for å gjøre tiltak.</w:t>
      </w:r>
    </w:p>
    <w:p w14:paraId="20E58F3B" w14:textId="77777777" w:rsidR="00D71EF5" w:rsidRPr="00EA7DB8" w:rsidRDefault="00D71EF5" w:rsidP="00535949">
      <w:pPr>
        <w:rPr>
          <w:szCs w:val="22"/>
        </w:rPr>
      </w:pPr>
    </w:p>
    <w:p w14:paraId="3E32A63F" w14:textId="77777777" w:rsidR="008576F8" w:rsidRPr="00EA7DB8" w:rsidRDefault="008576F8" w:rsidP="00535949">
      <w:pPr>
        <w:rPr>
          <w:i/>
          <w:color w:val="4F81BD" w:themeColor="accent1"/>
          <w:szCs w:val="22"/>
        </w:rPr>
      </w:pPr>
      <w:r w:rsidRPr="00EA7DB8">
        <w:rPr>
          <w:szCs w:val="22"/>
        </w:rPr>
        <w:t>Læringsfestivalen ble arrangert for 4. gang i mai for 350 deltakere fra hele landet og fra alle typer institusjoner. Læringsfestivalen 2018 tok for seg temaene studentinvolvering, digitalisering, læringsareal, merittering og vurdering, og over 70 sesjoner, rundebord og poster-utstillinger dekket en stor bredde av den nyeste utviklingen innen høyere utdanning.</w:t>
      </w:r>
    </w:p>
    <w:p w14:paraId="3820913C" w14:textId="77777777" w:rsidR="008576F8" w:rsidRDefault="008576F8" w:rsidP="00535949">
      <w:pPr>
        <w:rPr>
          <w:i/>
          <w:color w:val="4F81BD" w:themeColor="accent1"/>
          <w:szCs w:val="24"/>
        </w:rPr>
      </w:pPr>
    </w:p>
    <w:p w14:paraId="5470762C" w14:textId="77777777" w:rsidR="008576F8" w:rsidRPr="002421DC" w:rsidRDefault="008576F8" w:rsidP="00535949">
      <w:pPr>
        <w:rPr>
          <w:i/>
          <w:color w:val="4F81BD" w:themeColor="accent1"/>
          <w:szCs w:val="24"/>
        </w:rPr>
      </w:pPr>
    </w:p>
    <w:p w14:paraId="79726BD8" w14:textId="77777777" w:rsidR="008576F8" w:rsidRPr="00BC14E4" w:rsidRDefault="008576F8" w:rsidP="00535949">
      <w:pPr>
        <w:rPr>
          <w:b/>
          <w:i/>
          <w:color w:val="0070C0"/>
          <w:szCs w:val="24"/>
        </w:rPr>
      </w:pPr>
      <w:r w:rsidRPr="00BC14E4">
        <w:rPr>
          <w:b/>
          <w:i/>
          <w:color w:val="0070C0"/>
          <w:szCs w:val="24"/>
        </w:rPr>
        <w:t>Forskning og forskerutdanning</w:t>
      </w:r>
    </w:p>
    <w:p w14:paraId="35A032F5" w14:textId="4FAD4C61" w:rsidR="008576F8" w:rsidRPr="00796CCB" w:rsidRDefault="008576F8" w:rsidP="00535949">
      <w:r w:rsidRPr="00796CCB">
        <w:t xml:space="preserve">Rett før jul lyste NTNU ut ph.d.-stillinger i form av tverrfaglige forskningsprosjekter under en felles paraply: digital transformasjon. Ideen er å bygge opp et sterkt faglig fundament på fagområder som vi ser blir viktige framover og der dette initiativet kan bidra til at NTNU er godt posisjonert </w:t>
      </w:r>
      <w:r>
        <w:t>over</w:t>
      </w:r>
      <w:r w:rsidRPr="00796CCB">
        <w:t>for eksterne samarbeidspartner</w:t>
      </w:r>
      <w:r>
        <w:t>e</w:t>
      </w:r>
      <w:r w:rsidRPr="00796CCB">
        <w:t xml:space="preserve"> </w:t>
      </w:r>
      <w:r>
        <w:t>og</w:t>
      </w:r>
      <w:r w:rsidRPr="00796CCB">
        <w:t xml:space="preserve"> finansieringskilder</w:t>
      </w:r>
      <w:r>
        <w:t>.</w:t>
      </w:r>
      <w:r w:rsidRPr="00796CCB">
        <w:t xml:space="preserve"> Vi mottok hele 89 søknader innen fristen. Prorektor Bjarne Foss ledet en evalueringskomite bestående av 8 prodekaner for forskning som evaluerte søknadene i en to-trinns prosess. Hovedkriteriet var at prosjektene hadde høy vitenskapelig kvalitet og svarte på utlysningens krav om vesentlig bidrag til digital transformasjon. Videre ble det lagt vekt på at konsortiet hadde riktig sammensetning (kompetanseprofil, CV).  Til slutt ble det lagt inn en strategisk komponent. 9 søknader fikk finansiering og det er nå lyst ut 48 individuelle ph.d.-stipend i en felles utlysning med søknadsfrist 27.5.</w:t>
      </w:r>
    </w:p>
    <w:p w14:paraId="5DCFB3A6" w14:textId="77777777" w:rsidR="008576F8" w:rsidRPr="00796CCB" w:rsidRDefault="008576F8" w:rsidP="00535949"/>
    <w:p w14:paraId="042BCE8F" w14:textId="77777777" w:rsidR="008576F8" w:rsidRPr="00796CCB" w:rsidRDefault="008576F8" w:rsidP="00535949">
      <w:r w:rsidRPr="00796CCB">
        <w:t xml:space="preserve">Som et ledd i nedbygging av avsetninger ble det besluttet å finansiere 50 ekstra stipendiatstillinger i et spleiselag med fakultetene i 2018. For ph.d.-stillinger betaler rektor inntil to år, mens fakultetet dekker resten. For post doktor-stillinger dekker rektor inntil ett år, fakultetet år 2. </w:t>
      </w:r>
      <w:r>
        <w:t>Samtidig</w:t>
      </w:r>
      <w:r w:rsidRPr="00796CCB">
        <w:t xml:space="preserve"> ble det vedtatt å bevilge inntil 70 mill. kroner til ekstraordinære investeringer i vitenskapelig utstyr og forskningsinfrastruktur. Dette ga rom både for å fullfinansiere flere prosjekter innenfor den ordinære støtteordningen og for nye utstyrsprosjekter. Til sammen er det gitt tilsagn til anskaffelser for snaut 98 mill. kroner i 2018, fordelt på 24 prosjekter. Dette innebærer et betydelig løft for NTNUs infrastruktur.</w:t>
      </w:r>
    </w:p>
    <w:p w14:paraId="1FA002F7" w14:textId="77777777" w:rsidR="008576F8" w:rsidRPr="00796CCB" w:rsidRDefault="008576F8" w:rsidP="00535949"/>
    <w:p w14:paraId="589E8E5A" w14:textId="77777777" w:rsidR="008576F8" w:rsidRDefault="008576F8" w:rsidP="00535949">
      <w:r>
        <w:t>D</w:t>
      </w:r>
      <w:r w:rsidRPr="00C5694A">
        <w:t>en strategisk</w:t>
      </w:r>
      <w:r>
        <w:t>e</w:t>
      </w:r>
      <w:r w:rsidRPr="00C5694A">
        <w:t xml:space="preserve"> satsning</w:t>
      </w:r>
      <w:r>
        <w:t>en</w:t>
      </w:r>
      <w:r w:rsidRPr="00C5694A">
        <w:t xml:space="preserve"> </w:t>
      </w:r>
      <w:r>
        <w:t>‘</w:t>
      </w:r>
      <w:r w:rsidRPr="00C5694A">
        <w:t>Postdoktorløftet</w:t>
      </w:r>
      <w:r>
        <w:t>’, som startet i 2017,</w:t>
      </w:r>
      <w:r w:rsidRPr="00C5694A">
        <w:t xml:space="preserve"> er </w:t>
      </w:r>
      <w:r>
        <w:t>godt i gang</w:t>
      </w:r>
      <w:r w:rsidRPr="00C5694A">
        <w:t>. I samråd med fakultetene er 33 postdoktorer tatt ut for å bli med i en egen pilot. Deltakerne i piloten vil gå foran i arbeidet med å utvikle en postdoktorpolitikk som skal komme alle postdoktorer ved NTNU til gode. Dette innebærer en revidering av NTNUs lokale forskrift for ansettelse i postdoktorstilling. Tiltakene innenfor piloten er mentor til alle deltakerne, støtte til utenlandsopphold</w:t>
      </w:r>
      <w:r>
        <w:t xml:space="preserve"> og</w:t>
      </w:r>
      <w:r w:rsidRPr="00C5694A">
        <w:t xml:space="preserve"> egne samlinger med kurs </w:t>
      </w:r>
      <w:r>
        <w:t xml:space="preserve">i </w:t>
      </w:r>
      <w:r w:rsidRPr="00C5694A">
        <w:t>ph.d.-veiledning, forskningsformidling, søknadsskriving, innovasjon, pedagogikk</w:t>
      </w:r>
      <w:r>
        <w:t xml:space="preserve"> og</w:t>
      </w:r>
      <w:r w:rsidRPr="00C5694A">
        <w:t xml:space="preserve"> forskningsledelse. NTNUs forskningsutvalg er ansvarlig for postdoktorløftet.</w:t>
      </w:r>
    </w:p>
    <w:p w14:paraId="55C7FD9E" w14:textId="77777777" w:rsidR="008576F8" w:rsidRDefault="008576F8" w:rsidP="00535949"/>
    <w:p w14:paraId="2878D14C" w14:textId="57900D3C" w:rsidR="005E7055" w:rsidRDefault="005E7055" w:rsidP="00535949">
      <w:r w:rsidRPr="00796CCB">
        <w:t>I februar leverte en arbeidsgruppe sin rapport om NTNUs samarbeid med lav- og mellominntektsland med forslag til tiltak for styrket satsing. En kartlegging viser at i perioden 2010–2018 har NTNU hatt mer enn 200 samarbeidsprosjekt med 275 institusjoner i lav- og mellominntektsland</w:t>
      </w:r>
      <w:r>
        <w:t xml:space="preserve">. </w:t>
      </w:r>
      <w:r w:rsidRPr="00796CCB">
        <w:t xml:space="preserve">42 institutt </w:t>
      </w:r>
      <w:r>
        <w:t>og</w:t>
      </w:r>
      <w:r w:rsidRPr="00796CCB">
        <w:t xml:space="preserve"> samtlige av NTNUs fakulteter </w:t>
      </w:r>
      <w:r>
        <w:t xml:space="preserve">har deltatt med aktiviteter </w:t>
      </w:r>
      <w:r w:rsidRPr="00796CCB">
        <w:t>innen utdanning, forskning, innovasjon og kapasitetsbygging. Rapporten danner grunnlaget for NTNUs videre samarbeid med LMI som blir forankret i revidert internasjonal handlingsplan for 2018–2021.</w:t>
      </w:r>
    </w:p>
    <w:p w14:paraId="3E021B2A" w14:textId="77777777" w:rsidR="005E7055" w:rsidRPr="00796CCB" w:rsidRDefault="005E7055" w:rsidP="00535949"/>
    <w:p w14:paraId="109E8C66" w14:textId="77777777" w:rsidR="008576F8" w:rsidRDefault="008576F8" w:rsidP="00535949">
      <w:pPr>
        <w:rPr>
          <w:szCs w:val="22"/>
        </w:rPr>
      </w:pPr>
    </w:p>
    <w:p w14:paraId="2D7CE50B" w14:textId="77777777" w:rsidR="008576F8" w:rsidRPr="00BC14E4" w:rsidRDefault="008576F8" w:rsidP="00535949">
      <w:pPr>
        <w:rPr>
          <w:b/>
          <w:i/>
          <w:color w:val="0070C0"/>
          <w:szCs w:val="24"/>
        </w:rPr>
      </w:pPr>
      <w:r w:rsidRPr="00BC14E4">
        <w:rPr>
          <w:b/>
          <w:i/>
          <w:color w:val="0070C0"/>
          <w:szCs w:val="24"/>
        </w:rPr>
        <w:t xml:space="preserve">Nyskaping </w:t>
      </w:r>
    </w:p>
    <w:p w14:paraId="2B6BB57B" w14:textId="77777777" w:rsidR="008576F8" w:rsidRPr="00D52555" w:rsidRDefault="008576F8" w:rsidP="00535949">
      <w:r>
        <w:rPr>
          <w:szCs w:val="22"/>
        </w:rPr>
        <w:t xml:space="preserve">Det ble gjennomført en gjennomgang av hele økosystemet i 2017. I 1. tertial er det i tillegg gjennomført en utredning av TTO-funksjon, inkubator- og investeringsvirksomhet ved NTNU som en del av arbeidet med gjennomgang og videreutviklingen av økosystemet for innovasjon- og nyskapingsarbeidet. Det </w:t>
      </w:r>
      <w:r w:rsidRPr="0036724E">
        <w:rPr>
          <w:szCs w:val="22"/>
        </w:rPr>
        <w:t>avvente</w:t>
      </w:r>
      <w:r>
        <w:rPr>
          <w:szCs w:val="22"/>
        </w:rPr>
        <w:t>s</w:t>
      </w:r>
      <w:r w:rsidRPr="0036724E">
        <w:rPr>
          <w:szCs w:val="22"/>
        </w:rPr>
        <w:t xml:space="preserve"> en rapport fra Menon Economics utført fra Nærings- og fiskeridepartementet om incentiver for kommersialisering av FoU ved universitetene. Alle innspill vil bli samlet og i løpet av høsten 2018 vil det bli utarbeidet et forslag til hvordan </w:t>
      </w:r>
      <w:r>
        <w:rPr>
          <w:szCs w:val="22"/>
        </w:rPr>
        <w:t xml:space="preserve">videreutvikle </w:t>
      </w:r>
      <w:r w:rsidRPr="0036724E">
        <w:rPr>
          <w:szCs w:val="22"/>
        </w:rPr>
        <w:t>NTNUs økosyste</w:t>
      </w:r>
      <w:r>
        <w:rPr>
          <w:szCs w:val="22"/>
        </w:rPr>
        <w:t>m for innovasjon.</w:t>
      </w:r>
      <w:r w:rsidRPr="0036724E">
        <w:rPr>
          <w:szCs w:val="22"/>
        </w:rPr>
        <w:t xml:space="preserve">  </w:t>
      </w:r>
      <w:r w:rsidRPr="0036724E">
        <w:rPr>
          <w:szCs w:val="22"/>
        </w:rPr>
        <w:br/>
      </w:r>
      <w:r w:rsidRPr="0036724E">
        <w:rPr>
          <w:szCs w:val="22"/>
        </w:rPr>
        <w:br/>
      </w:r>
      <w:r>
        <w:rPr>
          <w:szCs w:val="22"/>
        </w:rPr>
        <w:t xml:space="preserve">Strategisk program for kunnskapsbasert innovasjon ble utlyst i desember 2017 med søknadsfrist 5.2.18. Det kom inn til sammen 29 søknader. Som følge av stort engasjement og mange søknader, ble det vedtatt å </w:t>
      </w:r>
      <w:r>
        <w:t xml:space="preserve">øke rektors bidrag med inntil 10 stillinger, samtidig som fakultetene ble invitert til å finansiere egne stillinger som inngår i programsatsingen. </w:t>
      </w:r>
      <w:r w:rsidRPr="00D52555">
        <w:t xml:space="preserve">15 fagmiljøer er tildelt midler til å tilsette innovasjonsledere. Stillingene </w:t>
      </w:r>
      <w:r>
        <w:t xml:space="preserve">er </w:t>
      </w:r>
      <w:r w:rsidRPr="00D52555">
        <w:t>lyst ut med planlagt oppstart innen oktober 2018. Eget kompetanseprogra</w:t>
      </w:r>
      <w:r>
        <w:t>m med formål å ivareta både</w:t>
      </w:r>
      <w:r w:rsidRPr="00D52555">
        <w:t xml:space="preserve"> kultur-teambygg</w:t>
      </w:r>
      <w:r>
        <w:t xml:space="preserve">ing og kompetanseutvikling </w:t>
      </w:r>
      <w:r w:rsidRPr="00D52555">
        <w:t xml:space="preserve">settes </w:t>
      </w:r>
      <w:r>
        <w:t xml:space="preserve">i gang </w:t>
      </w:r>
      <w:r w:rsidRPr="00D52555">
        <w:t xml:space="preserve">fra </w:t>
      </w:r>
      <w:r>
        <w:t>november</w:t>
      </w:r>
      <w:r w:rsidRPr="00D52555">
        <w:t xml:space="preserve"> 2018. </w:t>
      </w:r>
    </w:p>
    <w:p w14:paraId="5E1E0B65" w14:textId="77777777" w:rsidR="008576F8" w:rsidRDefault="008576F8" w:rsidP="00535949">
      <w:pPr>
        <w:rPr>
          <w:szCs w:val="22"/>
        </w:rPr>
      </w:pPr>
    </w:p>
    <w:p w14:paraId="528C4FF5" w14:textId="77777777" w:rsidR="00B6114A" w:rsidRDefault="00B6114A" w:rsidP="00535949">
      <w:pPr>
        <w:rPr>
          <w:szCs w:val="22"/>
        </w:rPr>
      </w:pPr>
      <w:r>
        <w:rPr>
          <w:szCs w:val="22"/>
        </w:rPr>
        <w:t>Samarbeidsavtalen Universitetskommune TRD 3.0 mellom Trondheim kommune og NTNU ble signert under Trøndelagsmøtet 2018, og iverksetting av satsingen er i gang.</w:t>
      </w:r>
    </w:p>
    <w:p w14:paraId="664C4C59" w14:textId="77777777" w:rsidR="008576F8" w:rsidRDefault="008576F8" w:rsidP="00535949">
      <w:pPr>
        <w:rPr>
          <w:szCs w:val="22"/>
        </w:rPr>
      </w:pPr>
    </w:p>
    <w:p w14:paraId="1819F04A" w14:textId="77777777" w:rsidR="008576F8" w:rsidRDefault="008576F8" w:rsidP="00535949">
      <w:pPr>
        <w:rPr>
          <w:szCs w:val="22"/>
        </w:rPr>
      </w:pPr>
      <w:r>
        <w:rPr>
          <w:szCs w:val="22"/>
        </w:rPr>
        <w:t xml:space="preserve">Nyskapingsstaben har jobbet tett sammen med Campus-prosjektet i kartleggings- og konseptutviklingsprosessen våren 2018 med fokus på samspills- og nyskapingsarenaer knyttet til eksterne samarbeidspartnere. Nyskaping har bidratt i dialogen relatert til registrering av behov og ønske for samspillsarealer, samt vurdering av behovet for arealer for innovasjonsaktiviteter knyttet til både utdanning, forskning og innovasjon. </w:t>
      </w:r>
    </w:p>
    <w:p w14:paraId="36240752" w14:textId="77777777" w:rsidR="008576F8" w:rsidRDefault="008576F8" w:rsidP="00535949">
      <w:pPr>
        <w:rPr>
          <w:szCs w:val="22"/>
        </w:rPr>
      </w:pPr>
    </w:p>
    <w:p w14:paraId="1F39B6B9" w14:textId="77777777" w:rsidR="008576F8" w:rsidRDefault="008576F8" w:rsidP="00535949">
      <w:pPr>
        <w:rPr>
          <w:szCs w:val="22"/>
        </w:rPr>
      </w:pPr>
    </w:p>
    <w:p w14:paraId="04239A32" w14:textId="77777777" w:rsidR="008576F8" w:rsidRPr="00BC14E4" w:rsidRDefault="008576F8" w:rsidP="00535949">
      <w:pPr>
        <w:rPr>
          <w:b/>
          <w:color w:val="0070C0"/>
          <w:szCs w:val="22"/>
        </w:rPr>
      </w:pPr>
      <w:r w:rsidRPr="00BC14E4">
        <w:rPr>
          <w:b/>
          <w:i/>
          <w:color w:val="0070C0"/>
          <w:szCs w:val="22"/>
        </w:rPr>
        <w:t>Formidling</w:t>
      </w:r>
      <w:r w:rsidRPr="00BC14E4">
        <w:rPr>
          <w:b/>
          <w:color w:val="0070C0"/>
          <w:szCs w:val="22"/>
        </w:rPr>
        <w:t xml:space="preserve"> </w:t>
      </w:r>
    </w:p>
    <w:p w14:paraId="64DF3279" w14:textId="77777777" w:rsidR="008576F8" w:rsidRDefault="008576F8" w:rsidP="00535949">
      <w:r>
        <w:t xml:space="preserve">Flere tiltak er gjennomført eller påbegynt i første tertial for å oppfylle utviklingsmålene i strategien innen allmenn- og brukerrettet formidling. Det lages blant annet kommunikasjonsplaner for rektoratet og viserektorene for å gjøre toppledelsen mer synlig i offentligheten. De fleste i rektoratet og dekangruppen har i løpet av første tertial gjennomgått kurs i presentasjonsteknikk og medietrening. </w:t>
      </w:r>
    </w:p>
    <w:p w14:paraId="61A042A4" w14:textId="77777777" w:rsidR="008576F8" w:rsidRDefault="008576F8" w:rsidP="00535949"/>
    <w:p w14:paraId="5C2982FD" w14:textId="77777777" w:rsidR="008576F8" w:rsidRDefault="008576F8" w:rsidP="00535949">
      <w:r>
        <w:t>Parallelt med publiseringen av NTNUs nye strategi er det i vår blitt lansert et nettsted som viser hvordan NTNU jobber for å oppfylle FNs 17 bærekraftmål (</w:t>
      </w:r>
      <w:hyperlink r:id="rId8" w:history="1">
        <w:r>
          <w:rPr>
            <w:rStyle w:val="Hyperlink"/>
          </w:rPr>
          <w:t>https://www.ntnu.no/baerekraftmaal</w:t>
        </w:r>
      </w:hyperlink>
      <w:r>
        <w:t xml:space="preserve">) Målgrupper for nettstedet er potensielle søkere til NTNU, politikere, journalister og akademikere. Nettstedet viser blant annet en oversikt over forskere ved NTNU som jobber med miljø- og bærekraftspørsmål. </w:t>
      </w:r>
    </w:p>
    <w:p w14:paraId="3F9315F4" w14:textId="77777777" w:rsidR="008576F8" w:rsidRDefault="008576F8" w:rsidP="00535949"/>
    <w:p w14:paraId="08BDF6A7" w14:textId="6DED0B4A" w:rsidR="008576F8" w:rsidRDefault="008576F8" w:rsidP="00535949">
      <w:r>
        <w:t xml:space="preserve">NTNU bygger systematisk ut relasjoner med viktige redaksjoner. For eksempel besøkte den redaksjonelle ledelsen i Dagens næringsliv universitetet i mai, hvor de fikk møte dekaner og forskere innen en rekke ulike fagfelt. Det er i starten av 2018 gjennomført flere medietiltak for å synliggjøre spesielle satsinger ved NTNU. Dette gjelder blant annet utlysning av </w:t>
      </w:r>
      <w:r w:rsidR="005A2A1A">
        <w:t xml:space="preserve">ph.d.-stillingene </w:t>
      </w:r>
      <w:r>
        <w:t>innen digital transformasjon, økt satsing på etter- og videreutdanning og tilsetting av innovasjonsledere. Kommunikasjon</w:t>
      </w:r>
      <w:r>
        <w:softHyphen/>
        <w:t xml:space="preserve">savdelingen overvåker daglig mediebildet både i tradisjonelle og sosiale medier for å plukke opp saker og debatter der eksperter og ledere fra NTNU kan bidra. </w:t>
      </w:r>
    </w:p>
    <w:p w14:paraId="7AAC234E" w14:textId="6E516325" w:rsidR="008576F8" w:rsidRDefault="008576F8" w:rsidP="00535949">
      <w:pPr>
        <w:rPr>
          <w:szCs w:val="22"/>
        </w:rPr>
      </w:pPr>
    </w:p>
    <w:p w14:paraId="43557FB9" w14:textId="77777777" w:rsidR="007859FE" w:rsidRDefault="007859FE" w:rsidP="00535949">
      <w:pPr>
        <w:rPr>
          <w:szCs w:val="22"/>
        </w:rPr>
      </w:pPr>
    </w:p>
    <w:p w14:paraId="62AE08EE" w14:textId="77777777" w:rsidR="007859FE" w:rsidRPr="0098331C" w:rsidRDefault="007859FE" w:rsidP="00535949">
      <w:pPr>
        <w:rPr>
          <w:b/>
          <w:i/>
          <w:color w:val="0070C0"/>
          <w:szCs w:val="24"/>
        </w:rPr>
      </w:pPr>
      <w:r w:rsidRPr="0098331C">
        <w:rPr>
          <w:b/>
          <w:i/>
          <w:color w:val="0070C0"/>
          <w:szCs w:val="24"/>
        </w:rPr>
        <w:t>Forskningsetikk</w:t>
      </w:r>
    </w:p>
    <w:p w14:paraId="4999895F" w14:textId="77777777" w:rsidR="007859FE" w:rsidRDefault="007859FE" w:rsidP="00535949">
      <w:pPr>
        <w:rPr>
          <w:b/>
          <w:i/>
          <w:color w:val="0070C0"/>
          <w:szCs w:val="24"/>
        </w:rPr>
      </w:pPr>
      <w:r w:rsidRPr="0048414C">
        <w:rPr>
          <w:rFonts w:ascii="Times" w:hAnsi="Times"/>
          <w:lang w:eastAsia="en-US"/>
        </w:rPr>
        <w:t xml:space="preserve">På bakgrunn av ny </w:t>
      </w:r>
      <w:r>
        <w:rPr>
          <w:rFonts w:ascii="Times" w:hAnsi="Times"/>
          <w:lang w:eastAsia="en-US"/>
        </w:rPr>
        <w:t>f</w:t>
      </w:r>
      <w:r w:rsidRPr="0048414C">
        <w:rPr>
          <w:rFonts w:ascii="Times" w:hAnsi="Times"/>
          <w:lang w:eastAsia="en-US"/>
        </w:rPr>
        <w:t>orskningsetikklov fra 2017 og erfaringer</w:t>
      </w:r>
      <w:r w:rsidRPr="00861098">
        <w:rPr>
          <w:rFonts w:ascii="Times" w:hAnsi="Times"/>
          <w:lang w:eastAsia="en-US"/>
        </w:rPr>
        <w:t xml:space="preserve"> </w:t>
      </w:r>
      <w:r w:rsidRPr="0048414C">
        <w:rPr>
          <w:rFonts w:ascii="Times" w:hAnsi="Times"/>
          <w:lang w:eastAsia="en-US"/>
        </w:rPr>
        <w:t xml:space="preserve">i Forskningsetisk utvalg ved NTNU, er antallet medlemmer </w:t>
      </w:r>
      <w:r>
        <w:rPr>
          <w:rFonts w:ascii="Times" w:hAnsi="Times"/>
          <w:lang w:eastAsia="en-US"/>
        </w:rPr>
        <w:t xml:space="preserve">av utvalget </w:t>
      </w:r>
      <w:r w:rsidRPr="0048414C">
        <w:rPr>
          <w:rFonts w:ascii="Times" w:hAnsi="Times"/>
          <w:lang w:eastAsia="en-US"/>
        </w:rPr>
        <w:t>utvidet fra fem til seks</w:t>
      </w:r>
      <w:r>
        <w:rPr>
          <w:rFonts w:ascii="Times" w:hAnsi="Times"/>
          <w:lang w:eastAsia="en-US"/>
        </w:rPr>
        <w:t xml:space="preserve"> med en ny representant</w:t>
      </w:r>
      <w:r w:rsidRPr="0048414C">
        <w:rPr>
          <w:rFonts w:ascii="Times" w:hAnsi="Times"/>
          <w:lang w:eastAsia="en-US"/>
        </w:rPr>
        <w:t xml:space="preserve"> fra ph.d.-kandidatene</w:t>
      </w:r>
      <w:r>
        <w:rPr>
          <w:rFonts w:ascii="Times" w:hAnsi="Times"/>
          <w:lang w:eastAsia="en-US"/>
        </w:rPr>
        <w:t>. Det</w:t>
      </w:r>
      <w:r w:rsidRPr="0048414C">
        <w:rPr>
          <w:rFonts w:ascii="Times" w:hAnsi="Times"/>
          <w:lang w:eastAsia="en-US"/>
        </w:rPr>
        <w:t xml:space="preserve"> det er </w:t>
      </w:r>
      <w:r>
        <w:rPr>
          <w:rFonts w:ascii="Times" w:hAnsi="Times"/>
          <w:lang w:eastAsia="en-US"/>
        </w:rPr>
        <w:t xml:space="preserve">også </w:t>
      </w:r>
      <w:r w:rsidRPr="0048414C">
        <w:rPr>
          <w:rFonts w:ascii="Times" w:hAnsi="Times"/>
          <w:lang w:eastAsia="en-US"/>
        </w:rPr>
        <w:t xml:space="preserve">gjort mindre justeringer i mandat, retningslinjer og rutiner. </w:t>
      </w:r>
      <w:r w:rsidRPr="0048414C">
        <w:t>Fortsatt er u</w:t>
      </w:r>
      <w:r w:rsidRPr="0048414C">
        <w:rPr>
          <w:rFonts w:ascii="Times" w:hAnsi="Times"/>
          <w:lang w:eastAsia="en-US"/>
        </w:rPr>
        <w:t>tvalget universitetets rådgiv</w:t>
      </w:r>
      <w:r>
        <w:rPr>
          <w:rFonts w:ascii="Times" w:hAnsi="Times"/>
          <w:lang w:eastAsia="en-US"/>
        </w:rPr>
        <w:t>ende organ for forskningsetikk og</w:t>
      </w:r>
      <w:r w:rsidRPr="0048414C">
        <w:rPr>
          <w:rFonts w:ascii="Times" w:hAnsi="Times"/>
          <w:lang w:eastAsia="en-US"/>
        </w:rPr>
        <w:t xml:space="preserve"> behandle</w:t>
      </w:r>
      <w:r>
        <w:rPr>
          <w:rFonts w:ascii="Times" w:hAnsi="Times"/>
          <w:lang w:eastAsia="en-US"/>
        </w:rPr>
        <w:t>r</w:t>
      </w:r>
      <w:r w:rsidRPr="0048414C">
        <w:rPr>
          <w:rFonts w:ascii="Times" w:hAnsi="Times"/>
          <w:lang w:eastAsia="en-US"/>
        </w:rPr>
        <w:t xml:space="preserve"> saker med påstand om vitenskapelig uredelighet knyttet til plagiering, sikkerhet rundt forskningsdata og medforfatterskap. Utvalget og utvalgets sekretariat gir råd til forskere og forskningsledere om </w:t>
      </w:r>
      <w:r>
        <w:rPr>
          <w:rFonts w:ascii="Times" w:hAnsi="Times"/>
          <w:lang w:eastAsia="en-US"/>
        </w:rPr>
        <w:t xml:space="preserve">håndtering av </w:t>
      </w:r>
      <w:r w:rsidRPr="0048414C">
        <w:rPr>
          <w:rFonts w:ascii="Times" w:hAnsi="Times"/>
          <w:lang w:eastAsia="en-US"/>
        </w:rPr>
        <w:t xml:space="preserve">saker </w:t>
      </w:r>
      <w:r>
        <w:rPr>
          <w:rFonts w:ascii="Times" w:hAnsi="Times"/>
          <w:lang w:eastAsia="en-US"/>
        </w:rPr>
        <w:t>med</w:t>
      </w:r>
      <w:r w:rsidRPr="0048414C">
        <w:rPr>
          <w:rFonts w:ascii="Times" w:hAnsi="Times"/>
          <w:lang w:eastAsia="en-US"/>
        </w:rPr>
        <w:t xml:space="preserve"> elementer av vitenskapelig uredelighet. </w:t>
      </w:r>
      <w:r w:rsidRPr="0048414C">
        <w:t xml:space="preserve">Den nye loven </w:t>
      </w:r>
      <w:r>
        <w:t>gir institusjonene</w:t>
      </w:r>
      <w:r w:rsidRPr="0048414C">
        <w:t xml:space="preserve"> større ansvar </w:t>
      </w:r>
      <w:r>
        <w:t>for</w:t>
      </w:r>
      <w:r w:rsidRPr="0048414C">
        <w:t xml:space="preserve"> å forebygge vitenskapelig uredelighet hos forskere samt se til at forskningsetikkloven blir fulgt. </w:t>
      </w:r>
      <w:r w:rsidRPr="0048414C">
        <w:rPr>
          <w:rFonts w:ascii="&amp;quot" w:hAnsi="&amp;quot"/>
        </w:rPr>
        <w:t xml:space="preserve">Forskningsetisk utvalg har gitt råd til NTNUs ledelse om at NTNUs ph.d.-kandidater bør tilbys en obligatorisk opplæring i forskningsetikk. </w:t>
      </w:r>
      <w:r>
        <w:t>E</w:t>
      </w:r>
      <w:r w:rsidRPr="0048414C">
        <w:t>t nettbasert kurs med minstestandard for forskningsetikk til alle ph.d.-kandidater ved</w:t>
      </w:r>
      <w:r>
        <w:t xml:space="preserve"> NTNU</w:t>
      </w:r>
      <w:r w:rsidRPr="0048414C">
        <w:t xml:space="preserve"> er under planlegging.  </w:t>
      </w:r>
      <w:r>
        <w:t>Utvalget</w:t>
      </w:r>
      <w:r w:rsidRPr="0048414C">
        <w:t xml:space="preserve"> har gjennomført flere seminarer </w:t>
      </w:r>
      <w:r>
        <w:t xml:space="preserve">for </w:t>
      </w:r>
      <w:r w:rsidRPr="0048414C">
        <w:t>universitetsbefolkningen og byens befolkning</w:t>
      </w:r>
      <w:r>
        <w:t xml:space="preserve"> om</w:t>
      </w:r>
      <w:r w:rsidRPr="0048414C">
        <w:t xml:space="preserve"> ulike forskningsetiske og etiske dilemmaer i forskningen. Det vil bli fremmet en egen sak «Etikk ved NTNU» til NTNUs styremøte i Ålesund i august, og</w:t>
      </w:r>
      <w:r>
        <w:t xml:space="preserve"> i</w:t>
      </w:r>
      <w:r w:rsidRPr="0048414C">
        <w:t xml:space="preserve"> </w:t>
      </w:r>
      <w:r>
        <w:t xml:space="preserve">den </w:t>
      </w:r>
      <w:r w:rsidRPr="0048414C">
        <w:t xml:space="preserve">forbindelse vil det bli </w:t>
      </w:r>
      <w:r>
        <w:t>holdt</w:t>
      </w:r>
      <w:r w:rsidRPr="0048414C">
        <w:t xml:space="preserve"> et etikkseminar med styre og dekaner.</w:t>
      </w:r>
      <w:r w:rsidRPr="0059159B">
        <w:rPr>
          <w:b/>
          <w:i/>
          <w:color w:val="0070C0"/>
          <w:szCs w:val="24"/>
        </w:rPr>
        <w:t xml:space="preserve"> </w:t>
      </w:r>
    </w:p>
    <w:p w14:paraId="38D361D8" w14:textId="285642C2" w:rsidR="008576F8" w:rsidRDefault="008576F8" w:rsidP="00535949">
      <w:pPr>
        <w:rPr>
          <w:szCs w:val="22"/>
        </w:rPr>
      </w:pPr>
    </w:p>
    <w:p w14:paraId="104BE20C" w14:textId="77777777" w:rsidR="007859FE" w:rsidRDefault="007859FE" w:rsidP="00535949">
      <w:pPr>
        <w:rPr>
          <w:szCs w:val="22"/>
        </w:rPr>
      </w:pPr>
    </w:p>
    <w:p w14:paraId="205D74B6" w14:textId="77777777" w:rsidR="008576F8" w:rsidRPr="00BC14E4" w:rsidRDefault="008576F8" w:rsidP="00535949">
      <w:pPr>
        <w:rPr>
          <w:b/>
          <w:color w:val="0070C0"/>
          <w:szCs w:val="22"/>
        </w:rPr>
      </w:pPr>
      <w:r>
        <w:rPr>
          <w:b/>
          <w:i/>
          <w:color w:val="0070C0"/>
          <w:szCs w:val="22"/>
        </w:rPr>
        <w:t>Kompetanse og karriere</w:t>
      </w:r>
    </w:p>
    <w:p w14:paraId="3C532A68" w14:textId="77777777" w:rsidR="008576F8" w:rsidRPr="00467448" w:rsidRDefault="008576F8" w:rsidP="00535949">
      <w:pPr>
        <w:rPr>
          <w:szCs w:val="24"/>
        </w:rPr>
      </w:pPr>
      <w:r>
        <w:rPr>
          <w:szCs w:val="24"/>
        </w:rPr>
        <w:t>Kompetanse og karriereutvikling er viktige verktøy for organisasjonsutvikling. I første tertial er l</w:t>
      </w:r>
      <w:r w:rsidRPr="00467448">
        <w:rPr>
          <w:szCs w:val="24"/>
        </w:rPr>
        <w:t>ederutviklings</w:t>
      </w:r>
      <w:r>
        <w:rPr>
          <w:szCs w:val="24"/>
        </w:rPr>
        <w:softHyphen/>
      </w:r>
      <w:r w:rsidRPr="00467448">
        <w:rPr>
          <w:szCs w:val="24"/>
        </w:rPr>
        <w:t>program for forskergruppeledere blitt gjennomført med veldig gode tilbakemeldinger. Intensjonen med programmet er å gi deltakerne økt innsikt i hvordan utvikle og gjennomføre faglig og strategisk ledelse i en forskergruppe med høye vitenskapelige ambisjoner. Dette blir et varig tiltak som er med å underbygger NTNUs evne til å nå mål om utvikling av fagmiljø og forskningskvalitet</w:t>
      </w:r>
      <w:r>
        <w:rPr>
          <w:szCs w:val="24"/>
        </w:rPr>
        <w:t xml:space="preserve">.  </w:t>
      </w:r>
    </w:p>
    <w:p w14:paraId="5D8EABC6" w14:textId="77777777" w:rsidR="008576F8" w:rsidRPr="00467448" w:rsidRDefault="008576F8" w:rsidP="00535949">
      <w:pPr>
        <w:rPr>
          <w:szCs w:val="24"/>
        </w:rPr>
      </w:pPr>
    </w:p>
    <w:p w14:paraId="4560BC85" w14:textId="77777777" w:rsidR="008576F8" w:rsidRPr="00467448" w:rsidRDefault="008576F8" w:rsidP="00535949">
      <w:pPr>
        <w:rPr>
          <w:szCs w:val="24"/>
        </w:rPr>
      </w:pPr>
      <w:r w:rsidRPr="00467448">
        <w:rPr>
          <w:szCs w:val="24"/>
        </w:rPr>
        <w:t>Politikk for vitensk</w:t>
      </w:r>
      <w:r>
        <w:rPr>
          <w:szCs w:val="24"/>
        </w:rPr>
        <w:t>apelige karriereveier ved NTNU har blitt</w:t>
      </w:r>
      <w:r w:rsidRPr="00467448">
        <w:rPr>
          <w:szCs w:val="24"/>
        </w:rPr>
        <w:t xml:space="preserve"> fulgt opp av et utvalg som har sett på spesifikke kriterier for ansettelse/opprykk til hhv. førstelektor og dosent. </w:t>
      </w:r>
      <w:r>
        <w:rPr>
          <w:szCs w:val="24"/>
        </w:rPr>
        <w:t>Arbeidet</w:t>
      </w:r>
      <w:r w:rsidRPr="00467448">
        <w:rPr>
          <w:szCs w:val="24"/>
        </w:rPr>
        <w:t xml:space="preserve"> har resultert i en rapport - Dosentløpet som karrierevei. Begrunnelsen for å benytte disse stillingene som karrierevei knytter seg i stor grad til at NTNU etter fusjonen har fått en bredere studieportefølje. Blant annet har vi i større grad enn tidligere praksisorienterte profesjonsstudier på bachelornivå. Arbeidet med å utvikle et 1.</w:t>
      </w:r>
      <w:r>
        <w:rPr>
          <w:szCs w:val="24"/>
        </w:rPr>
        <w:t xml:space="preserve"> </w:t>
      </w:r>
      <w:r w:rsidRPr="00467448">
        <w:rPr>
          <w:szCs w:val="24"/>
        </w:rPr>
        <w:t>lektorprogram er akkurat påbegynt.</w:t>
      </w:r>
    </w:p>
    <w:p w14:paraId="2B2D223E" w14:textId="77777777" w:rsidR="008576F8" w:rsidRPr="00DE0E90" w:rsidRDefault="008576F8" w:rsidP="00535949">
      <w:pPr>
        <w:rPr>
          <w:szCs w:val="24"/>
        </w:rPr>
      </w:pPr>
    </w:p>
    <w:p w14:paraId="46D54540" w14:textId="77777777" w:rsidR="00A56186" w:rsidRPr="00A56186" w:rsidRDefault="00DE0E90" w:rsidP="00535949">
      <w:pPr>
        <w:rPr>
          <w:szCs w:val="24"/>
        </w:rPr>
      </w:pPr>
      <w:r w:rsidRPr="00A56186">
        <w:rPr>
          <w:szCs w:val="24"/>
        </w:rPr>
        <w:t xml:space="preserve">KD oppnevnte i fjor et ekspertutvalg for å utrede alternativer for fremtidig stillingsstruktur i akademia. Underdalutvalgets rapport kom i mai. </w:t>
      </w:r>
      <w:r w:rsidR="00A56186" w:rsidRPr="00A56186">
        <w:rPr>
          <w:szCs w:val="24"/>
        </w:rPr>
        <w:t>Det er foreløpig uklart hvordan KD vil legge opp videre prosess med å vurdere forslagene og eventuelt konkludere.</w:t>
      </w:r>
    </w:p>
    <w:p w14:paraId="5A8B9BF8" w14:textId="77777777" w:rsidR="00A56186" w:rsidRDefault="00A56186" w:rsidP="00535949">
      <w:pPr>
        <w:rPr>
          <w:szCs w:val="24"/>
        </w:rPr>
      </w:pPr>
    </w:p>
    <w:p w14:paraId="74BB7801" w14:textId="77777777" w:rsidR="00DE0E90" w:rsidRPr="00DE0E90" w:rsidRDefault="00DE0E90" w:rsidP="00535949">
      <w:pPr>
        <w:rPr>
          <w:szCs w:val="24"/>
        </w:rPr>
      </w:pPr>
    </w:p>
    <w:p w14:paraId="51A8ABB9" w14:textId="77777777" w:rsidR="008576F8" w:rsidRPr="0098331C" w:rsidRDefault="008576F8" w:rsidP="00535949">
      <w:pPr>
        <w:rPr>
          <w:b/>
          <w:i/>
          <w:color w:val="0070C0"/>
          <w:szCs w:val="22"/>
        </w:rPr>
      </w:pPr>
      <w:r w:rsidRPr="0098331C">
        <w:rPr>
          <w:b/>
          <w:i/>
          <w:color w:val="0070C0"/>
          <w:szCs w:val="22"/>
        </w:rPr>
        <w:t>Internkommunikasjon</w:t>
      </w:r>
    </w:p>
    <w:p w14:paraId="4ED0C693" w14:textId="77777777" w:rsidR="008576F8" w:rsidRDefault="008576F8" w:rsidP="00535949">
      <w:r>
        <w:t xml:space="preserve">En plan for å styrke internkommunikasjonen på universitetet ble i første tertial vedtatt av rektor. Hovedelementene i planen er råd og retningslinjer for god internkommunikasjon for ledere. Det er utarbeidet rutiner for valg av kanaler for informasjon og kanaler for dokumentasjon. Intranettet «Innsida» skal være hovedkanalen for all internkommunikasjon. </w:t>
      </w:r>
    </w:p>
    <w:p w14:paraId="3A5EE499" w14:textId="77777777" w:rsidR="008576F8" w:rsidRDefault="008576F8" w:rsidP="00535949">
      <w:pPr>
        <w:rPr>
          <w:szCs w:val="22"/>
        </w:rPr>
      </w:pPr>
    </w:p>
    <w:p w14:paraId="65748A56" w14:textId="77777777" w:rsidR="008576F8" w:rsidRDefault="008576F8" w:rsidP="00535949">
      <w:pPr>
        <w:rPr>
          <w:b/>
          <w:i/>
          <w:color w:val="0070C0"/>
          <w:szCs w:val="22"/>
        </w:rPr>
      </w:pPr>
    </w:p>
    <w:p w14:paraId="42EBED65" w14:textId="77777777" w:rsidR="008576F8" w:rsidRPr="00BC14E4" w:rsidRDefault="008576F8" w:rsidP="00535949">
      <w:pPr>
        <w:rPr>
          <w:b/>
          <w:color w:val="0070C0"/>
          <w:szCs w:val="22"/>
        </w:rPr>
      </w:pPr>
      <w:r>
        <w:rPr>
          <w:b/>
          <w:i/>
          <w:color w:val="0070C0"/>
          <w:szCs w:val="22"/>
        </w:rPr>
        <w:t>Samlokalisering av fagmiljøer</w:t>
      </w:r>
    </w:p>
    <w:p w14:paraId="275A97FE" w14:textId="3202E2D0" w:rsidR="0084143B" w:rsidRPr="001E3B28" w:rsidRDefault="008576F8" w:rsidP="00535949">
      <w:pPr>
        <w:rPr>
          <w:szCs w:val="22"/>
        </w:rPr>
      </w:pPr>
      <w:r w:rsidRPr="0012763A">
        <w:rPr>
          <w:szCs w:val="22"/>
        </w:rPr>
        <w:t xml:space="preserve">Samlokaliseringsprosjektet har </w:t>
      </w:r>
      <w:r>
        <w:rPr>
          <w:szCs w:val="22"/>
        </w:rPr>
        <w:t xml:space="preserve">pågått </w:t>
      </w:r>
      <w:r w:rsidRPr="0012763A">
        <w:rPr>
          <w:szCs w:val="22"/>
        </w:rPr>
        <w:t xml:space="preserve">siden 2016, og den første fasen der miljøer fra NTNU og tidligere HiST flytter sammen sluttføres i løpet av 2018. </w:t>
      </w:r>
      <w:r w:rsidR="0084143B">
        <w:rPr>
          <w:szCs w:val="22"/>
        </w:rPr>
        <w:t>Følgende flyttinger</w:t>
      </w:r>
      <w:r w:rsidR="0084143B" w:rsidRPr="001E3B28">
        <w:rPr>
          <w:szCs w:val="22"/>
        </w:rPr>
        <w:t xml:space="preserve"> gjennomføres som planlagt:</w:t>
      </w:r>
    </w:p>
    <w:p w14:paraId="207C9212" w14:textId="7FC5E951" w:rsidR="0084143B" w:rsidRPr="0084143B" w:rsidRDefault="0084143B" w:rsidP="00535949">
      <w:pPr>
        <w:pStyle w:val="ListParagraph"/>
        <w:numPr>
          <w:ilvl w:val="0"/>
          <w:numId w:val="22"/>
        </w:numPr>
        <w:rPr>
          <w:szCs w:val="22"/>
        </w:rPr>
      </w:pPr>
      <w:r w:rsidRPr="0084143B">
        <w:rPr>
          <w:szCs w:val="22"/>
        </w:rPr>
        <w:t>pågående flyttinger av teknologimiljøer (elektroniske systemer, elkraftteknikk, teknisk kybernetikk, energi- og prosessteknikk, allmennfag inkl. forkurs + elektrolabber) fra Kalvskinnet til Gløshaugen (høsten 2018).</w:t>
      </w:r>
    </w:p>
    <w:p w14:paraId="7A2FEEFE" w14:textId="49D791CC" w:rsidR="0084143B" w:rsidRPr="0084143B" w:rsidRDefault="0084143B" w:rsidP="00535949">
      <w:pPr>
        <w:pStyle w:val="ListParagraph"/>
        <w:numPr>
          <w:ilvl w:val="0"/>
          <w:numId w:val="22"/>
        </w:numPr>
        <w:rPr>
          <w:szCs w:val="22"/>
        </w:rPr>
      </w:pPr>
      <w:r w:rsidRPr="0084143B">
        <w:rPr>
          <w:szCs w:val="22"/>
        </w:rPr>
        <w:t>Samling av Lærerutdanningen på Kalvskinnet (desember 2018)</w:t>
      </w:r>
    </w:p>
    <w:p w14:paraId="1BF07060" w14:textId="0DA8DF28" w:rsidR="0084143B" w:rsidRPr="0084143B" w:rsidRDefault="0084143B" w:rsidP="00535949">
      <w:pPr>
        <w:pStyle w:val="ListParagraph"/>
        <w:numPr>
          <w:ilvl w:val="0"/>
          <w:numId w:val="22"/>
        </w:numPr>
        <w:rPr>
          <w:szCs w:val="22"/>
        </w:rPr>
      </w:pPr>
      <w:r w:rsidRPr="0084143B">
        <w:rPr>
          <w:szCs w:val="22"/>
        </w:rPr>
        <w:t>Samfunnsøkonomi til Rustbygget (desember 2018)</w:t>
      </w:r>
    </w:p>
    <w:p w14:paraId="7213CE24" w14:textId="23DB7702" w:rsidR="0084143B" w:rsidRPr="0084143B" w:rsidRDefault="0084143B" w:rsidP="00535949">
      <w:pPr>
        <w:pStyle w:val="ListParagraph"/>
        <w:numPr>
          <w:ilvl w:val="0"/>
          <w:numId w:val="22"/>
        </w:numPr>
        <w:rPr>
          <w:szCs w:val="22"/>
        </w:rPr>
      </w:pPr>
      <w:r w:rsidRPr="0084143B">
        <w:rPr>
          <w:szCs w:val="22"/>
        </w:rPr>
        <w:t>Maskin og logistikk til Verkstedsteknisk, Valgrinda og Varmeteknisk (desember 2018)</w:t>
      </w:r>
    </w:p>
    <w:p w14:paraId="16F02C65" w14:textId="3F83BAD7" w:rsidR="0084143B" w:rsidRDefault="0084143B" w:rsidP="00535949">
      <w:pPr>
        <w:rPr>
          <w:szCs w:val="22"/>
        </w:rPr>
      </w:pPr>
    </w:p>
    <w:p w14:paraId="3BA3A478" w14:textId="2000C1F8" w:rsidR="0084143B" w:rsidRDefault="0084143B" w:rsidP="00535949">
      <w:pPr>
        <w:rPr>
          <w:szCs w:val="22"/>
        </w:rPr>
      </w:pPr>
      <w:r>
        <w:rPr>
          <w:szCs w:val="22"/>
        </w:rPr>
        <w:t xml:space="preserve">Samtidig er signalene fra fagmiljøene at vi i større grad har </w:t>
      </w:r>
      <w:r w:rsidRPr="00D00992">
        <w:rPr>
          <w:szCs w:val="22"/>
        </w:rPr>
        <w:t>behov for å koordinere samlokaliseringen med den langsiktige campusutviklingen og gi rom til bedre involvering av og kommunikasjon med ansatte og studenter.</w:t>
      </w:r>
      <w:r w:rsidR="000A23A7">
        <w:rPr>
          <w:szCs w:val="22"/>
        </w:rPr>
        <w:t xml:space="preserve"> Dette medfører at vi har satt i gang et </w:t>
      </w:r>
      <w:r w:rsidRPr="0084143B">
        <w:rPr>
          <w:szCs w:val="22"/>
        </w:rPr>
        <w:t xml:space="preserve">systematisk </w:t>
      </w:r>
      <w:r w:rsidR="000A23A7">
        <w:rPr>
          <w:szCs w:val="22"/>
        </w:rPr>
        <w:t xml:space="preserve">arbeid </w:t>
      </w:r>
      <w:r w:rsidRPr="0084143B">
        <w:rPr>
          <w:szCs w:val="22"/>
        </w:rPr>
        <w:t>med å avklare hvor store ressurser som skal benyttes til samlokaliseringen</w:t>
      </w:r>
      <w:r w:rsidR="000A23A7">
        <w:rPr>
          <w:szCs w:val="22"/>
        </w:rPr>
        <w:t xml:space="preserve">, og foreløpig </w:t>
      </w:r>
      <w:r w:rsidRPr="0084143B">
        <w:rPr>
          <w:szCs w:val="22"/>
        </w:rPr>
        <w:t xml:space="preserve">tyder </w:t>
      </w:r>
      <w:r w:rsidR="000A23A7">
        <w:rPr>
          <w:szCs w:val="22"/>
        </w:rPr>
        <w:t xml:space="preserve">det </w:t>
      </w:r>
      <w:r w:rsidRPr="0084143B">
        <w:rPr>
          <w:szCs w:val="22"/>
        </w:rPr>
        <w:t>på at vi må legge inn mer ressurser en våre tidlige kalkyler viste.</w:t>
      </w:r>
    </w:p>
    <w:p w14:paraId="5872522A" w14:textId="493930A4" w:rsidR="0084143B" w:rsidRDefault="0084143B" w:rsidP="00535949">
      <w:pPr>
        <w:rPr>
          <w:szCs w:val="22"/>
        </w:rPr>
      </w:pPr>
    </w:p>
    <w:p w14:paraId="3CB76902" w14:textId="77777777" w:rsidR="00F64F9C" w:rsidRDefault="00F64F9C" w:rsidP="00535949">
      <w:pPr>
        <w:rPr>
          <w:szCs w:val="22"/>
        </w:rPr>
      </w:pPr>
      <w:r w:rsidRPr="00F64F9C">
        <w:rPr>
          <w:szCs w:val="22"/>
        </w:rPr>
        <w:t xml:space="preserve">Styringsgruppa for samlokaliseringsprosjektet vedtok 16.5.18 å anbefale for Rektor å utsette fase to i samlokaliseringen i inntil ett år slik at samlokaliseringsarbeidet ses i sammenheng med Campusprosjektet og en sikrer at løsninger og investeringer er fornuftige også i et langsiktig perspektiv. Rektor tar beslutning etter at saken er drøftet med tillitsvalgte </w:t>
      </w:r>
      <w:r>
        <w:rPr>
          <w:szCs w:val="22"/>
        </w:rPr>
        <w:t>og s</w:t>
      </w:r>
      <w:r w:rsidRPr="00F64F9C">
        <w:rPr>
          <w:szCs w:val="22"/>
        </w:rPr>
        <w:t xml:space="preserve">tyret </w:t>
      </w:r>
      <w:r>
        <w:rPr>
          <w:szCs w:val="22"/>
        </w:rPr>
        <w:t>vil få en orienteringssak</w:t>
      </w:r>
      <w:r w:rsidRPr="00A56603">
        <w:rPr>
          <w:szCs w:val="22"/>
        </w:rPr>
        <w:t xml:space="preserve"> om </w:t>
      </w:r>
      <w:r>
        <w:rPr>
          <w:szCs w:val="22"/>
        </w:rPr>
        <w:t>samlokaliseringsprosjektet</w:t>
      </w:r>
      <w:r w:rsidRPr="00A56603">
        <w:rPr>
          <w:szCs w:val="22"/>
        </w:rPr>
        <w:t xml:space="preserve"> i styremøtet i august</w:t>
      </w:r>
      <w:r>
        <w:rPr>
          <w:szCs w:val="22"/>
        </w:rPr>
        <w:t xml:space="preserve">. </w:t>
      </w:r>
    </w:p>
    <w:p w14:paraId="318AD243" w14:textId="23D85166" w:rsidR="00F64F9C" w:rsidRDefault="00F64F9C" w:rsidP="00535949">
      <w:pPr>
        <w:rPr>
          <w:szCs w:val="22"/>
        </w:rPr>
      </w:pPr>
    </w:p>
    <w:p w14:paraId="3B4FD5BD" w14:textId="77777777" w:rsidR="008576F8" w:rsidRDefault="008576F8" w:rsidP="00535949">
      <w:pPr>
        <w:rPr>
          <w:szCs w:val="22"/>
        </w:rPr>
      </w:pPr>
    </w:p>
    <w:p w14:paraId="00C79153" w14:textId="77777777" w:rsidR="008576F8" w:rsidRDefault="008576F8" w:rsidP="00535949">
      <w:pPr>
        <w:rPr>
          <w:b/>
          <w:i/>
          <w:color w:val="0070C0"/>
          <w:szCs w:val="22"/>
        </w:rPr>
      </w:pPr>
      <w:r w:rsidRPr="001F1AD0">
        <w:rPr>
          <w:b/>
          <w:i/>
          <w:color w:val="0070C0"/>
          <w:szCs w:val="22"/>
        </w:rPr>
        <w:t>Oppfølging av ABE-kutt</w:t>
      </w:r>
    </w:p>
    <w:p w14:paraId="7C647771" w14:textId="5AABE526" w:rsidR="00D113D1" w:rsidRDefault="00D113D1" w:rsidP="00535949">
      <w:pPr>
        <w:rPr>
          <w:szCs w:val="24"/>
        </w:rPr>
      </w:pPr>
      <w:r>
        <w:rPr>
          <w:szCs w:val="24"/>
        </w:rPr>
        <w:t xml:space="preserve">ABE-reformen følges i 2018 opp gjennom at enhetene har fått kutt i rammene og at de selv iverksetter aktuelle effektiviseringstiltak. Samtidig følger </w:t>
      </w:r>
      <w:r w:rsidRPr="00D113D1">
        <w:rPr>
          <w:szCs w:val="24"/>
        </w:rPr>
        <w:t>vi følger utviklingen i forholdstall mellom ansatte i kjernevirksomheten og ans</w:t>
      </w:r>
      <w:r>
        <w:rPr>
          <w:szCs w:val="24"/>
        </w:rPr>
        <w:t xml:space="preserve">atte i administrativ virksomhet tett. Øien-utvalget har identifisert </w:t>
      </w:r>
      <w:r w:rsidRPr="00D113D1">
        <w:rPr>
          <w:szCs w:val="24"/>
        </w:rPr>
        <w:t>seks områder med et klart potensiale for innsparing/inntektsøkning i 2018</w:t>
      </w:r>
      <w:r>
        <w:rPr>
          <w:szCs w:val="24"/>
        </w:rPr>
        <w:t xml:space="preserve">, alle </w:t>
      </w:r>
      <w:r w:rsidRPr="00D113D1">
        <w:rPr>
          <w:szCs w:val="24"/>
        </w:rPr>
        <w:t>direkte eller indirekte personalrelaterte kostnader</w:t>
      </w:r>
      <w:r>
        <w:rPr>
          <w:szCs w:val="24"/>
        </w:rPr>
        <w:t xml:space="preserve">. Det er tidlig å vurdere effekter og det legges opp til en grundigere gjennomgang i årsrapporten. Videre følger en </w:t>
      </w:r>
      <w:r w:rsidR="00FE63AA">
        <w:rPr>
          <w:szCs w:val="24"/>
        </w:rPr>
        <w:t>kort</w:t>
      </w:r>
      <w:r>
        <w:rPr>
          <w:szCs w:val="24"/>
        </w:rPr>
        <w:t xml:space="preserve"> status per 1. tertial.  </w:t>
      </w:r>
    </w:p>
    <w:p w14:paraId="354716B3" w14:textId="77777777" w:rsidR="00D113D1" w:rsidRDefault="00D113D1" w:rsidP="00535949">
      <w:pPr>
        <w:rPr>
          <w:szCs w:val="24"/>
        </w:rPr>
      </w:pPr>
    </w:p>
    <w:p w14:paraId="031ED295" w14:textId="54F9A124" w:rsidR="008576F8" w:rsidRDefault="008576F8" w:rsidP="00535949">
      <w:pPr>
        <w:rPr>
          <w:szCs w:val="24"/>
        </w:rPr>
      </w:pPr>
      <w:r w:rsidRPr="001F1AD0">
        <w:rPr>
          <w:szCs w:val="24"/>
        </w:rPr>
        <w:t xml:space="preserve">Utviklingen i årsverk hittil i år viser at forholdstallet </w:t>
      </w:r>
      <w:r>
        <w:rPr>
          <w:szCs w:val="24"/>
        </w:rPr>
        <w:t>mellom undervisnings-</w:t>
      </w:r>
      <w:r w:rsidR="00D113D1">
        <w:rPr>
          <w:szCs w:val="24"/>
        </w:rPr>
        <w:t xml:space="preserve"> </w:t>
      </w:r>
      <w:r>
        <w:rPr>
          <w:szCs w:val="24"/>
        </w:rPr>
        <w:t>forsknings-</w:t>
      </w:r>
      <w:r w:rsidR="00D113D1">
        <w:rPr>
          <w:szCs w:val="24"/>
        </w:rPr>
        <w:t xml:space="preserve"> </w:t>
      </w:r>
      <w:r>
        <w:rPr>
          <w:szCs w:val="24"/>
        </w:rPr>
        <w:t xml:space="preserve">og formidlingsstillinger (UFF) og administrative stillinger </w:t>
      </w:r>
      <w:r w:rsidRPr="001F1AD0">
        <w:rPr>
          <w:szCs w:val="24"/>
        </w:rPr>
        <w:t xml:space="preserve">for NTNU samlet holder seg stabilt, men </w:t>
      </w:r>
      <w:r>
        <w:rPr>
          <w:szCs w:val="24"/>
        </w:rPr>
        <w:t xml:space="preserve">det er høy aktivitet knyttet til rekruttering for tiden og </w:t>
      </w:r>
      <w:r w:rsidRPr="001F1AD0">
        <w:rPr>
          <w:szCs w:val="24"/>
        </w:rPr>
        <w:t xml:space="preserve">utviklingen følges </w:t>
      </w:r>
      <w:r w:rsidR="00FE63AA">
        <w:rPr>
          <w:szCs w:val="24"/>
        </w:rPr>
        <w:t>nøye</w:t>
      </w:r>
      <w:r w:rsidRPr="001F1AD0">
        <w:rPr>
          <w:szCs w:val="24"/>
        </w:rPr>
        <w:t>.</w:t>
      </w:r>
    </w:p>
    <w:p w14:paraId="50813ECC" w14:textId="77777777" w:rsidR="008576F8" w:rsidRDefault="008576F8" w:rsidP="00535949">
      <w:pPr>
        <w:rPr>
          <w:szCs w:val="24"/>
        </w:rPr>
      </w:pPr>
    </w:p>
    <w:p w14:paraId="095304F2" w14:textId="77777777" w:rsidR="008576F8" w:rsidRDefault="008576F8" w:rsidP="00535949">
      <w:pPr>
        <w:rPr>
          <w:szCs w:val="24"/>
        </w:rPr>
      </w:pPr>
      <w:r>
        <w:rPr>
          <w:szCs w:val="24"/>
        </w:rPr>
        <w:t xml:space="preserve">Kostnader til servering var et </w:t>
      </w:r>
      <w:r w:rsidR="004C4C80">
        <w:rPr>
          <w:szCs w:val="24"/>
        </w:rPr>
        <w:t>tiltak</w:t>
      </w:r>
      <w:r>
        <w:rPr>
          <w:szCs w:val="24"/>
        </w:rPr>
        <w:t xml:space="preserve"> som ble omtalt som </w:t>
      </w:r>
      <w:r w:rsidR="004C4C80">
        <w:rPr>
          <w:szCs w:val="24"/>
        </w:rPr>
        <w:t xml:space="preserve">et </w:t>
      </w:r>
      <w:r>
        <w:rPr>
          <w:szCs w:val="24"/>
        </w:rPr>
        <w:t xml:space="preserve">mulig </w:t>
      </w:r>
      <w:r w:rsidR="004C4C80">
        <w:rPr>
          <w:szCs w:val="24"/>
        </w:rPr>
        <w:t>område</w:t>
      </w:r>
      <w:r>
        <w:rPr>
          <w:szCs w:val="24"/>
        </w:rPr>
        <w:t xml:space="preserve"> for besparelse i Øien-utvalgets rapport. P</w:t>
      </w:r>
      <w:r w:rsidR="004C4C80">
        <w:rPr>
          <w:szCs w:val="24"/>
        </w:rPr>
        <w:t xml:space="preserve">r første tertial i 2018 har </w:t>
      </w:r>
      <w:r>
        <w:rPr>
          <w:szCs w:val="24"/>
        </w:rPr>
        <w:t xml:space="preserve">serveringskostnadene </w:t>
      </w:r>
      <w:r w:rsidR="004C4C80">
        <w:rPr>
          <w:szCs w:val="24"/>
        </w:rPr>
        <w:t xml:space="preserve">ved NTNU økt med 3% sammenlignet med samme periode i fjor. Antall årsverk har i samme periode økt med 4%, så kostnad pr årsverk har gått noe ned.  </w:t>
      </w:r>
    </w:p>
    <w:p w14:paraId="50F16133" w14:textId="77777777" w:rsidR="008576F8" w:rsidRDefault="008576F8" w:rsidP="00535949">
      <w:pPr>
        <w:rPr>
          <w:szCs w:val="24"/>
        </w:rPr>
      </w:pPr>
    </w:p>
    <w:p w14:paraId="572ABE96" w14:textId="20F5B8B1" w:rsidR="004C4C80" w:rsidRPr="00FE63AA" w:rsidRDefault="00FE63AA" w:rsidP="00535949">
      <w:pPr>
        <w:keepNext/>
        <w:rPr>
          <w:szCs w:val="22"/>
        </w:rPr>
      </w:pPr>
      <w:r w:rsidRPr="00F800C5">
        <w:rPr>
          <w:szCs w:val="22"/>
        </w:rPr>
        <w:t xml:space="preserve">På bakgrunn av Øien-utvalgets rapport ble </w:t>
      </w:r>
      <w:r>
        <w:rPr>
          <w:szCs w:val="22"/>
        </w:rPr>
        <w:t xml:space="preserve">også </w:t>
      </w:r>
      <w:r w:rsidRPr="00F800C5">
        <w:rPr>
          <w:szCs w:val="22"/>
        </w:rPr>
        <w:t>fasttelefonen erstattet av Skype for Business i november 2017, og det ble gjort en betydelig oppgradering av møterom på hele NTNU</w:t>
      </w:r>
      <w:r>
        <w:rPr>
          <w:szCs w:val="22"/>
        </w:rPr>
        <w:t>, for å kunne redusere reisevirksomheten</w:t>
      </w:r>
      <w:r w:rsidRPr="00F800C5">
        <w:rPr>
          <w:szCs w:val="22"/>
        </w:rPr>
        <w:t>.</w:t>
      </w:r>
      <w:r>
        <w:rPr>
          <w:szCs w:val="22"/>
        </w:rPr>
        <w:t xml:space="preserve"> T</w:t>
      </w:r>
      <w:r w:rsidRPr="00F800C5">
        <w:rPr>
          <w:szCs w:val="22"/>
        </w:rPr>
        <w:t>rafikkdata fr</w:t>
      </w:r>
      <w:r>
        <w:rPr>
          <w:szCs w:val="22"/>
        </w:rPr>
        <w:t>a Exchange viser en formidabel vekst</w:t>
      </w:r>
      <w:r w:rsidRPr="00F800C5">
        <w:rPr>
          <w:szCs w:val="22"/>
        </w:rPr>
        <w:t xml:space="preserve"> i bruken</w:t>
      </w:r>
      <w:r>
        <w:rPr>
          <w:szCs w:val="22"/>
        </w:rPr>
        <w:t xml:space="preserve"> av Skype</w:t>
      </w:r>
      <w:r w:rsidRPr="00F800C5">
        <w:rPr>
          <w:szCs w:val="22"/>
        </w:rPr>
        <w:t>.</w:t>
      </w:r>
      <w:r w:rsidR="004C4C80">
        <w:rPr>
          <w:szCs w:val="24"/>
        </w:rPr>
        <w:t xml:space="preserve"> Pr 1.tertial i 2018 ser vi </w:t>
      </w:r>
      <w:r w:rsidR="00E236AE">
        <w:rPr>
          <w:szCs w:val="24"/>
        </w:rPr>
        <w:t>imidlertid</w:t>
      </w:r>
      <w:r w:rsidR="004C4C80">
        <w:rPr>
          <w:szCs w:val="24"/>
        </w:rPr>
        <w:t xml:space="preserve"> en økning i reisekostnader sammenlignet med sam</w:t>
      </w:r>
      <w:r w:rsidR="00E236AE">
        <w:rPr>
          <w:szCs w:val="24"/>
        </w:rPr>
        <w:t xml:space="preserve">me periode i fjor, på hele 17%. Dette innebærer at reisekostnad pr årsverk har vært betydelig høyere i første tertial 2018 enn i første tertial 2017. </w:t>
      </w:r>
      <w:r>
        <w:rPr>
          <w:szCs w:val="24"/>
        </w:rPr>
        <w:t>Det er behov for å følge utviklingen videre og gjøre ytterligere analyser før vi vurderer behov for å iverksette tiltak.</w:t>
      </w:r>
    </w:p>
    <w:p w14:paraId="32F631AD" w14:textId="7AA86651" w:rsidR="00FE63AA" w:rsidRDefault="00FE63AA" w:rsidP="00535949">
      <w:pPr>
        <w:rPr>
          <w:szCs w:val="24"/>
        </w:rPr>
      </w:pPr>
    </w:p>
    <w:p w14:paraId="296A2C3C" w14:textId="77777777" w:rsidR="003668B1" w:rsidRDefault="003668B1" w:rsidP="00535949">
      <w:pPr>
        <w:rPr>
          <w:szCs w:val="24"/>
        </w:rPr>
      </w:pPr>
    </w:p>
    <w:p w14:paraId="5D311BAA" w14:textId="77777777" w:rsidR="008576F8" w:rsidRPr="005027EF" w:rsidRDefault="008576F8" w:rsidP="00535949">
      <w:pPr>
        <w:rPr>
          <w:b/>
          <w:i/>
          <w:color w:val="0070C0"/>
          <w:szCs w:val="24"/>
        </w:rPr>
      </w:pPr>
      <w:r w:rsidRPr="005027EF">
        <w:rPr>
          <w:b/>
          <w:i/>
          <w:color w:val="0070C0"/>
          <w:szCs w:val="24"/>
        </w:rPr>
        <w:t>Arbeidsmiljøundersøkelsen</w:t>
      </w:r>
    </w:p>
    <w:p w14:paraId="3FFF2CA3" w14:textId="14E00E5D" w:rsidR="008576F8" w:rsidRPr="00581816" w:rsidRDefault="008576F8" w:rsidP="00535949">
      <w:r w:rsidRPr="00581816">
        <w:t>Etter arbeidsmiljøundersøkelsen i november 2017 har det i første halvår vært oppfølgingsprosesser på alle enhetene ved NTNU. 68 % av enhetslederne med verneombud rapporterer at undersøkelsen har fungert «bra» eller «meget bra» på deres enhet. 27 % rapporterer at den har fungert «middels bra». I evalueringen av årets organisering og prosess vil vi se nærmere på hvordan vi kan gjøre undersøkelsen til et enda bedre verktøy i 2019 i den mangfoldige organisasjonen NTNU har blitt. Foreløpige inntrykk fra oppfølgingsprosessene gir indikasjoner på ressursknapphet i den administrative linjen på alle nivå i organisasjonen. Det oppleves som økt tidspress sett fra de administrativt ansattes ståsted og som lavere tilgjengelighet sett fra de vitenskapelig ansatte. Avklaring av roller og rutiner har derfor vært et tema mange steder. Stipendiatgruppen har kanskje vært minst berørt av fusjonen. Sosial inkludering og støtte er et viktig tema for denne gruppen. For de vitenskapelig ansatte står faglig samarbeid sentralt. Generelt setter ansatte pris på muligheten arbeidsmiljøundersøkelsen gir til å snakke om arbeidsmiljøet. Å legge til rette for jevnlig dialog gjennom året om slike tema, vil være viktig framover, - ikke minst i forbindelse med samlokalisering, faglig integrasjon og endringer i administrative prosesser</w:t>
      </w:r>
      <w:r w:rsidRPr="00535949">
        <w:t xml:space="preserve">. </w:t>
      </w:r>
      <w:r w:rsidR="00CE6BC4" w:rsidRPr="00535949">
        <w:t>Det forventes en revisjon av metodikken knyttet til ARK på nasjonalt nivå som følge av innspill fra institusjonene og kravene om innsynsbegjæringer.</w:t>
      </w:r>
      <w:r w:rsidRPr="00581816">
        <w:t> </w:t>
      </w:r>
    </w:p>
    <w:p w14:paraId="3B6047ED" w14:textId="77777777" w:rsidR="008576F8" w:rsidRDefault="008576F8" w:rsidP="00535949"/>
    <w:p w14:paraId="77B41959" w14:textId="77777777" w:rsidR="008576F8" w:rsidRDefault="008576F8" w:rsidP="00535949"/>
    <w:p w14:paraId="533D6BC2" w14:textId="77777777" w:rsidR="008576F8" w:rsidRPr="00F33D74" w:rsidRDefault="008576F8" w:rsidP="00535949">
      <w:pPr>
        <w:rPr>
          <w:b/>
          <w:i/>
          <w:color w:val="0070C0"/>
          <w:szCs w:val="24"/>
        </w:rPr>
      </w:pPr>
      <w:r w:rsidRPr="00F33D74">
        <w:rPr>
          <w:b/>
          <w:i/>
          <w:color w:val="0070C0"/>
          <w:szCs w:val="24"/>
        </w:rPr>
        <w:t xml:space="preserve">Sykefravær </w:t>
      </w:r>
    </w:p>
    <w:p w14:paraId="765BD833" w14:textId="769D31E7" w:rsidR="008576F8" w:rsidRDefault="00366A5B" w:rsidP="00535949">
      <w:r>
        <w:t>Siste tilgjengelige statistikk for s</w:t>
      </w:r>
      <w:r w:rsidR="008576F8">
        <w:t xml:space="preserve">ykefraværet er for 4.kvartal 2017. Totalt sykefravær ved NTNU er på omtrent samme nivå som i 3. kvartal 2017. I 3. kvartal var sykefraværet for kvinner, menn og totalt på henholdsvis 5,9, 2,1 og 3,9 %. </w:t>
      </w:r>
      <w:r w:rsidR="008576F8" w:rsidRPr="00581816">
        <w:t>Gjennom oppfølging av avtalen om Inkluderende Arbeidsliv (IA) pekes det på at årsak til arbeidsrelatert sykefravær i hovedsak handler om omorganisering i kombinasjon med økt arbeidsmengde og redusert bemanning.</w:t>
      </w:r>
      <w:r w:rsidR="007B1C67">
        <w:t xml:space="preserve"> </w:t>
      </w:r>
      <w:r w:rsidR="007B1C67" w:rsidRPr="007B1C67">
        <w:t xml:space="preserve">Dette kommer også frem i oppfølgingsprosessene etter arbeidsmiljøundersøkelsen. </w:t>
      </w:r>
      <w:r w:rsidR="007B1C67">
        <w:t>Fortsatt arbeid med a</w:t>
      </w:r>
      <w:r w:rsidR="007B1C67" w:rsidRPr="007B1C67">
        <w:t>vklaring av roller og ansvar vil kunne bidra til å senke arbeidspress og slik forebygge sykefravær.</w:t>
      </w:r>
    </w:p>
    <w:p w14:paraId="761418E4" w14:textId="77777777" w:rsidR="00206011" w:rsidRDefault="00206011" w:rsidP="00535949">
      <w:pPr>
        <w:rPr>
          <w:b/>
          <w:sz w:val="32"/>
        </w:rPr>
      </w:pPr>
      <w:r w:rsidRPr="00535949">
        <w:rPr>
          <w:noProof/>
        </w:rPr>
        <w:drawing>
          <wp:anchor distT="0" distB="0" distL="114300" distR="114300" simplePos="0" relativeHeight="251660288" behindDoc="0" locked="0" layoutInCell="1" allowOverlap="1" wp14:anchorId="4BA6AA98" wp14:editId="43BCF54A">
            <wp:simplePos x="0" y="0"/>
            <wp:positionH relativeFrom="margin">
              <wp:align>left</wp:align>
            </wp:positionH>
            <wp:positionV relativeFrom="paragraph">
              <wp:posOffset>168800</wp:posOffset>
            </wp:positionV>
            <wp:extent cx="4886715" cy="2075290"/>
            <wp:effectExtent l="0" t="0" r="9525" b="127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715" cy="2075290"/>
                    </a:xfrm>
                    <a:prstGeom prst="rect">
                      <a:avLst/>
                    </a:prstGeom>
                    <a:noFill/>
                    <a:ln>
                      <a:noFill/>
                    </a:ln>
                  </pic:spPr>
                </pic:pic>
              </a:graphicData>
            </a:graphic>
          </wp:anchor>
        </w:drawing>
      </w:r>
    </w:p>
    <w:p w14:paraId="1DD4773D" w14:textId="77777777" w:rsidR="00206011" w:rsidRDefault="00206011" w:rsidP="00535949">
      <w:pPr>
        <w:rPr>
          <w:b/>
          <w:sz w:val="32"/>
        </w:rPr>
      </w:pPr>
    </w:p>
    <w:p w14:paraId="013633A0" w14:textId="77777777" w:rsidR="00206011" w:rsidRDefault="00206011" w:rsidP="00535949">
      <w:pPr>
        <w:rPr>
          <w:b/>
          <w:sz w:val="32"/>
        </w:rPr>
      </w:pPr>
    </w:p>
    <w:p w14:paraId="6E0C60B9" w14:textId="77777777" w:rsidR="00206011" w:rsidRDefault="00206011" w:rsidP="00535949">
      <w:pPr>
        <w:rPr>
          <w:b/>
          <w:sz w:val="32"/>
        </w:rPr>
      </w:pPr>
    </w:p>
    <w:p w14:paraId="47054750" w14:textId="77777777" w:rsidR="00206011" w:rsidRDefault="00206011" w:rsidP="00535949">
      <w:pPr>
        <w:rPr>
          <w:b/>
          <w:sz w:val="32"/>
        </w:rPr>
      </w:pPr>
    </w:p>
    <w:p w14:paraId="578CB9BD" w14:textId="77777777" w:rsidR="00206011" w:rsidRDefault="00206011" w:rsidP="00535949">
      <w:pPr>
        <w:rPr>
          <w:b/>
          <w:sz w:val="32"/>
        </w:rPr>
      </w:pPr>
    </w:p>
    <w:p w14:paraId="73DE1ECC" w14:textId="4713A423" w:rsidR="008576F8" w:rsidRPr="00206011" w:rsidRDefault="008576F8" w:rsidP="00535949">
      <w:pPr>
        <w:rPr>
          <w:b/>
          <w:sz w:val="32"/>
        </w:rPr>
      </w:pPr>
      <w:r w:rsidRPr="009207F6">
        <w:rPr>
          <w:sz w:val="18"/>
        </w:rPr>
        <w:t>* Tallmaterialet er hentet fra NAV IA-Web.</w:t>
      </w:r>
      <w:r>
        <w:rPr>
          <w:sz w:val="18"/>
        </w:rPr>
        <w:t xml:space="preserve"> Sykefravær oppgis kvartalsvis. Sykefravær for 1. kvartal 2018 foreligger ikke pr d.d.</w:t>
      </w:r>
    </w:p>
    <w:p w14:paraId="2B506A14" w14:textId="77777777" w:rsidR="008576F8" w:rsidRDefault="008576F8" w:rsidP="00535949">
      <w:pPr>
        <w:rPr>
          <w:sz w:val="18"/>
        </w:rPr>
      </w:pPr>
    </w:p>
    <w:p w14:paraId="47023F62" w14:textId="3097E3E5" w:rsidR="005A156C" w:rsidRDefault="005A156C" w:rsidP="00535949"/>
    <w:p w14:paraId="3C465C55" w14:textId="701F00E1" w:rsidR="008576F8" w:rsidRPr="005027EF" w:rsidRDefault="008576F8" w:rsidP="00535949">
      <w:pPr>
        <w:rPr>
          <w:b/>
          <w:i/>
          <w:color w:val="0070C0"/>
          <w:szCs w:val="24"/>
        </w:rPr>
      </w:pPr>
      <w:r w:rsidRPr="005027EF">
        <w:rPr>
          <w:b/>
          <w:i/>
          <w:color w:val="0070C0"/>
          <w:szCs w:val="24"/>
        </w:rPr>
        <w:t>HMS-opplæring for ledere</w:t>
      </w:r>
    </w:p>
    <w:p w14:paraId="7250F886" w14:textId="77777777" w:rsidR="008576F8" w:rsidRDefault="008576F8" w:rsidP="00535949">
      <w:r>
        <w:t>Det ble gjennomført HMS-opplæring for ledere ved fire fakulteter i 1. tertial. Opplæringen har vært holdt fakultetvis og har blitt tilpasset lokale behov og ønsker. Deltakere har hovedsakelig vært instituttledere, seksjonssjefer, kontorsjefer, HMS-koordinatorer og verneombud.</w:t>
      </w:r>
    </w:p>
    <w:p w14:paraId="275B301B" w14:textId="77777777" w:rsidR="008576F8" w:rsidRDefault="008576F8" w:rsidP="00535949"/>
    <w:p w14:paraId="7051465C" w14:textId="77777777" w:rsidR="008576F8" w:rsidRDefault="008576F8" w:rsidP="00535949">
      <w:pPr>
        <w:rPr>
          <w:b/>
          <w:i/>
          <w:color w:val="0070C0"/>
          <w:szCs w:val="24"/>
        </w:rPr>
      </w:pPr>
    </w:p>
    <w:p w14:paraId="79052D5B" w14:textId="77777777" w:rsidR="008576F8" w:rsidRPr="0098331C" w:rsidRDefault="008576F8" w:rsidP="00535949">
      <w:pPr>
        <w:rPr>
          <w:b/>
          <w:i/>
          <w:color w:val="0070C0"/>
          <w:szCs w:val="24"/>
        </w:rPr>
      </w:pPr>
      <w:r w:rsidRPr="0098331C">
        <w:rPr>
          <w:b/>
          <w:i/>
          <w:color w:val="0070C0"/>
          <w:szCs w:val="24"/>
        </w:rPr>
        <w:t>Ny personvernforordning</w:t>
      </w:r>
    </w:p>
    <w:p w14:paraId="56A9F8AA" w14:textId="77777777" w:rsidR="008576F8" w:rsidRPr="00467448" w:rsidRDefault="008576F8" w:rsidP="00535949">
      <w:pPr>
        <w:rPr>
          <w:szCs w:val="24"/>
          <w:shd w:val="clear" w:color="auto" w:fill="FFFFFF"/>
        </w:rPr>
      </w:pPr>
      <w:r w:rsidRPr="00467448">
        <w:rPr>
          <w:szCs w:val="24"/>
          <w:shd w:val="clear" w:color="auto" w:fill="FFFFFF"/>
        </w:rPr>
        <w:t>Ny personvernforordning med felles europeisk regelverk for personvern – General Data Protection Regulation (GDPR) –  vil etter planen tre i kraft i juli 2018. Gjeldende personopplysningslov med forskrift oppheves og erstattes med ny personvernlov.</w:t>
      </w:r>
      <w:r>
        <w:rPr>
          <w:szCs w:val="24"/>
          <w:shd w:val="clear" w:color="auto" w:fill="FFFFFF"/>
        </w:rPr>
        <w:t xml:space="preserve"> N</w:t>
      </w:r>
      <w:r w:rsidRPr="00467448">
        <w:rPr>
          <w:szCs w:val="24"/>
          <w:shd w:val="clear" w:color="auto" w:fill="FFFFFF"/>
        </w:rPr>
        <w:t>TNU har etablert et eget prosjekt for ivareta de føringer som ligger i den nye personvernloven og for å sikre og forbedre våre rutiner. I første omgang består prosjektet i kartlegging av behandlinger av personopplysninger og å få på plass alle databehandler</w:t>
      </w:r>
      <w:r>
        <w:rPr>
          <w:szCs w:val="24"/>
          <w:shd w:val="clear" w:color="auto" w:fill="FFFFFF"/>
        </w:rPr>
        <w:softHyphen/>
      </w:r>
      <w:r w:rsidRPr="00467448">
        <w:rPr>
          <w:szCs w:val="24"/>
          <w:shd w:val="clear" w:color="auto" w:fill="FFFFFF"/>
        </w:rPr>
        <w:t>avtaler samt etablere et system for innsyn og avviksbehandling. Arbeidet er tett koblet til implementering av NTNUs styringssystem for informasjonssikkerhet og vårt arbeid med internkontroll.</w:t>
      </w:r>
    </w:p>
    <w:p w14:paraId="51B56E4B" w14:textId="77777777" w:rsidR="008576F8" w:rsidRDefault="008576F8" w:rsidP="00535949">
      <w:pPr>
        <w:rPr>
          <w:szCs w:val="24"/>
          <w:shd w:val="clear" w:color="auto" w:fill="FFFFFF"/>
        </w:rPr>
      </w:pPr>
      <w:r w:rsidRPr="00467448">
        <w:rPr>
          <w:szCs w:val="24"/>
          <w:shd w:val="clear" w:color="auto" w:fill="FFFFFF"/>
        </w:rPr>
        <w:t>NTNU har også ansatt eget personvernombud.</w:t>
      </w:r>
    </w:p>
    <w:p w14:paraId="38551999" w14:textId="77777777" w:rsidR="008576F8" w:rsidRDefault="008576F8" w:rsidP="00535949">
      <w:pPr>
        <w:rPr>
          <w:szCs w:val="24"/>
          <w:shd w:val="clear" w:color="auto" w:fill="FFFFFF"/>
        </w:rPr>
      </w:pPr>
    </w:p>
    <w:p w14:paraId="33C3E111" w14:textId="77777777" w:rsidR="008576F8" w:rsidRPr="00467448" w:rsidRDefault="008576F8" w:rsidP="00535949">
      <w:pPr>
        <w:rPr>
          <w:szCs w:val="24"/>
          <w:shd w:val="clear" w:color="auto" w:fill="FFFFFF"/>
        </w:rPr>
      </w:pPr>
    </w:p>
    <w:p w14:paraId="7C9E24E2" w14:textId="77777777" w:rsidR="008576F8" w:rsidRPr="005027EF" w:rsidRDefault="008576F8" w:rsidP="00535949">
      <w:pPr>
        <w:rPr>
          <w:b/>
          <w:i/>
          <w:color w:val="0070C0"/>
          <w:szCs w:val="24"/>
        </w:rPr>
      </w:pPr>
      <w:r w:rsidRPr="005027EF">
        <w:rPr>
          <w:b/>
          <w:i/>
          <w:color w:val="0070C0"/>
          <w:szCs w:val="24"/>
        </w:rPr>
        <w:t>Informasjonssikkerhet</w:t>
      </w:r>
    </w:p>
    <w:p w14:paraId="2F61BF9F" w14:textId="0CC9AE71" w:rsidR="008576F8" w:rsidRDefault="00101C6E" w:rsidP="00535949">
      <w:r>
        <w:t xml:space="preserve">NTNUs nye styrings- og ledelsessystemet for informasjonssikkerhet planlegges vedtatt i første halvdel av juni. Systemet består </w:t>
      </w:r>
      <w:r w:rsidRPr="00A03C9F">
        <w:t>av nytt IKT-reglement, ny Politikk for informasjonssikkerhet, og 13 underliggende retningslinjer som sammen utgjør ledelsessystemets styrende dokumenter. Ledelsessystemet er utformet i tråd med NTNUs delegasjons- og styringsreg</w:t>
      </w:r>
      <w:r>
        <w:t>lement og følger ISO27001:2013. I følge prosjektets sluttrapport som ble levert i mars, vil implementeringen kreve prioritet og ressurser over en estimert periode på 3-5 år</w:t>
      </w:r>
      <w:r w:rsidR="00402035">
        <w:t>. Det vises til egen styresak for nærmere utdyping.</w:t>
      </w:r>
    </w:p>
    <w:p w14:paraId="65CD529E" w14:textId="156C8C3C" w:rsidR="00101C6E" w:rsidRDefault="00101C6E" w:rsidP="00535949"/>
    <w:p w14:paraId="004C9D29" w14:textId="77777777" w:rsidR="00101C6E" w:rsidRDefault="00101C6E" w:rsidP="00535949"/>
    <w:p w14:paraId="5400F314" w14:textId="77777777" w:rsidR="008576F8" w:rsidRPr="005027EF" w:rsidRDefault="008576F8" w:rsidP="00535949">
      <w:pPr>
        <w:rPr>
          <w:b/>
          <w:i/>
          <w:color w:val="0070C0"/>
          <w:szCs w:val="24"/>
        </w:rPr>
      </w:pPr>
      <w:r w:rsidRPr="005027EF">
        <w:rPr>
          <w:b/>
          <w:i/>
          <w:color w:val="0070C0"/>
          <w:szCs w:val="24"/>
        </w:rPr>
        <w:t>Sikkerhet og beredskap</w:t>
      </w:r>
    </w:p>
    <w:p w14:paraId="437A2892" w14:textId="77777777" w:rsidR="008576F8" w:rsidRDefault="008576F8" w:rsidP="00535949">
      <w:pPr>
        <w:rPr>
          <w:color w:val="212121"/>
        </w:rPr>
      </w:pPr>
      <w:r>
        <w:rPr>
          <w:color w:val="212121"/>
        </w:rPr>
        <w:t xml:space="preserve">Rapport etter Virksomhetstilpasset, overordnet </w:t>
      </w:r>
      <w:r>
        <w:rPr>
          <w:i/>
          <w:iCs/>
          <w:color w:val="212121"/>
        </w:rPr>
        <w:t>ROS-analyse</w:t>
      </w:r>
      <w:r>
        <w:rPr>
          <w:color w:val="212121"/>
        </w:rPr>
        <w:t xml:space="preserve"> foreligger og arbeidet med risikoreduserende tiltak pågår.</w:t>
      </w:r>
    </w:p>
    <w:p w14:paraId="40734EDE" w14:textId="77777777" w:rsidR="008576F8" w:rsidRDefault="008576F8" w:rsidP="00535949">
      <w:pPr>
        <w:rPr>
          <w:color w:val="212121"/>
        </w:rPr>
      </w:pPr>
      <w:r>
        <w:rPr>
          <w:i/>
          <w:iCs/>
          <w:color w:val="212121"/>
        </w:rPr>
        <w:t>Sentral og stedlig beredskapsplan</w:t>
      </w:r>
      <w:r>
        <w:rPr>
          <w:color w:val="212121"/>
        </w:rPr>
        <w:t xml:space="preserve"> er revidert iht fusjon og oppdatert risikobilde. Ferdigstilles mai 2018. Beredskapsanalyser i form av scenariobaserte </w:t>
      </w:r>
      <w:r>
        <w:rPr>
          <w:i/>
          <w:iCs/>
          <w:color w:val="212121"/>
        </w:rPr>
        <w:t>skrivebordsøvelser</w:t>
      </w:r>
      <w:r>
        <w:rPr>
          <w:color w:val="212121"/>
        </w:rPr>
        <w:t xml:space="preserve"> er gjennomført i alle tre campusbyer med bred involvering fra alle som vil ha en rolle i beredskapsstaben har deltatt, både interne og eksterne ressurser.</w:t>
      </w:r>
    </w:p>
    <w:p w14:paraId="22A56EB8" w14:textId="77777777" w:rsidR="008576F8" w:rsidRDefault="008576F8" w:rsidP="00535949">
      <w:pPr>
        <w:rPr>
          <w:color w:val="212121"/>
        </w:rPr>
      </w:pPr>
      <w:r>
        <w:rPr>
          <w:i/>
          <w:iCs/>
          <w:color w:val="212121"/>
        </w:rPr>
        <w:t>Varslingsøvelse og scenariobasert skrivebordsøvelse</w:t>
      </w:r>
      <w:r>
        <w:rPr>
          <w:color w:val="212121"/>
        </w:rPr>
        <w:t xml:space="preserve"> med sentral beredskapsgruppe er gjennomført i januar 2018.</w:t>
      </w:r>
    </w:p>
    <w:p w14:paraId="3F955B0A" w14:textId="77777777" w:rsidR="008576F8" w:rsidRDefault="008576F8" w:rsidP="00535949">
      <w:pPr>
        <w:rPr>
          <w:color w:val="212121"/>
        </w:rPr>
      </w:pPr>
    </w:p>
    <w:p w14:paraId="5FD27270" w14:textId="77777777" w:rsidR="008576F8" w:rsidRDefault="008576F8" w:rsidP="00535949">
      <w:pPr>
        <w:rPr>
          <w:color w:val="212121"/>
        </w:rPr>
      </w:pPr>
    </w:p>
    <w:p w14:paraId="277D0A6E" w14:textId="77777777" w:rsidR="008576F8" w:rsidRPr="008A2CD7" w:rsidRDefault="008576F8" w:rsidP="00535949">
      <w:pPr>
        <w:rPr>
          <w:b/>
          <w:i/>
          <w:color w:val="0070C0"/>
          <w:szCs w:val="24"/>
        </w:rPr>
      </w:pPr>
      <w:r w:rsidRPr="008A2CD7">
        <w:rPr>
          <w:b/>
          <w:i/>
          <w:color w:val="0070C0"/>
          <w:szCs w:val="24"/>
        </w:rPr>
        <w:t>HMS-avvik</w:t>
      </w:r>
    </w:p>
    <w:p w14:paraId="0305EC57" w14:textId="77777777" w:rsidR="008576F8" w:rsidRDefault="008576F8" w:rsidP="00535949">
      <w:r w:rsidRPr="005D7BFB">
        <w:t xml:space="preserve">Det ble i 1. </w:t>
      </w:r>
      <w:r>
        <w:t>tertial</w:t>
      </w:r>
      <w:r w:rsidRPr="005D7BFB">
        <w:t xml:space="preserve"> 2018 meldt 401 HMS-avvik, hvorav 254 er lukket.</w:t>
      </w:r>
      <w:r>
        <w:t xml:space="preserve"> Til sammenligning ble det meldt inn 274 avvik i 1. tertial 2017.</w:t>
      </w:r>
    </w:p>
    <w:p w14:paraId="154878EF" w14:textId="77777777" w:rsidR="008576F8" w:rsidRDefault="008576F8" w:rsidP="00535949"/>
    <w:p w14:paraId="18542C91" w14:textId="77777777" w:rsidR="008576F8" w:rsidRPr="00C447B1" w:rsidRDefault="008576F8" w:rsidP="00535949">
      <w:r w:rsidRPr="00C447B1">
        <w:t>2 avvik er kategorisert som svært alvorlig/kritisk:</w:t>
      </w:r>
    </w:p>
    <w:p w14:paraId="703E6295" w14:textId="77777777" w:rsidR="008576F8" w:rsidRDefault="008576F8" w:rsidP="00535949">
      <w:pPr>
        <w:pStyle w:val="ListParagraph"/>
        <w:numPr>
          <w:ilvl w:val="0"/>
          <w:numId w:val="17"/>
        </w:numPr>
        <w:spacing w:line="259" w:lineRule="auto"/>
      </w:pPr>
      <w:r>
        <w:t xml:space="preserve">Melding om mulig straffbart forhold, der to ansatte var involvert. Hendelsen har skjedd utenfor campus, og er meldt til politiet. </w:t>
      </w:r>
    </w:p>
    <w:p w14:paraId="2458D8E7" w14:textId="77777777" w:rsidR="008576F8" w:rsidRDefault="008576F8" w:rsidP="00535949">
      <w:pPr>
        <w:pStyle w:val="ListParagraph"/>
        <w:numPr>
          <w:ilvl w:val="0"/>
          <w:numId w:val="17"/>
        </w:numPr>
        <w:spacing w:line="259" w:lineRule="auto"/>
      </w:pPr>
      <w:r>
        <w:t>Ansatt ble innestengt på laboratorium i forbindelse med strømutkobling.</w:t>
      </w:r>
    </w:p>
    <w:p w14:paraId="7F85E99C" w14:textId="77777777" w:rsidR="008576F8" w:rsidRDefault="008576F8" w:rsidP="00535949">
      <w:pPr>
        <w:rPr>
          <w:b/>
        </w:rPr>
      </w:pPr>
    </w:p>
    <w:p w14:paraId="4F6001C1" w14:textId="77777777" w:rsidR="008576F8" w:rsidRPr="00C447B1" w:rsidRDefault="008576F8" w:rsidP="00535949">
      <w:r w:rsidRPr="00C447B1">
        <w:t xml:space="preserve">74 avvik er kategorisert som alvorlig: </w:t>
      </w:r>
    </w:p>
    <w:p w14:paraId="31301B29" w14:textId="4454559B" w:rsidR="008576F8" w:rsidRDefault="008576F8" w:rsidP="00535949">
      <w:pPr>
        <w:pStyle w:val="ListParagraph"/>
        <w:numPr>
          <w:ilvl w:val="0"/>
          <w:numId w:val="18"/>
        </w:numPr>
        <w:spacing w:line="259" w:lineRule="auto"/>
      </w:pPr>
      <w:r>
        <w:t>Mange av avvikene er knyttet til bruk og håndtering av kjemikalier og gasser.</w:t>
      </w:r>
    </w:p>
    <w:p w14:paraId="1D8EC9C4" w14:textId="77777777" w:rsidR="008576F8" w:rsidRDefault="008576F8" w:rsidP="00535949"/>
    <w:p w14:paraId="09DF1DD4" w14:textId="36C33CDA" w:rsidR="008576F8" w:rsidRDefault="007859FE" w:rsidP="00535949">
      <w:r w:rsidRPr="007859FE">
        <w:rPr>
          <w:noProof/>
        </w:rPr>
        <w:drawing>
          <wp:anchor distT="0" distB="0" distL="114300" distR="114300" simplePos="0" relativeHeight="251658240" behindDoc="0" locked="0" layoutInCell="1" allowOverlap="1" wp14:anchorId="6668F2FF" wp14:editId="08C79B92">
            <wp:simplePos x="0" y="0"/>
            <wp:positionH relativeFrom="column">
              <wp:posOffset>1699260</wp:posOffset>
            </wp:positionH>
            <wp:positionV relativeFrom="paragraph">
              <wp:posOffset>14605</wp:posOffset>
            </wp:positionV>
            <wp:extent cx="4558665" cy="2146935"/>
            <wp:effectExtent l="0" t="0" r="0" b="571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8665" cy="2146935"/>
                    </a:xfrm>
                    <a:prstGeom prst="rect">
                      <a:avLst/>
                    </a:prstGeom>
                    <a:noFill/>
                    <a:ln>
                      <a:noFill/>
                    </a:ln>
                  </pic:spPr>
                </pic:pic>
              </a:graphicData>
            </a:graphic>
          </wp:anchor>
        </w:drawing>
      </w:r>
      <w:r w:rsidR="008576F8">
        <w:t>Figurene viser ytterligere detaljer i avvikene fordelt per fakultet og på kategori</w:t>
      </w:r>
      <w:r>
        <w:t>.</w:t>
      </w:r>
    </w:p>
    <w:p w14:paraId="4F87F547" w14:textId="77EED250" w:rsidR="008576F8" w:rsidRPr="005D7BFB" w:rsidRDefault="008576F8" w:rsidP="00535949"/>
    <w:p w14:paraId="32B2DDB8" w14:textId="12502100" w:rsidR="008576F8" w:rsidRDefault="007859FE" w:rsidP="00535949">
      <w:r w:rsidRPr="007859FE">
        <w:rPr>
          <w:noProof/>
        </w:rPr>
        <w:drawing>
          <wp:anchor distT="0" distB="0" distL="114300" distR="114300" simplePos="0" relativeHeight="251659264" behindDoc="1" locked="0" layoutInCell="1" allowOverlap="1" wp14:anchorId="16E3B317" wp14:editId="54478802">
            <wp:simplePos x="0" y="0"/>
            <wp:positionH relativeFrom="column">
              <wp:posOffset>1699895</wp:posOffset>
            </wp:positionH>
            <wp:positionV relativeFrom="paragraph">
              <wp:posOffset>1398905</wp:posOffset>
            </wp:positionV>
            <wp:extent cx="4557395" cy="2139950"/>
            <wp:effectExtent l="0" t="0" r="0" b="0"/>
            <wp:wrapTight wrapText="bothSides">
              <wp:wrapPolygon edited="0">
                <wp:start x="0" y="0"/>
                <wp:lineTo x="0" y="21344"/>
                <wp:lineTo x="21489" y="21344"/>
                <wp:lineTo x="21489"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7395"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6F8">
        <w:t xml:space="preserve">Det meldes flere avvik relatert til anleggsarbeid på Gløshaugen (Metrobussprosjektet). I tillegg til problemer med framkommelighet, har spesielt vibrasjoner i forbindelse med komprimering av masser vært et stort problem den siste tiden. </w:t>
      </w:r>
      <w:r>
        <w:t>B</w:t>
      </w:r>
      <w:r w:rsidR="008576F8">
        <w:t xml:space="preserve">lokkerte rømningsveier er fortsatt en utfordring. Det pekes på at Statsbygg opplever samarbeidet med NTNU om brannvern i leide bygg som uavklart. Flere meldinger går på arbeid utført av eksterne i NTNUs arealer. En gjenganger er at alarmer utløses som følge av at det settes i gang arbeid som støver eller genererer røyk, uten at detektorer er deaktivert. Det er et økende antall meldinger om at renholdet ikke </w:t>
      </w:r>
      <w:r w:rsidR="00101C6E">
        <w:t>oppleves som</w:t>
      </w:r>
      <w:r w:rsidR="008576F8">
        <w:t xml:space="preserve"> tilstrekkelig. </w:t>
      </w:r>
    </w:p>
    <w:p w14:paraId="67B79751" w14:textId="023A25B9" w:rsidR="00101C6E" w:rsidRPr="00101C6E" w:rsidRDefault="00101C6E" w:rsidP="00535949"/>
    <w:p w14:paraId="0BC5D572" w14:textId="0A05BCE2" w:rsidR="00101C6E" w:rsidRPr="00101C6E" w:rsidRDefault="00101C6E" w:rsidP="00535949">
      <w:r w:rsidRPr="00101C6E">
        <w:t>Enhetene arbeider systematisk med oppfølging av avvik. Kultur for melding av avvik kan fortsatt forbedres.</w:t>
      </w:r>
    </w:p>
    <w:p w14:paraId="12F0A9D9" w14:textId="755F7FD4" w:rsidR="00C4462F" w:rsidRDefault="00C4462F" w:rsidP="00535949">
      <w:pPr>
        <w:pStyle w:val="ListParagraph"/>
        <w:spacing w:line="259" w:lineRule="auto"/>
        <w:ind w:left="360"/>
        <w:rPr>
          <w:b/>
        </w:rPr>
      </w:pPr>
    </w:p>
    <w:p w14:paraId="729F417F" w14:textId="77777777" w:rsidR="007859FE" w:rsidRPr="00B26F72" w:rsidRDefault="007859FE" w:rsidP="00535949">
      <w:pPr>
        <w:rPr>
          <w:szCs w:val="22"/>
        </w:rPr>
      </w:pPr>
    </w:p>
    <w:p w14:paraId="4777E71D" w14:textId="58B7AAE9" w:rsidR="007859FE" w:rsidRPr="007859FE" w:rsidRDefault="007859FE" w:rsidP="00535949">
      <w:pPr>
        <w:rPr>
          <w:b/>
          <w:i/>
          <w:color w:val="0070C0"/>
          <w:szCs w:val="24"/>
        </w:rPr>
      </w:pPr>
      <w:r w:rsidRPr="007859FE">
        <w:rPr>
          <w:b/>
          <w:i/>
          <w:color w:val="0070C0"/>
          <w:szCs w:val="24"/>
        </w:rPr>
        <w:t>Årets søkertall</w:t>
      </w:r>
    </w:p>
    <w:p w14:paraId="5DEA125C" w14:textId="77777777" w:rsidR="007859FE" w:rsidRPr="00EA7DB8" w:rsidRDefault="007859FE" w:rsidP="00535949">
      <w:pPr>
        <w:rPr>
          <w:color w:val="000000" w:themeColor="text1"/>
          <w:szCs w:val="24"/>
        </w:rPr>
      </w:pPr>
      <w:r w:rsidRPr="00EA7DB8">
        <w:rPr>
          <w:color w:val="000000" w:themeColor="text1"/>
        </w:rPr>
        <w:t>Søkertallene til NTNU i 2018 var svært gode. He</w:t>
      </w:r>
      <w:r w:rsidRPr="00EA7DB8">
        <w:rPr>
          <w:color w:val="000000" w:themeColor="text1"/>
          <w:szCs w:val="24"/>
        </w:rPr>
        <w:t xml:space="preserve">le 24 638 søkere har NTNU som førstevalg og dette er en økning på 7,2 prosent sammenlignet med i fjor. Over 53 000 av landets 142 000 søkere har minst ett studium ved NTNU blant sine valg. NTNU har 15,9 prosent av studieplassene og nær 17,4 prosent av søkerne. Flere fakultet har gjennomført ekstra rekrutteringstiltak i forbindelse med årets opptak, og jobber aktivt og godt med sosiale medier, nettsider og produksjon av rekrutteringsvideoer. </w:t>
      </w:r>
    </w:p>
    <w:p w14:paraId="77CF308E" w14:textId="77777777" w:rsidR="007859FE" w:rsidRPr="00EA7DB8" w:rsidRDefault="007859FE" w:rsidP="00535949">
      <w:pPr>
        <w:rPr>
          <w:color w:val="000000" w:themeColor="text1"/>
          <w:szCs w:val="24"/>
        </w:rPr>
      </w:pPr>
    </w:p>
    <w:p w14:paraId="6286AF52" w14:textId="77777777" w:rsidR="007859FE" w:rsidRPr="00EA7DB8" w:rsidRDefault="007859FE" w:rsidP="00535949">
      <w:pPr>
        <w:rPr>
          <w:color w:val="000000" w:themeColor="text1"/>
          <w:szCs w:val="24"/>
        </w:rPr>
      </w:pPr>
      <w:r w:rsidRPr="00EA7DB8">
        <w:rPr>
          <w:color w:val="000000" w:themeColor="text1"/>
          <w:szCs w:val="24"/>
        </w:rPr>
        <w:t>Gjøvik og Ålesund har en økning i antallet primærsøkere på 12,3 og 11,6 prosent, i Trondheim er økningen 6,1 prosent. (Landsgjennomsnittet viser en økning på drøyt 4,7 prosent.)</w:t>
      </w:r>
    </w:p>
    <w:p w14:paraId="6400C0D1" w14:textId="77777777" w:rsidR="007859FE" w:rsidRDefault="007859FE" w:rsidP="00535949">
      <w:pPr>
        <w:rPr>
          <w:color w:val="000000" w:themeColor="text1"/>
          <w:szCs w:val="24"/>
        </w:rPr>
      </w:pPr>
      <w:r w:rsidRPr="00EA7DB8">
        <w:rPr>
          <w:color w:val="000000" w:themeColor="text1"/>
          <w:szCs w:val="24"/>
        </w:rPr>
        <w:t>Lærerutdanningene fikk en økning i søkertallet på 17 prosent sammenlignet med i fjor. Spesielt gledelig er økningen for lærerutdanningen for 1-7 trinn. Der har vi nå to primærsøkere per studieplass mens vi tidligere har hatt problemer med å fylle plassene.</w:t>
      </w:r>
    </w:p>
    <w:p w14:paraId="0BF1FE93" w14:textId="77777777" w:rsidR="007859FE" w:rsidRPr="00EA7DB8" w:rsidRDefault="007859FE" w:rsidP="00535949">
      <w:pPr>
        <w:rPr>
          <w:color w:val="000000" w:themeColor="text1"/>
          <w:szCs w:val="24"/>
        </w:rPr>
      </w:pPr>
    </w:p>
    <w:p w14:paraId="5DC00F6A" w14:textId="61E1F568" w:rsidR="007859FE" w:rsidRDefault="007859FE" w:rsidP="00535949">
      <w:pPr>
        <w:rPr>
          <w:color w:val="000000" w:themeColor="text1"/>
          <w:szCs w:val="24"/>
        </w:rPr>
      </w:pPr>
      <w:r w:rsidRPr="00EA7DB8">
        <w:rPr>
          <w:color w:val="000000" w:themeColor="text1"/>
          <w:szCs w:val="24"/>
        </w:rPr>
        <w:t>Teknologiutdanningene ved NTNU fikk samlet en økning på 6 prosent. Den nasjonale økningen er her på 3,7 prosent. Regjeringen har satset tungt på å øke den nasjonale kompetansen på IKT og digitalisering, og noen av de mest attraktive studiene ved NTNU finner du innenfor slike fag. Det gjelder blant annet femårige løp i datateknologi, elektronisk systemdesign og kybernetikk og robotikk. Informasjonsteknologi har en økning på over 25 prosent i antall primærsøkere.</w:t>
      </w:r>
    </w:p>
    <w:p w14:paraId="349092ED" w14:textId="786F0DD0" w:rsidR="00A213D3" w:rsidRDefault="00A213D3" w:rsidP="00535949">
      <w:pPr>
        <w:rPr>
          <w:color w:val="000000" w:themeColor="text1"/>
          <w:szCs w:val="24"/>
        </w:rPr>
      </w:pPr>
    </w:p>
    <w:p w14:paraId="0724D061" w14:textId="380F5F75" w:rsidR="00A213D3" w:rsidRPr="00535949" w:rsidRDefault="00A213D3" w:rsidP="00535949">
      <w:pPr>
        <w:rPr>
          <w:color w:val="000000" w:themeColor="text1"/>
          <w:szCs w:val="24"/>
        </w:rPr>
      </w:pPr>
      <w:r w:rsidRPr="00535949">
        <w:rPr>
          <w:color w:val="000000" w:themeColor="text1"/>
          <w:szCs w:val="24"/>
        </w:rPr>
        <w:t xml:space="preserve">Tabellen under gir en fullstendig oversikt fra Samordnet opptak over utvikling i antall førsteprioritetssøkere for hvert av utdanningsområdene ved NTNU. Samordnet opptak omfatter opptak til bachelorprogram, årsstudier, 5-årige integrerte masterprogram og profesjonsstudier. </w:t>
      </w:r>
    </w:p>
    <w:p w14:paraId="70E4CF54" w14:textId="15E1AA4A" w:rsidR="007859FE" w:rsidRPr="00535949" w:rsidRDefault="007859FE" w:rsidP="00535949">
      <w:pPr>
        <w:rPr>
          <w:color w:val="000000" w:themeColor="text1"/>
          <w:szCs w:val="24"/>
        </w:rPr>
      </w:pPr>
    </w:p>
    <w:p w14:paraId="0D4E9760" w14:textId="6F0E7780" w:rsidR="00A213D3" w:rsidRPr="00535949" w:rsidRDefault="00A213D3" w:rsidP="00535949">
      <w:pPr>
        <w:rPr>
          <w:color w:val="000000" w:themeColor="text1"/>
          <w:szCs w:val="24"/>
        </w:rPr>
      </w:pPr>
      <w:r w:rsidRPr="00535949">
        <w:rPr>
          <w:noProof/>
        </w:rPr>
        <w:drawing>
          <wp:inline distT="0" distB="0" distL="0" distR="0" wp14:anchorId="3D477F18" wp14:editId="22E7B0C2">
            <wp:extent cx="5806440" cy="261747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8117" b="5350"/>
                    <a:stretch/>
                  </pic:blipFill>
                  <pic:spPr bwMode="auto">
                    <a:xfrm>
                      <a:off x="0" y="0"/>
                      <a:ext cx="5806606" cy="2617545"/>
                    </a:xfrm>
                    <a:prstGeom prst="rect">
                      <a:avLst/>
                    </a:prstGeom>
                    <a:noFill/>
                    <a:ln>
                      <a:noFill/>
                    </a:ln>
                    <a:extLst>
                      <a:ext uri="{53640926-AAD7-44D8-BBD7-CCE9431645EC}">
                        <a14:shadowObscured xmlns:a14="http://schemas.microsoft.com/office/drawing/2010/main"/>
                      </a:ext>
                    </a:extLst>
                  </pic:spPr>
                </pic:pic>
              </a:graphicData>
            </a:graphic>
          </wp:inline>
        </w:drawing>
      </w:r>
    </w:p>
    <w:p w14:paraId="22354DC2" w14:textId="77777777" w:rsidR="00A213D3" w:rsidRPr="00535949" w:rsidRDefault="00A213D3" w:rsidP="00535949">
      <w:pPr>
        <w:rPr>
          <w:color w:val="000000" w:themeColor="text1"/>
          <w:szCs w:val="24"/>
        </w:rPr>
      </w:pPr>
    </w:p>
    <w:p w14:paraId="66FBEB3E" w14:textId="77777777" w:rsidR="00A213D3" w:rsidRDefault="00A213D3" w:rsidP="00535949">
      <w:pPr>
        <w:rPr>
          <w:color w:val="000000" w:themeColor="text1"/>
          <w:szCs w:val="24"/>
        </w:rPr>
      </w:pPr>
      <w:r w:rsidRPr="00535949">
        <w:rPr>
          <w:color w:val="000000" w:themeColor="text1"/>
          <w:szCs w:val="24"/>
        </w:rPr>
        <w:t>Utviklingen er jevnt over positiv fra 2017 til 2018 for alle utdanningsområdene, med unntak av pedfag (pedagogiske fag) og språk (språk, litteratur). Pedagogiske fag hadde en økning i søkertallene i perioden 2014-2016, så vi vil følge utviklingen framover for å se om dette er starten på en nedadgående trend. Etter et løft i fjor, har søkningen gått ned til språkfagene. Rekruttering til språkfagene er utfordrende, det er en nasjonal trend vi har sett over flere år. Går vi litt ned i tallene ser vi at fra 2017 til 2018 var det en nedgang i søkertallene til engelsk, fransk og spansk mens tegnspråk, tysk og latin hadde en liten økning.</w:t>
      </w:r>
      <w:r>
        <w:rPr>
          <w:color w:val="000000" w:themeColor="text1"/>
          <w:szCs w:val="24"/>
        </w:rPr>
        <w:t xml:space="preserve"> </w:t>
      </w:r>
    </w:p>
    <w:p w14:paraId="219EAF32" w14:textId="77777777" w:rsidR="00A213D3" w:rsidRDefault="00A213D3" w:rsidP="00535949">
      <w:pPr>
        <w:rPr>
          <w:color w:val="000000" w:themeColor="text1"/>
          <w:szCs w:val="24"/>
        </w:rPr>
      </w:pPr>
    </w:p>
    <w:p w14:paraId="52263338" w14:textId="53D21A08" w:rsidR="00A213D3" w:rsidRDefault="00A213D3" w:rsidP="00535949">
      <w:pPr>
        <w:rPr>
          <w:color w:val="000000" w:themeColor="text1"/>
          <w:szCs w:val="24"/>
        </w:rPr>
      </w:pPr>
      <w:r w:rsidRPr="00EA7DB8">
        <w:rPr>
          <w:color w:val="000000" w:themeColor="text1"/>
          <w:szCs w:val="24"/>
        </w:rPr>
        <w:t>Kjønnsfordelingen totalt sett ved NTNU har vært stabil rundt 50/50 de siste årene, og i 2018 er 50,6 prosent av søkerne kvinner. Det er store variasjoner i kjønnsfordelingen mellom ulike studier, så vi vil fortsatt ha fokus på arbeid med å jevne ut skjevheter. </w:t>
      </w:r>
    </w:p>
    <w:p w14:paraId="3E3D92D4" w14:textId="0E83A97E" w:rsidR="00D21EB5" w:rsidRDefault="00D21EB5" w:rsidP="00535949">
      <w:pPr>
        <w:rPr>
          <w:color w:val="000000" w:themeColor="text1"/>
          <w:szCs w:val="24"/>
        </w:rPr>
      </w:pPr>
    </w:p>
    <w:p w14:paraId="5AEB6C0D" w14:textId="5AFCA9D4" w:rsidR="007859FE" w:rsidRDefault="00380816" w:rsidP="00535949">
      <w:pPr>
        <w:rPr>
          <w:color w:val="000000" w:themeColor="text1"/>
        </w:rPr>
      </w:pPr>
      <w:r w:rsidRPr="00535949">
        <w:rPr>
          <w:color w:val="000000" w:themeColor="text1"/>
        </w:rPr>
        <w:t>For øvrig trenger vi noe mer tid for å analysere utviklingen i et lenger perspektiv og vurdere årsaker til utviklingstrekkene.</w:t>
      </w:r>
    </w:p>
    <w:p w14:paraId="2A0C111E" w14:textId="77777777" w:rsidR="00C356F8" w:rsidRDefault="00C356F8" w:rsidP="00535949">
      <w:pPr>
        <w:rPr>
          <w:color w:val="000000" w:themeColor="text1"/>
        </w:rPr>
      </w:pPr>
    </w:p>
    <w:p w14:paraId="6BB3DFD7" w14:textId="2063F2AE" w:rsidR="00380816" w:rsidRDefault="00380816" w:rsidP="00535949">
      <w:pPr>
        <w:rPr>
          <w:color w:val="000000" w:themeColor="text1"/>
        </w:rPr>
      </w:pPr>
    </w:p>
    <w:p w14:paraId="149D23D7" w14:textId="77777777" w:rsidR="007859FE" w:rsidRPr="007859FE" w:rsidRDefault="007859FE" w:rsidP="00535949">
      <w:pPr>
        <w:rPr>
          <w:b/>
          <w:i/>
          <w:color w:val="0070C0"/>
          <w:szCs w:val="24"/>
        </w:rPr>
      </w:pPr>
      <w:r w:rsidRPr="007859FE">
        <w:rPr>
          <w:b/>
          <w:i/>
          <w:color w:val="0070C0"/>
          <w:szCs w:val="24"/>
        </w:rPr>
        <w:t xml:space="preserve">Publisering 2017 </w:t>
      </w:r>
    </w:p>
    <w:p w14:paraId="6B749EE8" w14:textId="77777777" w:rsidR="007859FE" w:rsidRDefault="007859FE" w:rsidP="00535949">
      <w:r>
        <w:t>Vitenskapelig publisering økte i omfang fra 2016 til 2017, både antall publikasjoner (7,9 %), forfatterandeler (4,6 %) og publiseringspoeng (2,7 %). NTNU sto for 26 % av universitetenes poengproduksjon i 2017, og det er det grunn til å være fornøyd med. Vi er også tilfreds med at andelen av publikasjoner med internasjonalt samarbeid økte med 2 prosentpoeng til 47 %, selv om det bare er</w:t>
      </w:r>
      <w:r w:rsidRPr="00F75B5C">
        <w:t xml:space="preserve"> </w:t>
      </w:r>
      <w:r>
        <w:t>en marginal økning fra 2016 målt i publikasjonspoeng. I 2017 var 22,3 % av NTNUs publikasjoner blant de 10 % mest siterte i verden, mot 15,5 % i 2016, justert for fagfelt.</w:t>
      </w:r>
    </w:p>
    <w:p w14:paraId="74012623" w14:textId="77777777" w:rsidR="007859FE" w:rsidRDefault="007859FE" w:rsidP="00535949"/>
    <w:p w14:paraId="6B20F04B" w14:textId="0AA04518" w:rsidR="007859FE" w:rsidRDefault="007859FE" w:rsidP="00535949">
      <w:r>
        <w:t>Selv om dette er et positivt bilde, er det også indikatorer som går i en annen retning og som vi må ha oppmerksomhet på fremover. Økningen i vitenskapelig publisering er klart størst på nivå 1, og andelen forfatterandeler på nivå 2 har faktisk gått ned med 1,1 prosentpoeng fra 2016. Det er store forskjeller fakultetene imellom, men samlet sett har NTNU i 2017 for første gang under 20 % av sin vitenskapelige produksjon på nivå 2, målt i forfatterandeler. Den gjennomsnittlige produktiviteten målt som publiseringspoeng per faglig stilling har også gått marginalt ned, og den negative produktivitetsutviklingen har vart over flere år. På denne indikatoren ligger NTNU nå omtrent på snittet for sektoren</w:t>
      </w:r>
      <w:r w:rsidRPr="00494F1D">
        <w:t xml:space="preserve"> </w:t>
      </w:r>
      <w:r>
        <w:t>og klart bak UiO og UiB. Endret profil som følge av fusjonen gir delvis forklaring, og veksten i rekrutteringsstillinger bidrar også forklare noe</w:t>
      </w:r>
      <w:r w:rsidRPr="00A213D3">
        <w:t>. Vi vil analysere situasjonen nærmere og vurdere behov for tiltak</w:t>
      </w:r>
      <w:r w:rsidR="001B78AC" w:rsidRPr="00A213D3">
        <w:t>.</w:t>
      </w:r>
      <w:r w:rsidR="00E32E72" w:rsidRPr="00A213D3">
        <w:t xml:space="preserve"> </w:t>
      </w:r>
    </w:p>
    <w:p w14:paraId="69AF5685" w14:textId="48C6B89E" w:rsidR="007859FE" w:rsidRDefault="007859FE" w:rsidP="00535949"/>
    <w:p w14:paraId="0AA567B5" w14:textId="77777777" w:rsidR="007859FE" w:rsidRDefault="007859FE" w:rsidP="00535949"/>
    <w:p w14:paraId="06970E1A" w14:textId="77777777" w:rsidR="007859FE" w:rsidRDefault="007859FE" w:rsidP="00535949"/>
    <w:p w14:paraId="54110B8D" w14:textId="77777777" w:rsidR="006C03FB" w:rsidRPr="00866F49" w:rsidRDefault="006C03FB" w:rsidP="00535949">
      <w:pPr>
        <w:pStyle w:val="ListParagraph"/>
        <w:numPr>
          <w:ilvl w:val="0"/>
          <w:numId w:val="14"/>
        </w:numPr>
        <w:rPr>
          <w:b/>
          <w:sz w:val="28"/>
          <w:szCs w:val="24"/>
        </w:rPr>
      </w:pPr>
      <w:r w:rsidRPr="00866F49">
        <w:rPr>
          <w:b/>
          <w:sz w:val="28"/>
          <w:szCs w:val="24"/>
        </w:rPr>
        <w:t>Status økonomi og prognose ved 1. tertial – bevilgningsøkonomien</w:t>
      </w:r>
    </w:p>
    <w:p w14:paraId="2CF4FFFC" w14:textId="77777777" w:rsidR="006C03FB" w:rsidRDefault="006C03FB" w:rsidP="00535949"/>
    <w:p w14:paraId="4E0D1F44" w14:textId="076188CD" w:rsidR="00A44EF9" w:rsidRDefault="00A44EF9" w:rsidP="00535949">
      <w:r>
        <w:t xml:space="preserve">NTNU har i budsjettet for 2018 lagt opp til et resultatmessig underskudd på 310 mill.kr (nedbygging av ubrukte bevilgninger). Allerede ved inngangen til året så vi </w:t>
      </w:r>
      <w:r w:rsidR="00363AD2">
        <w:t xml:space="preserve">flere </w:t>
      </w:r>
      <w:r>
        <w:t>risikofaktorer som kunne tilsi at dette ville være et ambisiøst aktivitetsnivå å få gjennomført i år. Pr utgangen av 1.tertia</w:t>
      </w:r>
      <w:r w:rsidR="00C71E42">
        <w:t xml:space="preserve">l viser regnskapet et mindreforbruk mot budsjett på 130 mill.kr. Dette forklares delvis av </w:t>
      </w:r>
      <w:r w:rsidR="00921E94">
        <w:t xml:space="preserve">forsinket og utsatt aktivitet </w:t>
      </w:r>
      <w:r w:rsidR="00E31608">
        <w:t xml:space="preserve">knyttet til </w:t>
      </w:r>
      <w:r w:rsidR="009A6C48">
        <w:t xml:space="preserve">bl.a </w:t>
      </w:r>
      <w:r w:rsidR="00921E94">
        <w:t>ansettelser og investeringer</w:t>
      </w:r>
      <w:r w:rsidR="00E31608">
        <w:t>, men også at inntektsnivået</w:t>
      </w:r>
      <w:r w:rsidR="00C71E42">
        <w:t xml:space="preserve"> har blitt høyere enn forventet</w:t>
      </w:r>
      <w:r w:rsidR="006F1A8E">
        <w:t>, både i form av større</w:t>
      </w:r>
      <w:r w:rsidR="00E31608">
        <w:t xml:space="preserve"> bevilgninger enn antatt og mer inntekter</w:t>
      </w:r>
      <w:r w:rsidR="006F1A8E">
        <w:t xml:space="preserve"> fra</w:t>
      </w:r>
      <w:r w:rsidR="00E31608">
        <w:t xml:space="preserve"> BOA-virksomheten.</w:t>
      </w:r>
      <w:r w:rsidR="00C71E42">
        <w:t xml:space="preserve"> Deler av budsjettavviket så langt skyldes også periodiseringseffekter i budsjett og/eller regnskap som vil utlignes i løpet av </w:t>
      </w:r>
      <w:r w:rsidR="00CC0001">
        <w:t>årets totale budsjett.</w:t>
      </w:r>
      <w:r w:rsidR="00C71E42">
        <w:t xml:space="preserve"> </w:t>
      </w:r>
    </w:p>
    <w:p w14:paraId="687560CC" w14:textId="77777777" w:rsidR="00235D95" w:rsidRDefault="00235D95" w:rsidP="00535949"/>
    <w:p w14:paraId="7A0F5DEE" w14:textId="77777777" w:rsidR="00235D95" w:rsidRDefault="00235D95" w:rsidP="00535949">
      <w:r>
        <w:t>Vi har identifisert 4 områder som det er knyttet usikkerhet til og som vil påvirke vår evne til å gjennomføre budsjettet for 2018:</w:t>
      </w:r>
    </w:p>
    <w:p w14:paraId="3A935BE9" w14:textId="77777777" w:rsidR="00363AD2" w:rsidRDefault="00363AD2" w:rsidP="00535949"/>
    <w:p w14:paraId="4239DB93" w14:textId="77777777" w:rsidR="00A705F3" w:rsidRDefault="00363AD2" w:rsidP="00535949">
      <w:r>
        <w:t>Et av områdene som ble pekt på som en risi</w:t>
      </w:r>
      <w:r w:rsidR="00A00112">
        <w:t>ko allerede ved starten av året</w:t>
      </w:r>
      <w:r>
        <w:t xml:space="preserve"> var </w:t>
      </w:r>
      <w:r w:rsidR="007808CC">
        <w:t xml:space="preserve">innkjøpskapasitet knyttet til større investeringer. Det er i budsjettet lagt opp til et høyt nivå av investeringer som krever særlig kompetanse på innkjøp, og kapasiteten hos den sentrale innkjøpsgruppa er derfor en kritisk faktor for å få gjennomført alle planlagte investeringer i år. I tillegg til økt omfang av store investeringer har bemanningssituasjonen i innkjøpsgruppa vært krevende i år, da flere erfarne personer </w:t>
      </w:r>
      <w:r w:rsidR="003D4ECE">
        <w:t xml:space="preserve">nylig </w:t>
      </w:r>
      <w:r w:rsidR="007808CC">
        <w:t>har sluttet og flere har sagt opp i løpet av vinteren. Det jobbes hardt med å få på plass nok kapasitet</w:t>
      </w:r>
      <w:r w:rsidR="003D4ECE">
        <w:t xml:space="preserve"> her</w:t>
      </w:r>
      <w:r w:rsidR="007808CC">
        <w:t xml:space="preserve">, men det er fortsatt en risiko i forhold til om alle </w:t>
      </w:r>
      <w:r w:rsidR="003D4ECE">
        <w:t xml:space="preserve">større </w:t>
      </w:r>
      <w:r w:rsidR="007808CC">
        <w:t xml:space="preserve">planlagte </w:t>
      </w:r>
      <w:r w:rsidR="003D4ECE">
        <w:t>investeringer</w:t>
      </w:r>
      <w:r w:rsidR="007808CC">
        <w:t xml:space="preserve"> vil bli </w:t>
      </w:r>
      <w:r w:rsidR="003D4ECE">
        <w:t>levert</w:t>
      </w:r>
      <w:r w:rsidR="007808CC">
        <w:t xml:space="preserve"> i år. Mye av disse</w:t>
      </w:r>
      <w:r w:rsidR="003D4ECE">
        <w:t xml:space="preserve"> </w:t>
      </w:r>
      <w:r w:rsidR="007808CC">
        <w:t>innkjøpene er budsjettert i siste tertial</w:t>
      </w:r>
      <w:r w:rsidR="00A00112">
        <w:t xml:space="preserve">. </w:t>
      </w:r>
    </w:p>
    <w:p w14:paraId="40A97FC0" w14:textId="77777777" w:rsidR="00A705F3" w:rsidRDefault="00A705F3" w:rsidP="00535949"/>
    <w:p w14:paraId="4196D16D" w14:textId="5E8714D8" w:rsidR="00A705F3" w:rsidRDefault="00A705F3" w:rsidP="00535949">
      <w:r>
        <w:t xml:space="preserve">En annen tidligere påpekt risiko </w:t>
      </w:r>
      <w:r w:rsidR="00CC0001">
        <w:t xml:space="preserve">i årets budsjett som vi nå </w:t>
      </w:r>
      <w:r>
        <w:t xml:space="preserve">ser gjør seg gjeldende, er kapasitet på HR i forhold til ansettelser. Det er for 2018 </w:t>
      </w:r>
      <w:r w:rsidR="00CC0001">
        <w:t xml:space="preserve">tildelt, og planlagt oppstart på, </w:t>
      </w:r>
      <w:r w:rsidR="00E27EF1">
        <w:t>vesentlig</w:t>
      </w:r>
      <w:r>
        <w:t xml:space="preserve"> flere rekrutteringsstillinger enn de foregående år, samt at enkelte </w:t>
      </w:r>
      <w:r w:rsidR="00CC0001">
        <w:t xml:space="preserve">enheter </w:t>
      </w:r>
      <w:r>
        <w:t>er i stor vekst og planlegger mange nye faste ansettelser i løpet av året. (</w:t>
      </w:r>
      <w:r w:rsidR="00985984">
        <w:t>D</w:t>
      </w:r>
      <w:r>
        <w:t>ette gjelder særlig Institutt for lærerutdanning og enkelte fagmiljø på IE-fakultetet</w:t>
      </w:r>
      <w:r w:rsidR="00985984">
        <w:t>.</w:t>
      </w:r>
      <w:r>
        <w:t xml:space="preserve">) Noen måneders forsinkelse på mange stillinger vil samlet sett gi et stort mindreforbruk mot budsjett i år. Vi ser allerede </w:t>
      </w:r>
      <w:r w:rsidR="00E27EF1">
        <w:t xml:space="preserve">etter 1.tertial </w:t>
      </w:r>
      <w:r>
        <w:t xml:space="preserve">noe </w:t>
      </w:r>
      <w:r w:rsidR="0092651C">
        <w:t>mindreforbruk mot budsjett</w:t>
      </w:r>
      <w:r>
        <w:t xml:space="preserve"> som følge av forsinkelser på ansettelser, men </w:t>
      </w:r>
      <w:r w:rsidR="00985984">
        <w:t>mange</w:t>
      </w:r>
      <w:r>
        <w:t xml:space="preserve"> ansettelser er planlagt med opps</w:t>
      </w:r>
      <w:r w:rsidR="00CC0001">
        <w:t xml:space="preserve">tart i høst. </w:t>
      </w:r>
      <w:r w:rsidR="00E27EF1">
        <w:t xml:space="preserve">Det gjøres løpende vurderinger ift forventninger om oppstartstidspunkt på nye ansettelser sammenstilt med forventet oppstart i budsjettene, og årsprognosen pr utgangen av 1.tertial er justert for forsinkelser vi allerede nå forventer vil komme. </w:t>
      </w:r>
    </w:p>
    <w:p w14:paraId="51ED12EC" w14:textId="77777777" w:rsidR="00A705F3" w:rsidRDefault="00A705F3" w:rsidP="00535949"/>
    <w:p w14:paraId="0EFBB6C9" w14:textId="77777777" w:rsidR="00A00112" w:rsidRDefault="00A00112" w:rsidP="00535949">
      <w:r>
        <w:t>En tredje faktor som også i år er med å skape en viss usikkerhet i prognosen for res</w:t>
      </w:r>
      <w:r w:rsidR="00E12AEF">
        <w:t>ultatet på bevilgningsøkonomien</w:t>
      </w:r>
      <w:r>
        <w:t xml:space="preserve"> er størrelsen på den eksternfinansierte aktiviteten (BOA) og midler som denne aktiviteten genererer inn i bevilgningsøkonomien. Flere fakulteter har jobbet godt med å få bedre oversikt over forventede </w:t>
      </w:r>
      <w:r w:rsidR="00C86488">
        <w:t>nettooverføringer</w:t>
      </w:r>
      <w:r>
        <w:t xml:space="preserve"> </w:t>
      </w:r>
      <w:r w:rsidR="00BA2383">
        <w:t xml:space="preserve">fra BOA-porteføljen </w:t>
      </w:r>
      <w:r w:rsidR="00C86488">
        <w:t xml:space="preserve">inn i bevilgningsøkonomien </w:t>
      </w:r>
      <w:r w:rsidR="00700CBE">
        <w:t xml:space="preserve">gjennom </w:t>
      </w:r>
      <w:r w:rsidR="003B0831">
        <w:t xml:space="preserve">løpende </w:t>
      </w:r>
      <w:r w:rsidR="00700CBE">
        <w:t>rebudsjettering av alle eksisterende prosjekter</w:t>
      </w:r>
      <w:r w:rsidR="003B0831">
        <w:t xml:space="preserve"> og overvåking av ordrereserverapporter, </w:t>
      </w:r>
      <w:r w:rsidR="00C86488">
        <w:t>men</w:t>
      </w:r>
      <w:r>
        <w:t xml:space="preserve"> </w:t>
      </w:r>
      <w:r w:rsidR="00BA2383">
        <w:t xml:space="preserve">det gjenstår fortsatt noe jobb </w:t>
      </w:r>
      <w:r w:rsidR="00700CBE">
        <w:t>før alle enheter har god nok oversikt over dette.</w:t>
      </w:r>
      <w:r w:rsidR="00E31608">
        <w:t xml:space="preserve"> Vi ser allerede etter 1.tertial at inntektene fra BOA inn i bevilgningsøkonomien ligger an til å bli en del større enn budsjettert i år. </w:t>
      </w:r>
    </w:p>
    <w:p w14:paraId="69A008B2" w14:textId="77777777" w:rsidR="00C86488" w:rsidRDefault="00C86488" w:rsidP="00535949"/>
    <w:p w14:paraId="3B7A8009" w14:textId="77777777" w:rsidR="00235D95" w:rsidRDefault="00C86488" w:rsidP="00535949">
      <w:r>
        <w:t xml:space="preserve">Det er i 2018 planlagt en </w:t>
      </w:r>
      <w:r w:rsidR="00700CBE">
        <w:t xml:space="preserve">stor </w:t>
      </w:r>
      <w:r>
        <w:t xml:space="preserve">aktivitet knyttet til </w:t>
      </w:r>
      <w:r w:rsidR="00700CBE">
        <w:t xml:space="preserve">arealutviklingstiltak og </w:t>
      </w:r>
      <w:r>
        <w:t>samlokaliseri</w:t>
      </w:r>
      <w:r w:rsidR="00BA2383">
        <w:t>ng av fagmiljøer etter fusjonen</w:t>
      </w:r>
      <w:r>
        <w:t xml:space="preserve">. Prognosen for det </w:t>
      </w:r>
      <w:r w:rsidR="00BA2383">
        <w:t>sentrale S</w:t>
      </w:r>
      <w:r>
        <w:t xml:space="preserve">amlokaliseringsprosjektet </w:t>
      </w:r>
      <w:r w:rsidR="00700CBE">
        <w:t xml:space="preserve">og de definerte delprosjektene der </w:t>
      </w:r>
      <w:r>
        <w:t xml:space="preserve">er </w:t>
      </w:r>
      <w:r w:rsidR="00700CBE">
        <w:t>pr 1.tertial</w:t>
      </w:r>
      <w:r>
        <w:t xml:space="preserve"> at aktivitet i år forventes å bli omtrent på nivå med det som var lagt til grunn i budsjettet. </w:t>
      </w:r>
    </w:p>
    <w:p w14:paraId="658EBE45" w14:textId="77777777" w:rsidR="00BA2383" w:rsidRDefault="00BA2383" w:rsidP="00535949">
      <w:r>
        <w:t>Det er imidlertid fortsatt noe usikkerhet knyttet til realistisk tidsplan for gjennomføring av en del andre planlagte arealutviklingstiltak ved fakultetene. Eiendomsavdelingen jobber aktivt med å skaffe nok kapasitet for å kunne bidra med prosjektering og nødvendig medvirkning for å få al</w:t>
      </w:r>
      <w:r w:rsidR="00700CBE">
        <w:t xml:space="preserve">le planlagte </w:t>
      </w:r>
      <w:r w:rsidR="009B4A44">
        <w:t>arealutviklings</w:t>
      </w:r>
      <w:r w:rsidR="00700CBE">
        <w:t>prosjekter</w:t>
      </w:r>
      <w:r>
        <w:t xml:space="preserve"> ferdigstilt i løpet av året. </w:t>
      </w:r>
    </w:p>
    <w:p w14:paraId="30265793" w14:textId="77777777" w:rsidR="003B0831" w:rsidRDefault="003B0831" w:rsidP="00535949"/>
    <w:p w14:paraId="49FA7B91" w14:textId="77777777" w:rsidR="003B0831" w:rsidRDefault="003B0831" w:rsidP="00535949">
      <w:r>
        <w:t xml:space="preserve">Med bakgrunn i det akkumulerte mindreforbruket mot budsjett så langt i år, forventet aktivitetsnivå resten av året og de usikkerheter beskrevet over, anser Rektor </w:t>
      </w:r>
      <w:r w:rsidR="00EC57C3">
        <w:t xml:space="preserve">det </w:t>
      </w:r>
      <w:r>
        <w:t xml:space="preserve">som sannsynlig at nedbyggingen av ubrukte bevilgninger i år blir vesentlig mindre enn </w:t>
      </w:r>
      <w:r w:rsidR="00EC57C3">
        <w:t xml:space="preserve">310 mill.kr (som var </w:t>
      </w:r>
      <w:r>
        <w:t>budsjettert</w:t>
      </w:r>
      <w:r w:rsidR="00EC57C3">
        <w:t>)</w:t>
      </w:r>
      <w:r>
        <w:t xml:space="preserve">. </w:t>
      </w:r>
      <w:r w:rsidR="00EC57C3">
        <w:t xml:space="preserve">Prognosen tilsier pr 1.tertial at en nedbygging i spennet </w:t>
      </w:r>
      <w:r w:rsidR="007E1949">
        <w:t>0</w:t>
      </w:r>
      <w:r w:rsidR="00EC57C3">
        <w:t>-</w:t>
      </w:r>
      <w:r w:rsidR="007E1949">
        <w:t>200</w:t>
      </w:r>
      <w:r w:rsidR="00EC57C3">
        <w:t xml:space="preserve"> mill.kr vil være et sannsynlig resultat</w:t>
      </w:r>
      <w:r w:rsidR="00E31608">
        <w:t xml:space="preserve">. Vurderingen </w:t>
      </w:r>
      <w:r w:rsidR="009A6C48">
        <w:t xml:space="preserve">pr nå </w:t>
      </w:r>
      <w:r w:rsidR="00E31608">
        <w:t xml:space="preserve">er at vi </w:t>
      </w:r>
      <w:r w:rsidR="009A6C48">
        <w:t xml:space="preserve">trolig ender i </w:t>
      </w:r>
      <w:r w:rsidR="00E31608">
        <w:t xml:space="preserve">nedre </w:t>
      </w:r>
      <w:r w:rsidR="009A6C48">
        <w:t>halvdel</w:t>
      </w:r>
      <w:r w:rsidR="00E31608">
        <w:t xml:space="preserve"> av dette spennet, og det kan heller ikke utelukkes at vi ender opp med en oppbygging av ytterligere ubrukte bevilgninger i år. </w:t>
      </w:r>
      <w:r w:rsidR="00EC57C3">
        <w:t xml:space="preserve">Med bakgrunn i NTNUs høye nivå av ubrukte bevilgninger ved inngangen til 2018 (648 mill.kr, ca 10% av årlig bevilgning) ser </w:t>
      </w:r>
      <w:r w:rsidR="009A6C48">
        <w:t xml:space="preserve">imidlertid </w:t>
      </w:r>
      <w:r w:rsidR="00EC57C3">
        <w:t xml:space="preserve">Rektor det som meget viktig </w:t>
      </w:r>
      <w:r w:rsidR="009A6C48">
        <w:t xml:space="preserve">å få </w:t>
      </w:r>
      <w:r w:rsidR="00EC57C3">
        <w:t xml:space="preserve">en nedbygging av ubrukte bevilgninger i år, og vil derfor følge prognoseutviklingen nøye. </w:t>
      </w:r>
      <w:r w:rsidR="009A6C48">
        <w:t>Det jobbes også</w:t>
      </w:r>
      <w:r w:rsidR="009B4A44">
        <w:t xml:space="preserve"> </w:t>
      </w:r>
      <w:r w:rsidR="00352708">
        <w:t xml:space="preserve">løpende </w:t>
      </w:r>
      <w:r w:rsidR="009A6C48">
        <w:t xml:space="preserve">med å se på </w:t>
      </w:r>
      <w:r w:rsidR="009B4A44">
        <w:t xml:space="preserve">områder der det </w:t>
      </w:r>
      <w:r w:rsidR="009A6C48">
        <w:t xml:space="preserve">kan være </w:t>
      </w:r>
      <w:r w:rsidR="00EC57C3">
        <w:t>mulig å f</w:t>
      </w:r>
      <w:r w:rsidR="009B4A44">
        <w:t xml:space="preserve">ramskyve planlagt aktivitet i 2019 til 2018 for å sikre et høyt nok aktivitetsnivå i 2018. </w:t>
      </w:r>
    </w:p>
    <w:p w14:paraId="2963495C" w14:textId="77777777" w:rsidR="0025706C" w:rsidRDefault="0025706C" w:rsidP="00535949"/>
    <w:p w14:paraId="61022689" w14:textId="77777777" w:rsidR="003B0831" w:rsidRDefault="003B0831" w:rsidP="00535949"/>
    <w:p w14:paraId="2A8D46FD" w14:textId="77777777" w:rsidR="00B81B51" w:rsidRDefault="00B81B51" w:rsidP="00535949"/>
    <w:p w14:paraId="08E91CFF" w14:textId="77777777" w:rsidR="00B81B51" w:rsidRPr="00866F49" w:rsidRDefault="00B81B51" w:rsidP="00535949">
      <w:pPr>
        <w:pStyle w:val="ListParagraph"/>
        <w:numPr>
          <w:ilvl w:val="0"/>
          <w:numId w:val="14"/>
        </w:numPr>
        <w:rPr>
          <w:b/>
          <w:sz w:val="28"/>
          <w:szCs w:val="24"/>
        </w:rPr>
      </w:pPr>
      <w:r w:rsidRPr="00866F49">
        <w:rPr>
          <w:b/>
          <w:sz w:val="28"/>
          <w:szCs w:val="24"/>
        </w:rPr>
        <w:t xml:space="preserve">Bidrags- og oppdragsfinansiert aktivitet (BOA) – 1. tertial </w:t>
      </w:r>
    </w:p>
    <w:p w14:paraId="0AB6C8EA" w14:textId="77777777" w:rsidR="00B81B51" w:rsidRPr="001B78AC" w:rsidRDefault="00B81B51" w:rsidP="00535949">
      <w:pPr>
        <w:rPr>
          <w:b/>
          <w:szCs w:val="24"/>
        </w:rPr>
      </w:pPr>
    </w:p>
    <w:p w14:paraId="21466C30" w14:textId="77777777" w:rsidR="00B81B51" w:rsidRPr="001B78AC" w:rsidRDefault="00B81B51" w:rsidP="00535949">
      <w:pPr>
        <w:rPr>
          <w:szCs w:val="24"/>
        </w:rPr>
      </w:pPr>
      <w:r w:rsidRPr="001B78AC">
        <w:rPr>
          <w:szCs w:val="24"/>
        </w:rPr>
        <w:t>Tallene som her presenteres som BOA-aktivitet er summen av aktivitet</w:t>
      </w:r>
      <w:r w:rsidRPr="001B78AC">
        <w:rPr>
          <w:i/>
          <w:szCs w:val="24"/>
        </w:rPr>
        <w:t xml:space="preserve"> finansiert av eksterne kilder.</w:t>
      </w:r>
      <w:r w:rsidRPr="001B78AC">
        <w:rPr>
          <w:szCs w:val="24"/>
        </w:rPr>
        <w:t xml:space="preserve"> </w:t>
      </w:r>
    </w:p>
    <w:p w14:paraId="25B1233D" w14:textId="77777777" w:rsidR="00B81B51" w:rsidRPr="001B78AC" w:rsidRDefault="00B81B51" w:rsidP="00535949">
      <w:pPr>
        <w:rPr>
          <w:szCs w:val="24"/>
        </w:rPr>
      </w:pPr>
    </w:p>
    <w:p w14:paraId="17A19EAC" w14:textId="77777777" w:rsidR="00B81B51" w:rsidRPr="001B78AC" w:rsidRDefault="00B81B51" w:rsidP="00535949">
      <w:pPr>
        <w:rPr>
          <w:szCs w:val="24"/>
        </w:rPr>
      </w:pPr>
      <w:r w:rsidRPr="001B78AC">
        <w:rPr>
          <w:szCs w:val="24"/>
        </w:rPr>
        <w:t xml:space="preserve">I fjor hadde NTNU en samlet BOA-aktivitet på 2 045 mill.kr. Per 1. tertial i år ser vi at BOA-aktiviteten samlet sett har en vekst sammenlignet med samme periode i fjor på ca. 85 mill.kr. En vesentlig del av denne økningen er knyttet EU og skyldes endring av regnskapsprinsipp knyttet til Sentrale insentivmidler EU. Den reelle økningen i BOA aktivitet justert for pris- og lønnsvekst er på ca 3%. </w:t>
      </w:r>
    </w:p>
    <w:p w14:paraId="2E50F936" w14:textId="77777777" w:rsidR="00B81B51" w:rsidRPr="001B78AC" w:rsidRDefault="00B81B51" w:rsidP="00535949">
      <w:pPr>
        <w:rPr>
          <w:szCs w:val="24"/>
        </w:rPr>
      </w:pPr>
    </w:p>
    <w:p w14:paraId="79E8682C" w14:textId="77777777" w:rsidR="00B81B51" w:rsidRPr="001B78AC" w:rsidRDefault="00B81B51" w:rsidP="00535949">
      <w:pPr>
        <w:rPr>
          <w:szCs w:val="24"/>
        </w:rPr>
      </w:pPr>
      <w:r w:rsidRPr="001B78AC">
        <w:rPr>
          <w:szCs w:val="24"/>
        </w:rPr>
        <w:t xml:space="preserve">Tabellen under viser BOA-utvikling per 1. tertial sammenlignet med 2017 for NTNU samlet. </w:t>
      </w:r>
    </w:p>
    <w:p w14:paraId="63F15FE3" w14:textId="77777777" w:rsidR="00516F54" w:rsidRPr="001B78AC" w:rsidRDefault="00516F54" w:rsidP="00535949">
      <w:pPr>
        <w:rPr>
          <w:szCs w:val="24"/>
        </w:rPr>
      </w:pPr>
    </w:p>
    <w:p w14:paraId="3DF863B4" w14:textId="77777777" w:rsidR="00516F54" w:rsidRPr="001B78AC" w:rsidRDefault="00516F54" w:rsidP="00535949">
      <w:pPr>
        <w:rPr>
          <w:szCs w:val="24"/>
        </w:rPr>
      </w:pPr>
      <w:r w:rsidRPr="001B78AC">
        <w:rPr>
          <w:noProof/>
          <w:szCs w:val="24"/>
        </w:rPr>
        <w:drawing>
          <wp:inline distT="0" distB="0" distL="0" distR="0" wp14:anchorId="262C233F" wp14:editId="134BCAEC">
            <wp:extent cx="4368800" cy="1123441"/>
            <wp:effectExtent l="0" t="0" r="0" b="63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2595" cy="1126988"/>
                    </a:xfrm>
                    <a:prstGeom prst="rect">
                      <a:avLst/>
                    </a:prstGeom>
                    <a:noFill/>
                    <a:ln>
                      <a:noFill/>
                    </a:ln>
                  </pic:spPr>
                </pic:pic>
              </a:graphicData>
            </a:graphic>
          </wp:inline>
        </w:drawing>
      </w:r>
    </w:p>
    <w:p w14:paraId="45AEC59E" w14:textId="77777777" w:rsidR="00B81B51" w:rsidRPr="001B78AC" w:rsidRDefault="00B81B51" w:rsidP="00535949">
      <w:pPr>
        <w:pStyle w:val="Caption"/>
        <w:keepNext/>
        <w:spacing w:after="0"/>
        <w:rPr>
          <w:sz w:val="24"/>
          <w:szCs w:val="24"/>
          <w:lang w:val="nn-NO"/>
        </w:rPr>
      </w:pPr>
      <w:r w:rsidRPr="001B78AC">
        <w:rPr>
          <w:color w:val="auto"/>
          <w:sz w:val="24"/>
          <w:szCs w:val="24"/>
          <w:lang w:val="nn-NO"/>
        </w:rPr>
        <w:t xml:space="preserve">Tabell: BOA-aktivitet (alle tall i </w:t>
      </w:r>
      <w:r w:rsidR="00516F54" w:rsidRPr="001B78AC">
        <w:rPr>
          <w:color w:val="auto"/>
          <w:sz w:val="24"/>
          <w:szCs w:val="24"/>
          <w:lang w:val="nn-NO"/>
        </w:rPr>
        <w:t>mill</w:t>
      </w:r>
      <w:r w:rsidRPr="001B78AC">
        <w:rPr>
          <w:color w:val="auto"/>
          <w:sz w:val="24"/>
          <w:szCs w:val="24"/>
          <w:lang w:val="nn-NO"/>
        </w:rPr>
        <w:t xml:space="preserve"> kr)</w:t>
      </w:r>
    </w:p>
    <w:p w14:paraId="5CE018B0" w14:textId="77777777" w:rsidR="00B81B51" w:rsidRPr="001B78AC" w:rsidRDefault="00B81B51" w:rsidP="00535949">
      <w:pPr>
        <w:rPr>
          <w:szCs w:val="24"/>
        </w:rPr>
      </w:pPr>
      <w:r w:rsidRPr="001B78AC">
        <w:rPr>
          <w:szCs w:val="24"/>
        </w:rPr>
        <w:t>(Tallene for BOA-aktivitet 1T 2018 i tabellen over fremkommer i note 1 i det vedlagte regnskapet som summen av «Sum tilskudd og overføringer fra andre» og «Sum inntekt fra oppdragsfinansiert aktivitet»)</w:t>
      </w:r>
    </w:p>
    <w:p w14:paraId="1C1FED0F" w14:textId="77777777" w:rsidR="00B81B51" w:rsidRPr="001B78AC" w:rsidRDefault="00B81B51" w:rsidP="00535949">
      <w:pPr>
        <w:rPr>
          <w:szCs w:val="24"/>
        </w:rPr>
      </w:pPr>
    </w:p>
    <w:p w14:paraId="0FD6191E" w14:textId="77777777" w:rsidR="00B81B51" w:rsidRPr="001B78AC" w:rsidRDefault="00B81B51" w:rsidP="00535949">
      <w:pPr>
        <w:rPr>
          <w:szCs w:val="24"/>
        </w:rPr>
      </w:pPr>
      <w:r w:rsidRPr="001B78AC">
        <w:rPr>
          <w:szCs w:val="24"/>
        </w:rPr>
        <w:t>Det har vært en liten økning i NFR-aktiviteten i 1. tertial sammenliknet med samme periode i fjor og denne trenden ser ut til å fortsette ut året. De fleste fakultetene forventer vekst i NFR-aktivitet og økningen kan knyttes til økende aktivitet ved de nyeste sentrene (SFI og SFF), samt aktivitet knyttet til nye prosjekter. Prognosen for NFR-aktiviteten totalt i 2018 er en realøkning på</w:t>
      </w:r>
      <w:r w:rsidRPr="001B78AC">
        <w:rPr>
          <w:color w:val="FF0000"/>
          <w:szCs w:val="24"/>
        </w:rPr>
        <w:t xml:space="preserve"> </w:t>
      </w:r>
      <w:r w:rsidRPr="001B78AC">
        <w:rPr>
          <w:szCs w:val="24"/>
        </w:rPr>
        <w:t>mellom 4 og 14 %, til en omsetning i størrelsesorden 1 100 - 1 200 mill. kr i 2018.</w:t>
      </w:r>
    </w:p>
    <w:p w14:paraId="238E3E03" w14:textId="77777777" w:rsidR="00B81B51" w:rsidRPr="001B78AC" w:rsidRDefault="00B81B51" w:rsidP="00535949">
      <w:pPr>
        <w:rPr>
          <w:szCs w:val="24"/>
        </w:rPr>
      </w:pPr>
    </w:p>
    <w:p w14:paraId="22EDAFB7" w14:textId="77777777" w:rsidR="00E45695" w:rsidRPr="001B78AC" w:rsidRDefault="009A6C48" w:rsidP="00535949">
      <w:pPr>
        <w:rPr>
          <w:szCs w:val="24"/>
        </w:rPr>
      </w:pPr>
      <w:r w:rsidRPr="001B78AC">
        <w:rPr>
          <w:szCs w:val="24"/>
        </w:rPr>
        <w:t xml:space="preserve">Tallene for </w:t>
      </w:r>
      <w:r w:rsidR="00B81B51" w:rsidRPr="001B78AC">
        <w:rPr>
          <w:szCs w:val="24"/>
        </w:rPr>
        <w:t xml:space="preserve">EU-aktivitet per 1. tertial viser en </w:t>
      </w:r>
      <w:r w:rsidRPr="001B78AC">
        <w:rPr>
          <w:szCs w:val="24"/>
        </w:rPr>
        <w:t xml:space="preserve">betydelig </w:t>
      </w:r>
      <w:r w:rsidR="00E45695" w:rsidRPr="001B78AC">
        <w:rPr>
          <w:szCs w:val="24"/>
        </w:rPr>
        <w:t>vekst</w:t>
      </w:r>
      <w:r w:rsidR="00B81B51" w:rsidRPr="001B78AC">
        <w:rPr>
          <w:szCs w:val="24"/>
        </w:rPr>
        <w:t xml:space="preserve"> sammenlignet med på samme perioden i fjor. </w:t>
      </w:r>
      <w:r w:rsidRPr="001B78AC">
        <w:rPr>
          <w:szCs w:val="24"/>
        </w:rPr>
        <w:t>Ca 5</w:t>
      </w:r>
      <w:r w:rsidR="00E45695" w:rsidRPr="001B78AC">
        <w:rPr>
          <w:szCs w:val="24"/>
        </w:rPr>
        <w:t>1</w:t>
      </w:r>
      <w:r w:rsidRPr="001B78AC">
        <w:rPr>
          <w:szCs w:val="24"/>
        </w:rPr>
        <w:t xml:space="preserve"> mill.kr av denne veksten skyldes </w:t>
      </w:r>
      <w:r w:rsidR="00E45695" w:rsidRPr="001B78AC">
        <w:rPr>
          <w:szCs w:val="24"/>
        </w:rPr>
        <w:t xml:space="preserve">imidlertid </w:t>
      </w:r>
      <w:r w:rsidRPr="001B78AC">
        <w:rPr>
          <w:szCs w:val="24"/>
        </w:rPr>
        <w:t>en teknisk endring i regnskapsføringen mellom 2017 og 2018</w:t>
      </w:r>
      <w:r w:rsidR="00E45695" w:rsidRPr="001B78AC">
        <w:rPr>
          <w:szCs w:val="24"/>
        </w:rPr>
        <w:t xml:space="preserve"> som vil gi et hopp i </w:t>
      </w:r>
      <w:r w:rsidR="00E45695" w:rsidRPr="001B78AC">
        <w:rPr>
          <w:i/>
          <w:szCs w:val="24"/>
        </w:rPr>
        <w:t>regnskapsført</w:t>
      </w:r>
      <w:r w:rsidR="00E45695" w:rsidRPr="001B78AC">
        <w:rPr>
          <w:szCs w:val="24"/>
        </w:rPr>
        <w:t xml:space="preserve"> EU-aktivitet i år, uten at det gjenspeiler tilsvarende økning i </w:t>
      </w:r>
      <w:r w:rsidR="00516F54" w:rsidRPr="001B78AC">
        <w:rPr>
          <w:szCs w:val="24"/>
        </w:rPr>
        <w:t>faktisk</w:t>
      </w:r>
      <w:r w:rsidR="00E45695" w:rsidRPr="001B78AC">
        <w:rPr>
          <w:szCs w:val="24"/>
        </w:rPr>
        <w:t xml:space="preserve"> aktivitet</w:t>
      </w:r>
      <w:r w:rsidR="00516F54" w:rsidRPr="001B78AC">
        <w:rPr>
          <w:szCs w:val="24"/>
        </w:rPr>
        <w:t xml:space="preserve"> i år</w:t>
      </w:r>
      <w:r w:rsidR="00E45695" w:rsidRPr="001B78AC">
        <w:rPr>
          <w:szCs w:val="24"/>
        </w:rPr>
        <w:t xml:space="preserve">. Reelt sett er aktivitetsnivået på EU-prosjekter hittil i år på ca samme nivå som i fjor. </w:t>
      </w:r>
    </w:p>
    <w:p w14:paraId="137AC2EB" w14:textId="77777777" w:rsidR="00E45695" w:rsidRPr="001B78AC" w:rsidRDefault="00E45695" w:rsidP="00535949">
      <w:pPr>
        <w:rPr>
          <w:szCs w:val="24"/>
        </w:rPr>
      </w:pPr>
    </w:p>
    <w:p w14:paraId="67947721" w14:textId="77777777" w:rsidR="00B81B51" w:rsidRPr="001B78AC" w:rsidRDefault="008576F8" w:rsidP="00535949">
      <w:pPr>
        <w:rPr>
          <w:szCs w:val="24"/>
        </w:rPr>
      </w:pPr>
      <w:r w:rsidRPr="001B78AC">
        <w:rPr>
          <w:szCs w:val="24"/>
        </w:rPr>
        <w:t>De fleste</w:t>
      </w:r>
      <w:r w:rsidR="00B81B51" w:rsidRPr="001B78AC">
        <w:rPr>
          <w:szCs w:val="24"/>
        </w:rPr>
        <w:t xml:space="preserve"> fakultetene forventer </w:t>
      </w:r>
      <w:r w:rsidR="00E45695" w:rsidRPr="001B78AC">
        <w:rPr>
          <w:szCs w:val="24"/>
        </w:rPr>
        <w:t xml:space="preserve">imidlertid </w:t>
      </w:r>
      <w:r w:rsidR="00B81B51" w:rsidRPr="001B78AC">
        <w:rPr>
          <w:szCs w:val="24"/>
        </w:rPr>
        <w:t xml:space="preserve">en </w:t>
      </w:r>
      <w:r w:rsidR="00E45695" w:rsidRPr="001B78AC">
        <w:rPr>
          <w:szCs w:val="24"/>
        </w:rPr>
        <w:t xml:space="preserve">liten </w:t>
      </w:r>
      <w:r w:rsidR="00B81B51" w:rsidRPr="001B78AC">
        <w:rPr>
          <w:szCs w:val="24"/>
        </w:rPr>
        <w:t>økning i aktiviteten knyttet til EU</w:t>
      </w:r>
      <w:r w:rsidR="00E45695" w:rsidRPr="001B78AC">
        <w:rPr>
          <w:szCs w:val="24"/>
        </w:rPr>
        <w:t xml:space="preserve"> i år</w:t>
      </w:r>
      <w:r w:rsidR="00313177" w:rsidRPr="001B78AC">
        <w:rPr>
          <w:szCs w:val="24"/>
        </w:rPr>
        <w:t xml:space="preserve">. </w:t>
      </w:r>
      <w:r w:rsidR="00B81B51" w:rsidRPr="001B78AC">
        <w:rPr>
          <w:szCs w:val="24"/>
        </w:rPr>
        <w:t xml:space="preserve">Økningen er knyttet til nye prosjekter som de fikk tilslag på i 2017 og som vil komme i gang i 2018. Totalt forventes EU-aktiviteten å </w:t>
      </w:r>
      <w:r w:rsidR="00516F54" w:rsidRPr="001B78AC">
        <w:rPr>
          <w:szCs w:val="24"/>
        </w:rPr>
        <w:t>ende</w:t>
      </w:r>
      <w:r w:rsidR="00B81B51" w:rsidRPr="001B78AC">
        <w:rPr>
          <w:szCs w:val="24"/>
        </w:rPr>
        <w:t xml:space="preserve"> i spennet 2</w:t>
      </w:r>
      <w:r w:rsidR="00516F54" w:rsidRPr="001B78AC">
        <w:rPr>
          <w:szCs w:val="24"/>
        </w:rPr>
        <w:t>25</w:t>
      </w:r>
      <w:r w:rsidR="00B81B51" w:rsidRPr="001B78AC">
        <w:rPr>
          <w:szCs w:val="24"/>
        </w:rPr>
        <w:t xml:space="preserve"> – </w:t>
      </w:r>
      <w:r w:rsidRPr="001B78AC">
        <w:rPr>
          <w:szCs w:val="24"/>
        </w:rPr>
        <w:t>250</w:t>
      </w:r>
      <w:r w:rsidR="00B81B51" w:rsidRPr="001B78AC">
        <w:rPr>
          <w:szCs w:val="24"/>
        </w:rPr>
        <w:t xml:space="preserve"> mill. kr i 2018</w:t>
      </w:r>
      <w:r w:rsidR="00516F54" w:rsidRPr="001B78AC">
        <w:rPr>
          <w:szCs w:val="24"/>
        </w:rPr>
        <w:t>.</w:t>
      </w:r>
    </w:p>
    <w:p w14:paraId="45AB0AF3" w14:textId="77777777" w:rsidR="00B81B51" w:rsidRPr="001B78AC" w:rsidRDefault="00B81B51" w:rsidP="00535949">
      <w:pPr>
        <w:rPr>
          <w:color w:val="FF0000"/>
          <w:szCs w:val="24"/>
        </w:rPr>
      </w:pPr>
    </w:p>
    <w:p w14:paraId="4DCFDD93" w14:textId="77777777" w:rsidR="00B81B51" w:rsidRPr="001B78AC" w:rsidRDefault="00B81B51" w:rsidP="00535949">
      <w:pPr>
        <w:rPr>
          <w:szCs w:val="24"/>
        </w:rPr>
      </w:pPr>
      <w:r w:rsidRPr="001B78AC">
        <w:rPr>
          <w:szCs w:val="24"/>
        </w:rPr>
        <w:t xml:space="preserve">Kategorien Andre bidrag omfatter i hovedsak aktivitet knyttet til samarbeid med næringsliv/private og Samarbeidsorganet ved Helse Midt-Norge (HMN). Aktiviteten er økt med 21 mill. sammenlignet med samme periode i 2017.  </w:t>
      </w:r>
    </w:p>
    <w:p w14:paraId="3A742D50" w14:textId="77777777" w:rsidR="00B81B51" w:rsidRPr="001B78AC" w:rsidRDefault="00B81B51" w:rsidP="00535949">
      <w:pPr>
        <w:rPr>
          <w:szCs w:val="24"/>
        </w:rPr>
      </w:pPr>
    </w:p>
    <w:p w14:paraId="15FB38E5" w14:textId="77777777" w:rsidR="00B81B51" w:rsidRPr="001B78AC" w:rsidRDefault="00B81B51" w:rsidP="00535949">
      <w:pPr>
        <w:rPr>
          <w:szCs w:val="24"/>
        </w:rPr>
      </w:pPr>
      <w:r w:rsidRPr="001B78AC">
        <w:rPr>
          <w:szCs w:val="24"/>
        </w:rPr>
        <w:t xml:space="preserve">Fakultet for medisin og helsevitenskap (MH) forventer en økning i aktiviteten på andre bidragsprosjekter. I hovedsak er økningen knyttet til HUNT 4, men det er også økt aktivitet på andre prosjekter finansiert av HMN.  </w:t>
      </w:r>
    </w:p>
    <w:p w14:paraId="61C27312" w14:textId="77777777" w:rsidR="00B81B51" w:rsidRPr="001B78AC" w:rsidRDefault="008576F8" w:rsidP="00535949">
      <w:pPr>
        <w:rPr>
          <w:szCs w:val="24"/>
        </w:rPr>
      </w:pPr>
      <w:r w:rsidRPr="001B78AC">
        <w:rPr>
          <w:szCs w:val="24"/>
        </w:rPr>
        <w:t>BOA-</w:t>
      </w:r>
      <w:r w:rsidR="00B81B51" w:rsidRPr="001B78AC">
        <w:rPr>
          <w:szCs w:val="24"/>
        </w:rPr>
        <w:t>aktivitet knyttet til bidrag finansiert av næringslivet er økt 13 mill. sammenlignet med samme periode i fjor.</w:t>
      </w:r>
      <w:r w:rsidR="00B81B51" w:rsidRPr="001B78AC">
        <w:rPr>
          <w:i/>
          <w:szCs w:val="24"/>
        </w:rPr>
        <w:t xml:space="preserve">   </w:t>
      </w:r>
    </w:p>
    <w:p w14:paraId="7BC5571F" w14:textId="77777777" w:rsidR="00B81B51" w:rsidRPr="001B78AC" w:rsidRDefault="00B81B51" w:rsidP="00535949">
      <w:pPr>
        <w:rPr>
          <w:szCs w:val="24"/>
        </w:rPr>
      </w:pPr>
    </w:p>
    <w:p w14:paraId="5CAC3B71" w14:textId="77777777" w:rsidR="00B81B51" w:rsidRPr="001B78AC" w:rsidRDefault="00B81B51" w:rsidP="00535949">
      <w:pPr>
        <w:rPr>
          <w:szCs w:val="24"/>
        </w:rPr>
      </w:pPr>
      <w:r w:rsidRPr="001B78AC">
        <w:rPr>
          <w:szCs w:val="24"/>
        </w:rPr>
        <w:t>Bibsys ble t.o.m. 2017 regnskapsført ved NTNU og var klassifisert som BOA-aktivitet. Bortfall av BOA-aktivitet knyttet til Bibsys utgjør på årsbasis ca.</w:t>
      </w:r>
      <w:r w:rsidRPr="001B78AC">
        <w:rPr>
          <w:color w:val="FF0000"/>
          <w:szCs w:val="24"/>
        </w:rPr>
        <w:t xml:space="preserve"> </w:t>
      </w:r>
      <w:r w:rsidRPr="001B78AC">
        <w:rPr>
          <w:szCs w:val="24"/>
        </w:rPr>
        <w:t xml:space="preserve">45 – 50 mill. </w:t>
      </w:r>
    </w:p>
    <w:p w14:paraId="56714F91" w14:textId="77777777" w:rsidR="00B81B51" w:rsidRPr="001B78AC" w:rsidRDefault="00B81B51" w:rsidP="00535949">
      <w:pPr>
        <w:rPr>
          <w:szCs w:val="24"/>
        </w:rPr>
      </w:pPr>
    </w:p>
    <w:p w14:paraId="54064EA2" w14:textId="77777777" w:rsidR="00B81B51" w:rsidRPr="001B78AC" w:rsidRDefault="00B81B51" w:rsidP="00535949">
      <w:pPr>
        <w:rPr>
          <w:szCs w:val="24"/>
        </w:rPr>
      </w:pPr>
      <w:r w:rsidRPr="001B78AC">
        <w:rPr>
          <w:szCs w:val="24"/>
        </w:rPr>
        <w:t>Prognosen for annen bidragsfinansiert aktivitet totalt viser en realnedgang på mellom 5 % og 7 % til ett aktivitetsnivå i 2018 på mellom 680 – 700 mill.</w:t>
      </w:r>
    </w:p>
    <w:p w14:paraId="11037858" w14:textId="77777777" w:rsidR="00B81B51" w:rsidRPr="001B78AC" w:rsidRDefault="00B81B51" w:rsidP="00535949">
      <w:pPr>
        <w:rPr>
          <w:szCs w:val="24"/>
        </w:rPr>
      </w:pPr>
    </w:p>
    <w:p w14:paraId="4D2C7321" w14:textId="77777777" w:rsidR="00B81B51" w:rsidRPr="001B78AC" w:rsidRDefault="00B81B51" w:rsidP="00535949">
      <w:pPr>
        <w:rPr>
          <w:szCs w:val="24"/>
        </w:rPr>
      </w:pPr>
      <w:r w:rsidRPr="001B78AC">
        <w:rPr>
          <w:szCs w:val="24"/>
        </w:rPr>
        <w:t xml:space="preserve">Oppdragsaktiviteten per 1. tertial er på samme nivå som tilsvarende periode i 2017. Det </w:t>
      </w:r>
      <w:r w:rsidR="00516F54" w:rsidRPr="001B78AC">
        <w:rPr>
          <w:szCs w:val="24"/>
        </w:rPr>
        <w:t>forventes imidlertid en</w:t>
      </w:r>
      <w:r w:rsidRPr="001B78AC">
        <w:rPr>
          <w:szCs w:val="24"/>
        </w:rPr>
        <w:t xml:space="preserve"> realnedgang i oppdragsaktiviteten sammenliknet med tidligere år. Dette skyldes delvis at noe aktivitet som før ble definert som oppdrag nå er klassifisert som salg i bevilgningsøkonomien eller omkl</w:t>
      </w:r>
      <w:r w:rsidR="00313177" w:rsidRPr="001B78AC">
        <w:rPr>
          <w:szCs w:val="24"/>
        </w:rPr>
        <w:t>assifisert til bidragsaktivite</w:t>
      </w:r>
      <w:r w:rsidR="00516F54" w:rsidRPr="001B78AC">
        <w:rPr>
          <w:szCs w:val="24"/>
        </w:rPr>
        <w:t>t, og delvis at noen større opp</w:t>
      </w:r>
      <w:r w:rsidR="00313177" w:rsidRPr="001B78AC">
        <w:rPr>
          <w:szCs w:val="24"/>
        </w:rPr>
        <w:t xml:space="preserve">dragsprosjekter har </w:t>
      </w:r>
      <w:r w:rsidR="00516F54" w:rsidRPr="001B78AC">
        <w:rPr>
          <w:szCs w:val="24"/>
        </w:rPr>
        <w:t>fått ut.</w:t>
      </w:r>
      <w:r w:rsidRPr="001B78AC">
        <w:rPr>
          <w:szCs w:val="24"/>
        </w:rPr>
        <w:t xml:space="preserve">  For 2018 forventes oppdragsaktivitet </w:t>
      </w:r>
      <w:r w:rsidR="00516F54" w:rsidRPr="001B78AC">
        <w:rPr>
          <w:szCs w:val="24"/>
        </w:rPr>
        <w:t xml:space="preserve">totalt sett </w:t>
      </w:r>
      <w:r w:rsidRPr="001B78AC">
        <w:rPr>
          <w:szCs w:val="24"/>
        </w:rPr>
        <w:t xml:space="preserve">å reduseres med ca </w:t>
      </w:r>
      <w:r w:rsidR="00516F54" w:rsidRPr="001B78AC">
        <w:rPr>
          <w:szCs w:val="24"/>
        </w:rPr>
        <w:t>20-25</w:t>
      </w:r>
      <w:r w:rsidRPr="001B78AC">
        <w:rPr>
          <w:szCs w:val="24"/>
        </w:rPr>
        <w:t xml:space="preserve">% til intervallet 90 – </w:t>
      </w:r>
      <w:r w:rsidR="00516F54" w:rsidRPr="001B78AC">
        <w:rPr>
          <w:szCs w:val="24"/>
        </w:rPr>
        <w:t>110</w:t>
      </w:r>
      <w:r w:rsidRPr="001B78AC">
        <w:rPr>
          <w:szCs w:val="24"/>
        </w:rPr>
        <w:t xml:space="preserve"> mill. kr.</w:t>
      </w:r>
    </w:p>
    <w:p w14:paraId="3D498471" w14:textId="77777777" w:rsidR="00B81B51" w:rsidRPr="001B78AC" w:rsidRDefault="00B81B51" w:rsidP="00535949">
      <w:pPr>
        <w:rPr>
          <w:szCs w:val="24"/>
        </w:rPr>
      </w:pPr>
    </w:p>
    <w:p w14:paraId="12C53E5D" w14:textId="2FA6982D" w:rsidR="00BE1C85" w:rsidRDefault="00B81B51" w:rsidP="00535949">
      <w:pPr>
        <w:rPr>
          <w:szCs w:val="24"/>
        </w:rPr>
      </w:pPr>
      <w:r w:rsidRPr="001B78AC">
        <w:rPr>
          <w:szCs w:val="24"/>
        </w:rPr>
        <w:t>Totalt forventes BOA-aktiviteten i 2018 å ha en liten vekst. Prognosen tilsier en aktivitet i år på mellom 2 100 – 2 200 mill. kr. (2 045 mill.kr. i 2017). Justert for pris- og lønnsvekst gir dette en forventet realøkning på mellom 1 % og 5 %.</w:t>
      </w:r>
    </w:p>
    <w:p w14:paraId="2528BA29" w14:textId="14ECAC8E" w:rsidR="00D66F15" w:rsidRDefault="00D66F15" w:rsidP="00535949">
      <w:pPr>
        <w:rPr>
          <w:szCs w:val="24"/>
        </w:rPr>
      </w:pPr>
    </w:p>
    <w:p w14:paraId="56A48A8B" w14:textId="158DE2B1" w:rsidR="00535949" w:rsidRDefault="00535949" w:rsidP="00535949">
      <w:pPr>
        <w:rPr>
          <w:szCs w:val="24"/>
        </w:rPr>
      </w:pPr>
    </w:p>
    <w:p w14:paraId="7F3E4DC7" w14:textId="708D9865" w:rsidR="00535949" w:rsidRDefault="00535949" w:rsidP="00535949">
      <w:pPr>
        <w:rPr>
          <w:szCs w:val="24"/>
        </w:rPr>
      </w:pPr>
    </w:p>
    <w:p w14:paraId="031C5B59" w14:textId="2F6C9C89" w:rsidR="00535949" w:rsidRDefault="00535949" w:rsidP="00535949">
      <w:pPr>
        <w:rPr>
          <w:szCs w:val="24"/>
        </w:rPr>
      </w:pPr>
    </w:p>
    <w:p w14:paraId="74BE036A" w14:textId="77777777" w:rsidR="00535949" w:rsidRDefault="00535949" w:rsidP="00535949">
      <w:pPr>
        <w:rPr>
          <w:szCs w:val="24"/>
        </w:rPr>
      </w:pPr>
    </w:p>
    <w:p w14:paraId="7094BC77" w14:textId="57044FB1" w:rsidR="00D66F15" w:rsidRDefault="00D66F15" w:rsidP="00535949">
      <w:pPr>
        <w:rPr>
          <w:szCs w:val="24"/>
        </w:rPr>
      </w:pPr>
    </w:p>
    <w:p w14:paraId="0EF52CBB" w14:textId="47DA2A7B" w:rsidR="00CC3BA9" w:rsidRDefault="00D66F15" w:rsidP="00535949">
      <w:pPr>
        <w:rPr>
          <w:szCs w:val="24"/>
        </w:rPr>
      </w:pPr>
      <w:r w:rsidRPr="00D66F15">
        <w:rPr>
          <w:b/>
          <w:szCs w:val="24"/>
        </w:rPr>
        <w:t>Vedlegg</w:t>
      </w:r>
      <w:r w:rsidR="00CC3BA9">
        <w:rPr>
          <w:b/>
          <w:szCs w:val="24"/>
        </w:rPr>
        <w:t xml:space="preserve"> 1</w:t>
      </w:r>
      <w:r>
        <w:rPr>
          <w:szCs w:val="24"/>
        </w:rPr>
        <w:t xml:space="preserve">: </w:t>
      </w:r>
    </w:p>
    <w:p w14:paraId="179C9038" w14:textId="77777777" w:rsidR="004F371C" w:rsidRDefault="004F371C" w:rsidP="00535949">
      <w:pPr>
        <w:rPr>
          <w:szCs w:val="24"/>
        </w:rPr>
      </w:pPr>
    </w:p>
    <w:p w14:paraId="39D73ABC" w14:textId="4133F120" w:rsidR="00D66F15" w:rsidRDefault="00D66F15" w:rsidP="00535949">
      <w:pPr>
        <w:rPr>
          <w:rFonts w:eastAsia="Calibri"/>
          <w:szCs w:val="24"/>
        </w:rPr>
      </w:pPr>
      <w:r>
        <w:rPr>
          <w:rFonts w:eastAsia="Calibri"/>
          <w:szCs w:val="24"/>
        </w:rPr>
        <w:t xml:space="preserve">Resultatregnskap, Balanseoppsett, Note 1 og Note 15 fra NTNUs eksternregnskap etter 1.tertial. </w:t>
      </w:r>
    </w:p>
    <w:p w14:paraId="00B61F10" w14:textId="0AE41536" w:rsidR="004F371C" w:rsidRDefault="004F371C" w:rsidP="00535949">
      <w:pPr>
        <w:rPr>
          <w:rFonts w:eastAsia="Calibri"/>
          <w:szCs w:val="24"/>
        </w:rPr>
      </w:pPr>
    </w:p>
    <w:p w14:paraId="6B0E6C3E" w14:textId="188D5B3F" w:rsidR="004F371C" w:rsidRDefault="004F371C" w:rsidP="00535949">
      <w:pPr>
        <w:rPr>
          <w:rFonts w:eastAsia="Calibri"/>
          <w:szCs w:val="24"/>
        </w:rPr>
      </w:pPr>
    </w:p>
    <w:p w14:paraId="01F23AEF" w14:textId="61512C2C" w:rsidR="004F371C" w:rsidRDefault="004F371C" w:rsidP="00535949">
      <w:pPr>
        <w:rPr>
          <w:rFonts w:eastAsia="Calibri"/>
          <w:szCs w:val="24"/>
        </w:rPr>
      </w:pPr>
    </w:p>
    <w:p w14:paraId="02188727" w14:textId="4F2C6D97" w:rsidR="004F371C" w:rsidRDefault="004F371C" w:rsidP="00535949">
      <w:pPr>
        <w:rPr>
          <w:rFonts w:eastAsia="Calibri"/>
          <w:szCs w:val="24"/>
        </w:rPr>
      </w:pPr>
    </w:p>
    <w:p w14:paraId="767528AC" w14:textId="08B68088" w:rsidR="004F371C" w:rsidRDefault="004F371C" w:rsidP="00535949">
      <w:pPr>
        <w:rPr>
          <w:rFonts w:eastAsia="Calibri"/>
          <w:szCs w:val="24"/>
        </w:rPr>
      </w:pPr>
    </w:p>
    <w:p w14:paraId="5C6DA058" w14:textId="1969C147" w:rsidR="004F371C" w:rsidRDefault="004F371C" w:rsidP="00535949">
      <w:pPr>
        <w:rPr>
          <w:rFonts w:eastAsia="Calibri"/>
          <w:szCs w:val="24"/>
        </w:rPr>
      </w:pPr>
    </w:p>
    <w:p w14:paraId="09288C66" w14:textId="37CEEA4A" w:rsidR="004F371C" w:rsidRDefault="004F371C" w:rsidP="00535949">
      <w:pPr>
        <w:rPr>
          <w:rFonts w:eastAsia="Calibri"/>
          <w:szCs w:val="24"/>
        </w:rPr>
      </w:pPr>
    </w:p>
    <w:p w14:paraId="17FEF5B9" w14:textId="17E8C1B7" w:rsidR="004F371C" w:rsidRDefault="004F371C" w:rsidP="00535949">
      <w:pPr>
        <w:rPr>
          <w:rFonts w:eastAsia="Calibri"/>
          <w:szCs w:val="24"/>
        </w:rPr>
      </w:pPr>
      <w:r w:rsidRPr="004F371C">
        <w:rPr>
          <w:rFonts w:eastAsia="Calibri"/>
          <w:noProof/>
        </w:rPr>
        <w:drawing>
          <wp:inline distT="0" distB="0" distL="0" distR="0" wp14:anchorId="3A4DFEC5" wp14:editId="3EB312C8">
            <wp:extent cx="6319520" cy="7855572"/>
            <wp:effectExtent l="0" t="0" r="508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9520" cy="7855572"/>
                    </a:xfrm>
                    <a:prstGeom prst="rect">
                      <a:avLst/>
                    </a:prstGeom>
                    <a:noFill/>
                    <a:ln>
                      <a:noFill/>
                    </a:ln>
                  </pic:spPr>
                </pic:pic>
              </a:graphicData>
            </a:graphic>
          </wp:inline>
        </w:drawing>
      </w:r>
    </w:p>
    <w:p w14:paraId="51075628" w14:textId="6C6DCEA2" w:rsidR="00D66F15" w:rsidRDefault="00D66F15" w:rsidP="00535949">
      <w:pPr>
        <w:rPr>
          <w:rFonts w:eastAsia="Calibri"/>
          <w:szCs w:val="24"/>
        </w:rPr>
      </w:pPr>
    </w:p>
    <w:p w14:paraId="4CB74EC2" w14:textId="121FC7A9" w:rsidR="00D66F15" w:rsidRDefault="004F371C" w:rsidP="00535949">
      <w:pPr>
        <w:rPr>
          <w:rFonts w:eastAsia="Calibri"/>
          <w:szCs w:val="24"/>
        </w:rPr>
      </w:pPr>
      <w:r w:rsidRPr="004F371C">
        <w:rPr>
          <w:rFonts w:eastAsia="Calibri"/>
          <w:noProof/>
        </w:rPr>
        <w:drawing>
          <wp:inline distT="0" distB="0" distL="0" distR="0" wp14:anchorId="36717BBA" wp14:editId="45F5FEA4">
            <wp:extent cx="5377729" cy="865822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2593" cy="8666057"/>
                    </a:xfrm>
                    <a:prstGeom prst="rect">
                      <a:avLst/>
                    </a:prstGeom>
                    <a:noFill/>
                    <a:ln>
                      <a:noFill/>
                    </a:ln>
                  </pic:spPr>
                </pic:pic>
              </a:graphicData>
            </a:graphic>
          </wp:inline>
        </w:drawing>
      </w:r>
    </w:p>
    <w:p w14:paraId="683B4E1F" w14:textId="621C9E74" w:rsidR="004F371C" w:rsidRDefault="004F371C" w:rsidP="00535949">
      <w:pPr>
        <w:rPr>
          <w:rFonts w:eastAsia="Calibri"/>
          <w:szCs w:val="24"/>
        </w:rPr>
      </w:pPr>
    </w:p>
    <w:p w14:paraId="7EF7A101" w14:textId="4F3B37CD" w:rsidR="004F371C" w:rsidRDefault="004F371C" w:rsidP="00535949">
      <w:pPr>
        <w:rPr>
          <w:rFonts w:eastAsia="Calibri"/>
          <w:szCs w:val="24"/>
        </w:rPr>
      </w:pPr>
    </w:p>
    <w:p w14:paraId="2DD890FD" w14:textId="7F54E805" w:rsidR="004F371C" w:rsidRDefault="004F371C" w:rsidP="00535949">
      <w:pPr>
        <w:rPr>
          <w:rFonts w:eastAsia="Calibri"/>
          <w:szCs w:val="24"/>
        </w:rPr>
      </w:pPr>
      <w:r w:rsidRPr="004F371C">
        <w:rPr>
          <w:rFonts w:eastAsia="Calibri"/>
          <w:noProof/>
        </w:rPr>
        <w:drawing>
          <wp:inline distT="0" distB="0" distL="0" distR="0" wp14:anchorId="7587B815" wp14:editId="47C5C857">
            <wp:extent cx="6319520" cy="8543663"/>
            <wp:effectExtent l="0" t="0" r="508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9520" cy="8543663"/>
                    </a:xfrm>
                    <a:prstGeom prst="rect">
                      <a:avLst/>
                    </a:prstGeom>
                    <a:noFill/>
                    <a:ln>
                      <a:noFill/>
                    </a:ln>
                  </pic:spPr>
                </pic:pic>
              </a:graphicData>
            </a:graphic>
          </wp:inline>
        </w:drawing>
      </w:r>
    </w:p>
    <w:p w14:paraId="7755FA14" w14:textId="4A18BD00" w:rsidR="004F371C" w:rsidRDefault="004F371C" w:rsidP="00535949">
      <w:pPr>
        <w:rPr>
          <w:rFonts w:eastAsia="Calibri"/>
          <w:szCs w:val="24"/>
        </w:rPr>
      </w:pPr>
    </w:p>
    <w:p w14:paraId="3217798D" w14:textId="4584458E" w:rsidR="004F371C" w:rsidRDefault="004F371C" w:rsidP="00535949">
      <w:pPr>
        <w:rPr>
          <w:rFonts w:eastAsia="Calibri"/>
          <w:szCs w:val="24"/>
        </w:rPr>
      </w:pPr>
    </w:p>
    <w:p w14:paraId="449C6A37" w14:textId="27579444" w:rsidR="004F371C" w:rsidRDefault="00DF0ABB" w:rsidP="00535949">
      <w:pPr>
        <w:rPr>
          <w:rFonts w:eastAsia="Calibri"/>
          <w:szCs w:val="24"/>
        </w:rPr>
      </w:pPr>
      <w:r w:rsidRPr="00DF0ABB">
        <w:rPr>
          <w:rFonts w:eastAsia="Calibri"/>
          <w:noProof/>
        </w:rPr>
        <w:drawing>
          <wp:inline distT="0" distB="0" distL="0" distR="0" wp14:anchorId="620F8CAD" wp14:editId="4299C9AE">
            <wp:extent cx="6319520" cy="9024638"/>
            <wp:effectExtent l="0" t="0" r="5080" b="508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9520" cy="9024638"/>
                    </a:xfrm>
                    <a:prstGeom prst="rect">
                      <a:avLst/>
                    </a:prstGeom>
                    <a:noFill/>
                    <a:ln>
                      <a:noFill/>
                    </a:ln>
                  </pic:spPr>
                </pic:pic>
              </a:graphicData>
            </a:graphic>
          </wp:inline>
        </w:drawing>
      </w:r>
    </w:p>
    <w:p w14:paraId="67BB68B8" w14:textId="1758E640" w:rsidR="004F371C" w:rsidRDefault="00DF0ABB" w:rsidP="00535949">
      <w:pPr>
        <w:rPr>
          <w:rFonts w:eastAsia="Calibri"/>
          <w:szCs w:val="24"/>
        </w:rPr>
      </w:pPr>
      <w:r>
        <w:rPr>
          <w:rFonts w:eastAsia="Calibri"/>
          <w:szCs w:val="24"/>
        </w:rPr>
        <w:t>(forts note 1)</w:t>
      </w:r>
    </w:p>
    <w:p w14:paraId="52165BF8" w14:textId="2612F7A7" w:rsidR="004F371C" w:rsidRDefault="004F371C" w:rsidP="00535949">
      <w:pPr>
        <w:rPr>
          <w:rFonts w:eastAsia="Calibri"/>
          <w:szCs w:val="24"/>
        </w:rPr>
      </w:pPr>
    </w:p>
    <w:p w14:paraId="46A23F05" w14:textId="012F396D" w:rsidR="004F371C" w:rsidRDefault="004F371C" w:rsidP="00535949">
      <w:pPr>
        <w:rPr>
          <w:rFonts w:eastAsia="Calibri"/>
          <w:szCs w:val="24"/>
        </w:rPr>
      </w:pPr>
      <w:r w:rsidRPr="004F371C">
        <w:rPr>
          <w:rFonts w:eastAsia="Calibri"/>
          <w:noProof/>
        </w:rPr>
        <w:drawing>
          <wp:inline distT="0" distB="0" distL="0" distR="0" wp14:anchorId="35BDB2F4" wp14:editId="7C5617C4">
            <wp:extent cx="6319520" cy="8520935"/>
            <wp:effectExtent l="0" t="0" r="508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9520" cy="8520935"/>
                    </a:xfrm>
                    <a:prstGeom prst="rect">
                      <a:avLst/>
                    </a:prstGeom>
                    <a:noFill/>
                    <a:ln>
                      <a:noFill/>
                    </a:ln>
                  </pic:spPr>
                </pic:pic>
              </a:graphicData>
            </a:graphic>
          </wp:inline>
        </w:drawing>
      </w:r>
    </w:p>
    <w:p w14:paraId="1EF36697" w14:textId="7ADE030A" w:rsidR="004F371C" w:rsidRDefault="004F371C" w:rsidP="00535949">
      <w:pPr>
        <w:rPr>
          <w:rFonts w:eastAsia="Calibri"/>
          <w:szCs w:val="24"/>
        </w:rPr>
      </w:pPr>
      <w:r w:rsidRPr="004F371C">
        <w:rPr>
          <w:rFonts w:eastAsia="Calibri"/>
          <w:noProof/>
        </w:rPr>
        <w:drawing>
          <wp:inline distT="0" distB="0" distL="0" distR="0" wp14:anchorId="02CF042E" wp14:editId="3883FF95">
            <wp:extent cx="6130542" cy="9096375"/>
            <wp:effectExtent l="0" t="0" r="381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2807" cy="9099736"/>
                    </a:xfrm>
                    <a:prstGeom prst="rect">
                      <a:avLst/>
                    </a:prstGeom>
                    <a:noFill/>
                    <a:ln>
                      <a:noFill/>
                    </a:ln>
                  </pic:spPr>
                </pic:pic>
              </a:graphicData>
            </a:graphic>
          </wp:inline>
        </w:drawing>
      </w:r>
    </w:p>
    <w:p w14:paraId="1C15B8A2" w14:textId="6A8FB0A5" w:rsidR="004F371C" w:rsidRDefault="004F371C" w:rsidP="00535949">
      <w:pPr>
        <w:rPr>
          <w:rFonts w:eastAsia="Calibri"/>
          <w:szCs w:val="24"/>
        </w:rPr>
      </w:pPr>
      <w:r w:rsidRPr="004F371C">
        <w:rPr>
          <w:rFonts w:eastAsia="Calibri"/>
          <w:noProof/>
        </w:rPr>
        <w:drawing>
          <wp:inline distT="0" distB="0" distL="0" distR="0" wp14:anchorId="396748E7" wp14:editId="343B44BA">
            <wp:extent cx="5773437" cy="947039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8355" cy="9478457"/>
                    </a:xfrm>
                    <a:prstGeom prst="rect">
                      <a:avLst/>
                    </a:prstGeom>
                    <a:noFill/>
                    <a:ln>
                      <a:noFill/>
                    </a:ln>
                  </pic:spPr>
                </pic:pic>
              </a:graphicData>
            </a:graphic>
          </wp:inline>
        </w:drawing>
      </w:r>
    </w:p>
    <w:sectPr w:rsidR="004F371C" w:rsidSect="00D92893">
      <w:headerReference w:type="default" r:id="rId21"/>
      <w:footerReference w:type="default" r:id="rId22"/>
      <w:footerReference w:type="first" r:id="rId23"/>
      <w:pgSz w:w="11907" w:h="16840" w:code="9"/>
      <w:pgMar w:top="624" w:right="708" w:bottom="1276" w:left="1247" w:header="624" w:footer="737" w:gutter="0"/>
      <w:paperSrc w:first="1" w:other="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C759" w14:textId="77777777" w:rsidR="00901C94" w:rsidRDefault="00901C94">
      <w:r>
        <w:separator/>
      </w:r>
    </w:p>
  </w:endnote>
  <w:endnote w:type="continuationSeparator" w:id="0">
    <w:p w14:paraId="053A666D" w14:textId="77777777" w:rsidR="00901C94" w:rsidRDefault="00901C94">
      <w:r>
        <w:continuationSeparator/>
      </w:r>
    </w:p>
  </w:endnote>
  <w:endnote w:type="continuationNotice" w:id="1">
    <w:p w14:paraId="1531300D" w14:textId="77777777" w:rsidR="00901C94" w:rsidRDefault="00901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3831" w14:textId="2B91B90D" w:rsidR="00EC57C3" w:rsidRDefault="00EC57C3">
    <w:pPr>
      <w:pStyle w:val="Footer"/>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E506A7">
      <w:rPr>
        <w:rStyle w:val="PageNumber"/>
        <w:noProof/>
        <w:sz w:val="20"/>
      </w:rPr>
      <w:t>25</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E506A7">
      <w:rPr>
        <w:rStyle w:val="PageNumber"/>
        <w:noProof/>
        <w:sz w:val="20"/>
      </w:rPr>
      <w:t>25</w:t>
    </w:r>
    <w:r>
      <w:rPr>
        <w:rStyle w:val="PageNumber"/>
        <w:sz w:val="20"/>
      </w:rPr>
      <w:fldChar w:fldCharType="end"/>
    </w:r>
  </w:p>
  <w:p w14:paraId="563F99C0" w14:textId="77777777" w:rsidR="00EC57C3" w:rsidRDefault="00EC57C3">
    <w:pPr>
      <w:pStyle w:val="Footer"/>
      <w:tabs>
        <w:tab w:val="clear" w:pos="4536"/>
        <w:tab w:val="clear" w:pos="9072"/>
        <w:tab w:val="left" w:pos="2495"/>
        <w:tab w:val="left" w:pos="4990"/>
        <w:tab w:val="left" w:pos="5670"/>
        <w:tab w:val="right" w:pos="980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A121" w14:textId="5A041E4A" w:rsidR="00EC57C3" w:rsidRDefault="00EC57C3">
    <w:pPr>
      <w:pStyle w:val="Footer"/>
      <w:tabs>
        <w:tab w:val="clear" w:pos="4536"/>
        <w:tab w:val="clear" w:pos="9072"/>
        <w:tab w:val="left" w:pos="2495"/>
        <w:tab w:val="left" w:pos="4990"/>
        <w:tab w:val="left" w:pos="5670"/>
        <w:tab w:val="right" w:pos="9809"/>
      </w:tabs>
      <w:rPr>
        <w:sz w:val="20"/>
      </w:rPr>
    </w:pPr>
    <w:r>
      <w:rPr>
        <w:sz w:val="16"/>
      </w:rPr>
      <w:tab/>
    </w:r>
    <w:r>
      <w:rPr>
        <w:sz w:val="16"/>
      </w:rPr>
      <w:tab/>
    </w:r>
    <w:r>
      <w:rPr>
        <w:sz w:val="16"/>
      </w:rPr>
      <w:tab/>
    </w:r>
    <w:r>
      <w:rPr>
        <w:sz w:val="16"/>
      </w:rPr>
      <w:tab/>
    </w:r>
    <w:r>
      <w:rPr>
        <w:sz w:val="20"/>
      </w:rPr>
      <w:t xml:space="preserve">Side </w:t>
    </w:r>
    <w:r>
      <w:rPr>
        <w:rStyle w:val="PageNumber"/>
        <w:sz w:val="20"/>
      </w:rPr>
      <w:fldChar w:fldCharType="begin"/>
    </w:r>
    <w:r>
      <w:rPr>
        <w:rStyle w:val="PageNumber"/>
        <w:sz w:val="20"/>
      </w:rPr>
      <w:instrText xml:space="preserve"> PAGE </w:instrText>
    </w:r>
    <w:r>
      <w:rPr>
        <w:rStyle w:val="PageNumber"/>
        <w:sz w:val="20"/>
      </w:rPr>
      <w:fldChar w:fldCharType="separate"/>
    </w:r>
    <w:r w:rsidR="002108C6">
      <w:rPr>
        <w:rStyle w:val="PageNumber"/>
        <w:noProof/>
        <w:sz w:val="20"/>
      </w:rPr>
      <w:t>1</w:t>
    </w:r>
    <w:r>
      <w:rPr>
        <w:rStyle w:val="PageNumber"/>
        <w:sz w:val="20"/>
      </w:rPr>
      <w:fldChar w:fldCharType="end"/>
    </w:r>
    <w:r>
      <w:rPr>
        <w:rStyle w:val="PageNumber"/>
        <w:sz w:val="20"/>
      </w:rPr>
      <w:t xml:space="preserve"> av </w:t>
    </w:r>
    <w:r>
      <w:rPr>
        <w:rStyle w:val="PageNumber"/>
        <w:sz w:val="20"/>
      </w:rPr>
      <w:fldChar w:fldCharType="begin"/>
    </w:r>
    <w:r>
      <w:rPr>
        <w:rStyle w:val="PageNumber"/>
        <w:sz w:val="20"/>
      </w:rPr>
      <w:instrText xml:space="preserve"> NUMPAGES  \* MERGEFORMAT </w:instrText>
    </w:r>
    <w:r>
      <w:rPr>
        <w:rStyle w:val="PageNumber"/>
        <w:sz w:val="20"/>
      </w:rPr>
      <w:fldChar w:fldCharType="separate"/>
    </w:r>
    <w:r w:rsidR="002108C6">
      <w:rPr>
        <w:rStyle w:val="PageNumber"/>
        <w:noProof/>
        <w:sz w:val="20"/>
      </w:rPr>
      <w:t>1</w:t>
    </w:r>
    <w:r>
      <w:rPr>
        <w:rStyle w:val="PageNumber"/>
        <w:sz w:val="20"/>
      </w:rPr>
      <w:fldChar w:fldCharType="end"/>
    </w:r>
  </w:p>
  <w:p w14:paraId="10366767" w14:textId="77777777" w:rsidR="00EC57C3" w:rsidRDefault="00EC57C3">
    <w:pPr>
      <w:pStyle w:val="Footer"/>
      <w:tabs>
        <w:tab w:val="clear" w:pos="4536"/>
        <w:tab w:val="clear" w:pos="9072"/>
        <w:tab w:val="left" w:pos="2495"/>
        <w:tab w:val="left" w:pos="4990"/>
        <w:tab w:val="left" w:pos="5670"/>
        <w:tab w:val="right" w:pos="9809"/>
      </w:tabs>
      <w:rPr>
        <w:sz w:val="16"/>
      </w:rPr>
    </w:pPr>
  </w:p>
  <w:p w14:paraId="12298A00" w14:textId="77777777" w:rsidR="00EC57C3" w:rsidRDefault="00EC57C3">
    <w:pPr>
      <w:pStyle w:val="Footer"/>
      <w:tabs>
        <w:tab w:val="clear" w:pos="4536"/>
        <w:tab w:val="clear" w:pos="9072"/>
        <w:tab w:val="left" w:pos="2495"/>
        <w:tab w:val="left" w:pos="4990"/>
        <w:tab w:val="left" w:pos="5670"/>
        <w:tab w:val="right" w:pos="9809"/>
      </w:tabs>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5450" w14:textId="77777777" w:rsidR="00901C94" w:rsidRDefault="00901C94">
      <w:r>
        <w:separator/>
      </w:r>
    </w:p>
  </w:footnote>
  <w:footnote w:type="continuationSeparator" w:id="0">
    <w:p w14:paraId="7F1BC988" w14:textId="77777777" w:rsidR="00901C94" w:rsidRDefault="00901C94">
      <w:r>
        <w:continuationSeparator/>
      </w:r>
    </w:p>
  </w:footnote>
  <w:footnote w:type="continuationNotice" w:id="1">
    <w:p w14:paraId="31EBBFE7" w14:textId="77777777" w:rsidR="00901C94" w:rsidRDefault="00901C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268C" w14:textId="77777777" w:rsidR="00EC57C3" w:rsidRDefault="00EC57C3">
    <w:pPr>
      <w:pStyle w:val="Header"/>
      <w:spacing w:line="240" w:lineRule="exact"/>
    </w:pPr>
    <w:r>
      <w:t xml:space="preserve"> </w:t>
    </w:r>
  </w:p>
  <w:p w14:paraId="5AA3A552" w14:textId="77777777" w:rsidR="00EC57C3" w:rsidRDefault="00EC57C3">
    <w:pPr>
      <w:pStyle w:val="Header"/>
      <w:spacing w:line="240" w:lineRule="exact"/>
    </w:pPr>
    <w:r>
      <w:t xml:space="preserve"> </w:t>
    </w:r>
  </w:p>
  <w:p w14:paraId="530A1A2C" w14:textId="77777777" w:rsidR="00EC57C3" w:rsidRDefault="00EC57C3">
    <w:pPr>
      <w:pStyle w:val="Header"/>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632"/>
    <w:multiLevelType w:val="hybridMultilevel"/>
    <w:tmpl w:val="9FB2E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3D5FC9"/>
    <w:multiLevelType w:val="hybridMultilevel"/>
    <w:tmpl w:val="BF2C6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F366CF"/>
    <w:multiLevelType w:val="hybridMultilevel"/>
    <w:tmpl w:val="D062F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E737F6"/>
    <w:multiLevelType w:val="hybridMultilevel"/>
    <w:tmpl w:val="11C892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CD25FB"/>
    <w:multiLevelType w:val="hybridMultilevel"/>
    <w:tmpl w:val="711CC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B61F7F"/>
    <w:multiLevelType w:val="hybridMultilevel"/>
    <w:tmpl w:val="D32826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ED3E6B"/>
    <w:multiLevelType w:val="hybridMultilevel"/>
    <w:tmpl w:val="6096DA24"/>
    <w:lvl w:ilvl="0" w:tplc="85FE076C">
      <w:start w:val="2"/>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35140740"/>
    <w:multiLevelType w:val="hybridMultilevel"/>
    <w:tmpl w:val="29FE3BF2"/>
    <w:lvl w:ilvl="0" w:tplc="85FE076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F500E9"/>
    <w:multiLevelType w:val="hybridMultilevel"/>
    <w:tmpl w:val="44781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A304751"/>
    <w:multiLevelType w:val="hybridMultilevel"/>
    <w:tmpl w:val="6032D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A4A31E6"/>
    <w:multiLevelType w:val="hybridMultilevel"/>
    <w:tmpl w:val="9B62A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F0B2990"/>
    <w:multiLevelType w:val="multilevel"/>
    <w:tmpl w:val="F91E9A4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8025CC"/>
    <w:multiLevelType w:val="hybridMultilevel"/>
    <w:tmpl w:val="D7C2ED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28A16EB"/>
    <w:multiLevelType w:val="hybridMultilevel"/>
    <w:tmpl w:val="2F6EEE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5A530B4"/>
    <w:multiLevelType w:val="hybridMultilevel"/>
    <w:tmpl w:val="617C34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73A716A"/>
    <w:multiLevelType w:val="multilevel"/>
    <w:tmpl w:val="DF0C6A60"/>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2CD0078"/>
    <w:multiLevelType w:val="hybridMultilevel"/>
    <w:tmpl w:val="44026FEC"/>
    <w:lvl w:ilvl="0" w:tplc="04140001">
      <w:start w:val="1"/>
      <w:numFmt w:val="bullet"/>
      <w:lvlText w:val=""/>
      <w:lvlJc w:val="left"/>
      <w:pPr>
        <w:tabs>
          <w:tab w:val="num" w:pos="360"/>
        </w:tabs>
        <w:ind w:left="360" w:hanging="360"/>
      </w:pPr>
      <w:rPr>
        <w:rFonts w:ascii="Symbol" w:hAnsi="Symbol" w:hint="default"/>
      </w:rPr>
    </w:lvl>
    <w:lvl w:ilvl="1" w:tplc="45ECF324" w:tentative="1">
      <w:start w:val="1"/>
      <w:numFmt w:val="decimal"/>
      <w:lvlText w:val="%2."/>
      <w:lvlJc w:val="left"/>
      <w:pPr>
        <w:tabs>
          <w:tab w:val="num" w:pos="1080"/>
        </w:tabs>
        <w:ind w:left="1080" w:hanging="360"/>
      </w:pPr>
    </w:lvl>
    <w:lvl w:ilvl="2" w:tplc="43661198" w:tentative="1">
      <w:start w:val="1"/>
      <w:numFmt w:val="decimal"/>
      <w:lvlText w:val="%3."/>
      <w:lvlJc w:val="left"/>
      <w:pPr>
        <w:tabs>
          <w:tab w:val="num" w:pos="1800"/>
        </w:tabs>
        <w:ind w:left="1800" w:hanging="360"/>
      </w:pPr>
    </w:lvl>
    <w:lvl w:ilvl="3" w:tplc="598CB9FA" w:tentative="1">
      <w:start w:val="1"/>
      <w:numFmt w:val="decimal"/>
      <w:lvlText w:val="%4."/>
      <w:lvlJc w:val="left"/>
      <w:pPr>
        <w:tabs>
          <w:tab w:val="num" w:pos="2520"/>
        </w:tabs>
        <w:ind w:left="2520" w:hanging="360"/>
      </w:pPr>
    </w:lvl>
    <w:lvl w:ilvl="4" w:tplc="28F6C892" w:tentative="1">
      <w:start w:val="1"/>
      <w:numFmt w:val="decimal"/>
      <w:lvlText w:val="%5."/>
      <w:lvlJc w:val="left"/>
      <w:pPr>
        <w:tabs>
          <w:tab w:val="num" w:pos="3240"/>
        </w:tabs>
        <w:ind w:left="3240" w:hanging="360"/>
      </w:pPr>
    </w:lvl>
    <w:lvl w:ilvl="5" w:tplc="0BB0CC42" w:tentative="1">
      <w:start w:val="1"/>
      <w:numFmt w:val="decimal"/>
      <w:lvlText w:val="%6."/>
      <w:lvlJc w:val="left"/>
      <w:pPr>
        <w:tabs>
          <w:tab w:val="num" w:pos="3960"/>
        </w:tabs>
        <w:ind w:left="3960" w:hanging="360"/>
      </w:pPr>
    </w:lvl>
    <w:lvl w:ilvl="6" w:tplc="B7FE162E" w:tentative="1">
      <w:start w:val="1"/>
      <w:numFmt w:val="decimal"/>
      <w:lvlText w:val="%7."/>
      <w:lvlJc w:val="left"/>
      <w:pPr>
        <w:tabs>
          <w:tab w:val="num" w:pos="4680"/>
        </w:tabs>
        <w:ind w:left="4680" w:hanging="360"/>
      </w:pPr>
    </w:lvl>
    <w:lvl w:ilvl="7" w:tplc="3F7A8CAE" w:tentative="1">
      <w:start w:val="1"/>
      <w:numFmt w:val="decimal"/>
      <w:lvlText w:val="%8."/>
      <w:lvlJc w:val="left"/>
      <w:pPr>
        <w:tabs>
          <w:tab w:val="num" w:pos="5400"/>
        </w:tabs>
        <w:ind w:left="5400" w:hanging="360"/>
      </w:pPr>
    </w:lvl>
    <w:lvl w:ilvl="8" w:tplc="63C02296" w:tentative="1">
      <w:start w:val="1"/>
      <w:numFmt w:val="decimal"/>
      <w:lvlText w:val="%9."/>
      <w:lvlJc w:val="left"/>
      <w:pPr>
        <w:tabs>
          <w:tab w:val="num" w:pos="6120"/>
        </w:tabs>
        <w:ind w:left="6120" w:hanging="360"/>
      </w:pPr>
    </w:lvl>
  </w:abstractNum>
  <w:abstractNum w:abstractNumId="17" w15:restartNumberingAfterBreak="0">
    <w:nsid w:val="73252A0F"/>
    <w:multiLevelType w:val="hybridMultilevel"/>
    <w:tmpl w:val="3DDED0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77361E52"/>
    <w:multiLevelType w:val="hybridMultilevel"/>
    <w:tmpl w:val="5CC09E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82F01DD"/>
    <w:multiLevelType w:val="hybridMultilevel"/>
    <w:tmpl w:val="977CDE9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C841673"/>
    <w:multiLevelType w:val="hybridMultilevel"/>
    <w:tmpl w:val="D11CC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ED466EB"/>
    <w:multiLevelType w:val="hybridMultilevel"/>
    <w:tmpl w:val="25882530"/>
    <w:lvl w:ilvl="0" w:tplc="04140001">
      <w:start w:val="1"/>
      <w:numFmt w:val="bullet"/>
      <w:lvlText w:val=""/>
      <w:lvlJc w:val="left"/>
      <w:pPr>
        <w:tabs>
          <w:tab w:val="num" w:pos="360"/>
        </w:tabs>
        <w:ind w:left="360" w:hanging="360"/>
      </w:pPr>
      <w:rPr>
        <w:rFonts w:ascii="Symbol" w:hAnsi="Symbol" w:hint="default"/>
      </w:rPr>
    </w:lvl>
    <w:lvl w:ilvl="1" w:tplc="C444155E" w:tentative="1">
      <w:start w:val="1"/>
      <w:numFmt w:val="decimal"/>
      <w:lvlText w:val="%2."/>
      <w:lvlJc w:val="left"/>
      <w:pPr>
        <w:tabs>
          <w:tab w:val="num" w:pos="1080"/>
        </w:tabs>
        <w:ind w:left="1080" w:hanging="360"/>
      </w:pPr>
    </w:lvl>
    <w:lvl w:ilvl="2" w:tplc="0932FE9A" w:tentative="1">
      <w:start w:val="1"/>
      <w:numFmt w:val="decimal"/>
      <w:lvlText w:val="%3."/>
      <w:lvlJc w:val="left"/>
      <w:pPr>
        <w:tabs>
          <w:tab w:val="num" w:pos="1800"/>
        </w:tabs>
        <w:ind w:left="1800" w:hanging="360"/>
      </w:pPr>
    </w:lvl>
    <w:lvl w:ilvl="3" w:tplc="14F458DA" w:tentative="1">
      <w:start w:val="1"/>
      <w:numFmt w:val="decimal"/>
      <w:lvlText w:val="%4."/>
      <w:lvlJc w:val="left"/>
      <w:pPr>
        <w:tabs>
          <w:tab w:val="num" w:pos="2520"/>
        </w:tabs>
        <w:ind w:left="2520" w:hanging="360"/>
      </w:pPr>
    </w:lvl>
    <w:lvl w:ilvl="4" w:tplc="2D9033FE" w:tentative="1">
      <w:start w:val="1"/>
      <w:numFmt w:val="decimal"/>
      <w:lvlText w:val="%5."/>
      <w:lvlJc w:val="left"/>
      <w:pPr>
        <w:tabs>
          <w:tab w:val="num" w:pos="3240"/>
        </w:tabs>
        <w:ind w:left="3240" w:hanging="360"/>
      </w:pPr>
    </w:lvl>
    <w:lvl w:ilvl="5" w:tplc="E2CE9418" w:tentative="1">
      <w:start w:val="1"/>
      <w:numFmt w:val="decimal"/>
      <w:lvlText w:val="%6."/>
      <w:lvlJc w:val="left"/>
      <w:pPr>
        <w:tabs>
          <w:tab w:val="num" w:pos="3960"/>
        </w:tabs>
        <w:ind w:left="3960" w:hanging="360"/>
      </w:pPr>
    </w:lvl>
    <w:lvl w:ilvl="6" w:tplc="F716BD38" w:tentative="1">
      <w:start w:val="1"/>
      <w:numFmt w:val="decimal"/>
      <w:lvlText w:val="%7."/>
      <w:lvlJc w:val="left"/>
      <w:pPr>
        <w:tabs>
          <w:tab w:val="num" w:pos="4680"/>
        </w:tabs>
        <w:ind w:left="4680" w:hanging="360"/>
      </w:pPr>
    </w:lvl>
    <w:lvl w:ilvl="7" w:tplc="A7B073B0" w:tentative="1">
      <w:start w:val="1"/>
      <w:numFmt w:val="decimal"/>
      <w:lvlText w:val="%8."/>
      <w:lvlJc w:val="left"/>
      <w:pPr>
        <w:tabs>
          <w:tab w:val="num" w:pos="5400"/>
        </w:tabs>
        <w:ind w:left="5400" w:hanging="360"/>
      </w:pPr>
    </w:lvl>
    <w:lvl w:ilvl="8" w:tplc="94DAE6DA" w:tentative="1">
      <w:start w:val="1"/>
      <w:numFmt w:val="decimal"/>
      <w:lvlText w:val="%9."/>
      <w:lvlJc w:val="left"/>
      <w:pPr>
        <w:tabs>
          <w:tab w:val="num" w:pos="6120"/>
        </w:tabs>
        <w:ind w:left="6120" w:hanging="360"/>
      </w:pPr>
    </w:lvl>
  </w:abstractNum>
  <w:abstractNum w:abstractNumId="22" w15:restartNumberingAfterBreak="0">
    <w:nsid w:val="7FC32991"/>
    <w:multiLevelType w:val="hybridMultilevel"/>
    <w:tmpl w:val="A6CA2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22"/>
  </w:num>
  <w:num w:numId="5">
    <w:abstractNumId w:val="15"/>
  </w:num>
  <w:num w:numId="6">
    <w:abstractNumId w:val="7"/>
  </w:num>
  <w:num w:numId="7">
    <w:abstractNumId w:val="10"/>
  </w:num>
  <w:num w:numId="8">
    <w:abstractNumId w:val="6"/>
  </w:num>
  <w:num w:numId="9">
    <w:abstractNumId w:val="9"/>
  </w:num>
  <w:num w:numId="10">
    <w:abstractNumId w:val="3"/>
  </w:num>
  <w:num w:numId="11">
    <w:abstractNumId w:val="16"/>
  </w:num>
  <w:num w:numId="12">
    <w:abstractNumId w:val="21"/>
  </w:num>
  <w:num w:numId="13">
    <w:abstractNumId w:val="0"/>
  </w:num>
  <w:num w:numId="14">
    <w:abstractNumId w:val="13"/>
  </w:num>
  <w:num w:numId="15">
    <w:abstractNumId w:val="8"/>
  </w:num>
  <w:num w:numId="16">
    <w:abstractNumId w:val="11"/>
  </w:num>
  <w:num w:numId="17">
    <w:abstractNumId w:val="4"/>
  </w:num>
  <w:num w:numId="18">
    <w:abstractNumId w:val="1"/>
  </w:num>
  <w:num w:numId="19">
    <w:abstractNumId w:val="12"/>
  </w:num>
  <w:num w:numId="20">
    <w:abstractNumId w:val="19"/>
  </w:num>
  <w:num w:numId="21">
    <w:abstractNumId w:val="14"/>
  </w:num>
  <w:num w:numId="22">
    <w:abstractNumId w:val="20"/>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nb-NO"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7C"/>
    <w:rsid w:val="00003839"/>
    <w:rsid w:val="0000627E"/>
    <w:rsid w:val="00012DD7"/>
    <w:rsid w:val="000139BB"/>
    <w:rsid w:val="0001668C"/>
    <w:rsid w:val="0002306A"/>
    <w:rsid w:val="00023CAF"/>
    <w:rsid w:val="0002452D"/>
    <w:rsid w:val="00027CAB"/>
    <w:rsid w:val="00031365"/>
    <w:rsid w:val="00031ED6"/>
    <w:rsid w:val="00032602"/>
    <w:rsid w:val="000450B0"/>
    <w:rsid w:val="000512AA"/>
    <w:rsid w:val="00056E66"/>
    <w:rsid w:val="00056EE7"/>
    <w:rsid w:val="000624F6"/>
    <w:rsid w:val="00065289"/>
    <w:rsid w:val="00070991"/>
    <w:rsid w:val="00072E9B"/>
    <w:rsid w:val="00073A0D"/>
    <w:rsid w:val="000750B4"/>
    <w:rsid w:val="00075277"/>
    <w:rsid w:val="000844C4"/>
    <w:rsid w:val="00085D1B"/>
    <w:rsid w:val="00092E56"/>
    <w:rsid w:val="00092FF7"/>
    <w:rsid w:val="000931C0"/>
    <w:rsid w:val="000A23A7"/>
    <w:rsid w:val="000A4383"/>
    <w:rsid w:val="000B2A33"/>
    <w:rsid w:val="000B53AB"/>
    <w:rsid w:val="000C02F0"/>
    <w:rsid w:val="000C0379"/>
    <w:rsid w:val="000C3564"/>
    <w:rsid w:val="000C4C38"/>
    <w:rsid w:val="000C56AB"/>
    <w:rsid w:val="000E0D55"/>
    <w:rsid w:val="000E27DB"/>
    <w:rsid w:val="000E5385"/>
    <w:rsid w:val="000F0A55"/>
    <w:rsid w:val="000F0DD3"/>
    <w:rsid w:val="000F312D"/>
    <w:rsid w:val="000F5CAF"/>
    <w:rsid w:val="000F7580"/>
    <w:rsid w:val="000F7EDC"/>
    <w:rsid w:val="00101C6E"/>
    <w:rsid w:val="001032B1"/>
    <w:rsid w:val="001058ED"/>
    <w:rsid w:val="00105A23"/>
    <w:rsid w:val="00110500"/>
    <w:rsid w:val="00111C44"/>
    <w:rsid w:val="00125C91"/>
    <w:rsid w:val="00125DE6"/>
    <w:rsid w:val="001313DF"/>
    <w:rsid w:val="00134066"/>
    <w:rsid w:val="001371D8"/>
    <w:rsid w:val="00137B20"/>
    <w:rsid w:val="001428BD"/>
    <w:rsid w:val="00142C7F"/>
    <w:rsid w:val="00152244"/>
    <w:rsid w:val="001542FA"/>
    <w:rsid w:val="00157A2A"/>
    <w:rsid w:val="0016542D"/>
    <w:rsid w:val="00166DBA"/>
    <w:rsid w:val="0017054A"/>
    <w:rsid w:val="00174169"/>
    <w:rsid w:val="00175742"/>
    <w:rsid w:val="001778D3"/>
    <w:rsid w:val="00185AAF"/>
    <w:rsid w:val="00185B6D"/>
    <w:rsid w:val="001869E7"/>
    <w:rsid w:val="001874E0"/>
    <w:rsid w:val="0019093E"/>
    <w:rsid w:val="00191147"/>
    <w:rsid w:val="0019195A"/>
    <w:rsid w:val="0019257E"/>
    <w:rsid w:val="00195588"/>
    <w:rsid w:val="0019632A"/>
    <w:rsid w:val="00196889"/>
    <w:rsid w:val="00196D63"/>
    <w:rsid w:val="00197260"/>
    <w:rsid w:val="00197486"/>
    <w:rsid w:val="001B0B08"/>
    <w:rsid w:val="001B3BD0"/>
    <w:rsid w:val="001B78AC"/>
    <w:rsid w:val="001B7C0E"/>
    <w:rsid w:val="001C510C"/>
    <w:rsid w:val="001C682E"/>
    <w:rsid w:val="001D075B"/>
    <w:rsid w:val="001D35E3"/>
    <w:rsid w:val="001D3A14"/>
    <w:rsid w:val="001D429F"/>
    <w:rsid w:val="001D455E"/>
    <w:rsid w:val="001E2347"/>
    <w:rsid w:val="001E2421"/>
    <w:rsid w:val="001E3B28"/>
    <w:rsid w:val="001E6F3F"/>
    <w:rsid w:val="001F0D13"/>
    <w:rsid w:val="001F2310"/>
    <w:rsid w:val="001F7FBF"/>
    <w:rsid w:val="00200D1F"/>
    <w:rsid w:val="002011EC"/>
    <w:rsid w:val="00202BC6"/>
    <w:rsid w:val="00206011"/>
    <w:rsid w:val="002108C6"/>
    <w:rsid w:val="00212424"/>
    <w:rsid w:val="002166B7"/>
    <w:rsid w:val="00216DA6"/>
    <w:rsid w:val="00224DE6"/>
    <w:rsid w:val="002258BC"/>
    <w:rsid w:val="00226813"/>
    <w:rsid w:val="002271B8"/>
    <w:rsid w:val="00234FD8"/>
    <w:rsid w:val="00235D95"/>
    <w:rsid w:val="00250BBE"/>
    <w:rsid w:val="00251A6D"/>
    <w:rsid w:val="0025580A"/>
    <w:rsid w:val="00255E35"/>
    <w:rsid w:val="0025706C"/>
    <w:rsid w:val="00261EC8"/>
    <w:rsid w:val="00271686"/>
    <w:rsid w:val="002717EC"/>
    <w:rsid w:val="00275941"/>
    <w:rsid w:val="00280692"/>
    <w:rsid w:val="002829A1"/>
    <w:rsid w:val="0028616F"/>
    <w:rsid w:val="00286891"/>
    <w:rsid w:val="00296004"/>
    <w:rsid w:val="00296306"/>
    <w:rsid w:val="002A0FFB"/>
    <w:rsid w:val="002B0D2C"/>
    <w:rsid w:val="002B7D52"/>
    <w:rsid w:val="002B7EFB"/>
    <w:rsid w:val="002C0E14"/>
    <w:rsid w:val="002C4463"/>
    <w:rsid w:val="002C507E"/>
    <w:rsid w:val="002C6D30"/>
    <w:rsid w:val="002D41C9"/>
    <w:rsid w:val="002D4BC1"/>
    <w:rsid w:val="002D6836"/>
    <w:rsid w:val="002F1EE3"/>
    <w:rsid w:val="002F4CF2"/>
    <w:rsid w:val="002F4D33"/>
    <w:rsid w:val="002F5CA5"/>
    <w:rsid w:val="002F6558"/>
    <w:rsid w:val="00300742"/>
    <w:rsid w:val="00305612"/>
    <w:rsid w:val="00311D67"/>
    <w:rsid w:val="0031275D"/>
    <w:rsid w:val="00313177"/>
    <w:rsid w:val="00314279"/>
    <w:rsid w:val="00320A7F"/>
    <w:rsid w:val="00322806"/>
    <w:rsid w:val="003318C9"/>
    <w:rsid w:val="003357F0"/>
    <w:rsid w:val="00337B4D"/>
    <w:rsid w:val="00341937"/>
    <w:rsid w:val="00343DC1"/>
    <w:rsid w:val="003447A2"/>
    <w:rsid w:val="0034693C"/>
    <w:rsid w:val="0035056D"/>
    <w:rsid w:val="00352708"/>
    <w:rsid w:val="00356D3C"/>
    <w:rsid w:val="00360BAD"/>
    <w:rsid w:val="00361946"/>
    <w:rsid w:val="00363AD2"/>
    <w:rsid w:val="0036535E"/>
    <w:rsid w:val="00365B80"/>
    <w:rsid w:val="003668B1"/>
    <w:rsid w:val="00366A5B"/>
    <w:rsid w:val="00367B95"/>
    <w:rsid w:val="00377745"/>
    <w:rsid w:val="00377ADF"/>
    <w:rsid w:val="00380816"/>
    <w:rsid w:val="00381D35"/>
    <w:rsid w:val="00383B20"/>
    <w:rsid w:val="00394FDD"/>
    <w:rsid w:val="003B0831"/>
    <w:rsid w:val="003B0E2B"/>
    <w:rsid w:val="003B4F94"/>
    <w:rsid w:val="003B7766"/>
    <w:rsid w:val="003C0F2D"/>
    <w:rsid w:val="003C7073"/>
    <w:rsid w:val="003C7158"/>
    <w:rsid w:val="003C7DA6"/>
    <w:rsid w:val="003D4606"/>
    <w:rsid w:val="003D4ECE"/>
    <w:rsid w:val="003E1DA2"/>
    <w:rsid w:val="003E2663"/>
    <w:rsid w:val="003E32BC"/>
    <w:rsid w:val="003E33E2"/>
    <w:rsid w:val="003F22B2"/>
    <w:rsid w:val="003F23ED"/>
    <w:rsid w:val="003F3556"/>
    <w:rsid w:val="004007B6"/>
    <w:rsid w:val="00402035"/>
    <w:rsid w:val="0040548E"/>
    <w:rsid w:val="0041370C"/>
    <w:rsid w:val="00415AC7"/>
    <w:rsid w:val="00421489"/>
    <w:rsid w:val="00425E24"/>
    <w:rsid w:val="004270BC"/>
    <w:rsid w:val="0043076C"/>
    <w:rsid w:val="00432FAC"/>
    <w:rsid w:val="00433FDC"/>
    <w:rsid w:val="0044469C"/>
    <w:rsid w:val="00444A74"/>
    <w:rsid w:val="00447CFF"/>
    <w:rsid w:val="00450B13"/>
    <w:rsid w:val="00455F6F"/>
    <w:rsid w:val="004654E7"/>
    <w:rsid w:val="004656DE"/>
    <w:rsid w:val="004660D3"/>
    <w:rsid w:val="004810A4"/>
    <w:rsid w:val="00484F45"/>
    <w:rsid w:val="004873A5"/>
    <w:rsid w:val="00491BB1"/>
    <w:rsid w:val="004948C2"/>
    <w:rsid w:val="00496D04"/>
    <w:rsid w:val="004A075C"/>
    <w:rsid w:val="004A66E0"/>
    <w:rsid w:val="004A733D"/>
    <w:rsid w:val="004B20BB"/>
    <w:rsid w:val="004B2C3D"/>
    <w:rsid w:val="004C0C98"/>
    <w:rsid w:val="004C204C"/>
    <w:rsid w:val="004C2416"/>
    <w:rsid w:val="004C3D37"/>
    <w:rsid w:val="004C4C80"/>
    <w:rsid w:val="004C6E66"/>
    <w:rsid w:val="004C77F2"/>
    <w:rsid w:val="004D6093"/>
    <w:rsid w:val="004E0D01"/>
    <w:rsid w:val="004E7864"/>
    <w:rsid w:val="004F1062"/>
    <w:rsid w:val="004F371C"/>
    <w:rsid w:val="004F492A"/>
    <w:rsid w:val="004F596C"/>
    <w:rsid w:val="00500731"/>
    <w:rsid w:val="005010E6"/>
    <w:rsid w:val="00504574"/>
    <w:rsid w:val="00504B60"/>
    <w:rsid w:val="0050530D"/>
    <w:rsid w:val="00507119"/>
    <w:rsid w:val="00510965"/>
    <w:rsid w:val="0051454F"/>
    <w:rsid w:val="00515589"/>
    <w:rsid w:val="00516F54"/>
    <w:rsid w:val="00520DB7"/>
    <w:rsid w:val="00521915"/>
    <w:rsid w:val="005238AF"/>
    <w:rsid w:val="005253CA"/>
    <w:rsid w:val="005276B2"/>
    <w:rsid w:val="00535949"/>
    <w:rsid w:val="00541E14"/>
    <w:rsid w:val="00542C66"/>
    <w:rsid w:val="00550BD0"/>
    <w:rsid w:val="0055287C"/>
    <w:rsid w:val="00554E98"/>
    <w:rsid w:val="00555B30"/>
    <w:rsid w:val="00556634"/>
    <w:rsid w:val="005603F2"/>
    <w:rsid w:val="00560FC5"/>
    <w:rsid w:val="0056107E"/>
    <w:rsid w:val="005708AC"/>
    <w:rsid w:val="005721B4"/>
    <w:rsid w:val="00573661"/>
    <w:rsid w:val="00576030"/>
    <w:rsid w:val="00577218"/>
    <w:rsid w:val="00580C78"/>
    <w:rsid w:val="00590D0D"/>
    <w:rsid w:val="00592C64"/>
    <w:rsid w:val="005967CB"/>
    <w:rsid w:val="005A0796"/>
    <w:rsid w:val="005A156C"/>
    <w:rsid w:val="005A205A"/>
    <w:rsid w:val="005A2A1A"/>
    <w:rsid w:val="005A6AEA"/>
    <w:rsid w:val="005B0ABA"/>
    <w:rsid w:val="005B0D78"/>
    <w:rsid w:val="005C0122"/>
    <w:rsid w:val="005C07CF"/>
    <w:rsid w:val="005C1C7C"/>
    <w:rsid w:val="005C2E89"/>
    <w:rsid w:val="005D07ED"/>
    <w:rsid w:val="005D108D"/>
    <w:rsid w:val="005D519C"/>
    <w:rsid w:val="005E2191"/>
    <w:rsid w:val="005E30F8"/>
    <w:rsid w:val="005E69BA"/>
    <w:rsid w:val="005E7055"/>
    <w:rsid w:val="005F50E2"/>
    <w:rsid w:val="005F6233"/>
    <w:rsid w:val="0060733E"/>
    <w:rsid w:val="00612195"/>
    <w:rsid w:val="00614630"/>
    <w:rsid w:val="00626B9F"/>
    <w:rsid w:val="00633DBD"/>
    <w:rsid w:val="00646E6B"/>
    <w:rsid w:val="00647372"/>
    <w:rsid w:val="00650131"/>
    <w:rsid w:val="0065190A"/>
    <w:rsid w:val="00652585"/>
    <w:rsid w:val="00665806"/>
    <w:rsid w:val="00671E0A"/>
    <w:rsid w:val="00672FB2"/>
    <w:rsid w:val="00681FB5"/>
    <w:rsid w:val="006829A2"/>
    <w:rsid w:val="00691961"/>
    <w:rsid w:val="006929B2"/>
    <w:rsid w:val="00697D7D"/>
    <w:rsid w:val="006A266A"/>
    <w:rsid w:val="006A2F1B"/>
    <w:rsid w:val="006A6B96"/>
    <w:rsid w:val="006B17BE"/>
    <w:rsid w:val="006B743C"/>
    <w:rsid w:val="006C03FB"/>
    <w:rsid w:val="006C2352"/>
    <w:rsid w:val="006C4085"/>
    <w:rsid w:val="006C72F9"/>
    <w:rsid w:val="006D2316"/>
    <w:rsid w:val="006D2B0D"/>
    <w:rsid w:val="006D33BD"/>
    <w:rsid w:val="006D35F1"/>
    <w:rsid w:val="006D730B"/>
    <w:rsid w:val="006D7D36"/>
    <w:rsid w:val="006E5AA4"/>
    <w:rsid w:val="006F1273"/>
    <w:rsid w:val="006F1696"/>
    <w:rsid w:val="006F1A8E"/>
    <w:rsid w:val="006F756C"/>
    <w:rsid w:val="006F76BD"/>
    <w:rsid w:val="00700CBE"/>
    <w:rsid w:val="007015DE"/>
    <w:rsid w:val="007031CA"/>
    <w:rsid w:val="007058D5"/>
    <w:rsid w:val="00705B32"/>
    <w:rsid w:val="00714720"/>
    <w:rsid w:val="00715C29"/>
    <w:rsid w:val="007163AC"/>
    <w:rsid w:val="0072772E"/>
    <w:rsid w:val="00730419"/>
    <w:rsid w:val="00731CB3"/>
    <w:rsid w:val="00732442"/>
    <w:rsid w:val="00740DB6"/>
    <w:rsid w:val="0074401D"/>
    <w:rsid w:val="00746F8B"/>
    <w:rsid w:val="00746FE2"/>
    <w:rsid w:val="00751D8F"/>
    <w:rsid w:val="00754FAA"/>
    <w:rsid w:val="0075698B"/>
    <w:rsid w:val="00766D83"/>
    <w:rsid w:val="00771EE1"/>
    <w:rsid w:val="007808CC"/>
    <w:rsid w:val="007859FE"/>
    <w:rsid w:val="00786BAA"/>
    <w:rsid w:val="0079124F"/>
    <w:rsid w:val="00795744"/>
    <w:rsid w:val="007A0BDC"/>
    <w:rsid w:val="007A7600"/>
    <w:rsid w:val="007A7DA7"/>
    <w:rsid w:val="007B1C67"/>
    <w:rsid w:val="007B2E1E"/>
    <w:rsid w:val="007B3787"/>
    <w:rsid w:val="007B58A2"/>
    <w:rsid w:val="007C2689"/>
    <w:rsid w:val="007C6FFC"/>
    <w:rsid w:val="007D08F1"/>
    <w:rsid w:val="007D7E94"/>
    <w:rsid w:val="007E103E"/>
    <w:rsid w:val="007E1949"/>
    <w:rsid w:val="007E44E8"/>
    <w:rsid w:val="007F2B6C"/>
    <w:rsid w:val="007F55D4"/>
    <w:rsid w:val="007F667B"/>
    <w:rsid w:val="007F70F6"/>
    <w:rsid w:val="007F7A1C"/>
    <w:rsid w:val="00801597"/>
    <w:rsid w:val="00807648"/>
    <w:rsid w:val="00817872"/>
    <w:rsid w:val="00826FD3"/>
    <w:rsid w:val="00827DC7"/>
    <w:rsid w:val="00830A31"/>
    <w:rsid w:val="00837CB4"/>
    <w:rsid w:val="0084143B"/>
    <w:rsid w:val="0084484F"/>
    <w:rsid w:val="008506D6"/>
    <w:rsid w:val="00852CB5"/>
    <w:rsid w:val="00856066"/>
    <w:rsid w:val="0085679C"/>
    <w:rsid w:val="008576F8"/>
    <w:rsid w:val="00866F49"/>
    <w:rsid w:val="008706EB"/>
    <w:rsid w:val="00873963"/>
    <w:rsid w:val="00876F6A"/>
    <w:rsid w:val="00883A1F"/>
    <w:rsid w:val="008859D8"/>
    <w:rsid w:val="008861EF"/>
    <w:rsid w:val="008A0FFE"/>
    <w:rsid w:val="008A796D"/>
    <w:rsid w:val="008B085E"/>
    <w:rsid w:val="008B1971"/>
    <w:rsid w:val="008B4532"/>
    <w:rsid w:val="008B4A01"/>
    <w:rsid w:val="008B4D71"/>
    <w:rsid w:val="008D60C6"/>
    <w:rsid w:val="008E2B96"/>
    <w:rsid w:val="008F1A41"/>
    <w:rsid w:val="008F72F0"/>
    <w:rsid w:val="00901A97"/>
    <w:rsid w:val="00901C94"/>
    <w:rsid w:val="00902284"/>
    <w:rsid w:val="00903BA9"/>
    <w:rsid w:val="009042A8"/>
    <w:rsid w:val="00904BBC"/>
    <w:rsid w:val="00905D5F"/>
    <w:rsid w:val="009067D2"/>
    <w:rsid w:val="0091223C"/>
    <w:rsid w:val="0091318D"/>
    <w:rsid w:val="00914392"/>
    <w:rsid w:val="00921CAF"/>
    <w:rsid w:val="00921E94"/>
    <w:rsid w:val="00922625"/>
    <w:rsid w:val="009246D2"/>
    <w:rsid w:val="00925DDF"/>
    <w:rsid w:val="0092651C"/>
    <w:rsid w:val="009271A7"/>
    <w:rsid w:val="00933FA8"/>
    <w:rsid w:val="00945D15"/>
    <w:rsid w:val="00947DDA"/>
    <w:rsid w:val="00950931"/>
    <w:rsid w:val="00950E5B"/>
    <w:rsid w:val="00953848"/>
    <w:rsid w:val="00956FF7"/>
    <w:rsid w:val="00961DAF"/>
    <w:rsid w:val="0096289D"/>
    <w:rsid w:val="00966263"/>
    <w:rsid w:val="00972FDE"/>
    <w:rsid w:val="00980236"/>
    <w:rsid w:val="00980A9E"/>
    <w:rsid w:val="009810DE"/>
    <w:rsid w:val="00981B8C"/>
    <w:rsid w:val="00981EEB"/>
    <w:rsid w:val="00984BFA"/>
    <w:rsid w:val="00985678"/>
    <w:rsid w:val="00985984"/>
    <w:rsid w:val="00985FCE"/>
    <w:rsid w:val="00986E47"/>
    <w:rsid w:val="00987D0B"/>
    <w:rsid w:val="00991995"/>
    <w:rsid w:val="00991BAA"/>
    <w:rsid w:val="00994F57"/>
    <w:rsid w:val="009957B6"/>
    <w:rsid w:val="00996C78"/>
    <w:rsid w:val="009978B8"/>
    <w:rsid w:val="009A1CE6"/>
    <w:rsid w:val="009A201D"/>
    <w:rsid w:val="009A6C48"/>
    <w:rsid w:val="009A6D64"/>
    <w:rsid w:val="009A6E63"/>
    <w:rsid w:val="009A7131"/>
    <w:rsid w:val="009B002F"/>
    <w:rsid w:val="009B0D08"/>
    <w:rsid w:val="009B156B"/>
    <w:rsid w:val="009B257E"/>
    <w:rsid w:val="009B2A47"/>
    <w:rsid w:val="009B4A44"/>
    <w:rsid w:val="009D0264"/>
    <w:rsid w:val="009D1991"/>
    <w:rsid w:val="009D3A52"/>
    <w:rsid w:val="009E517B"/>
    <w:rsid w:val="009E58CF"/>
    <w:rsid w:val="009E5E65"/>
    <w:rsid w:val="009E6644"/>
    <w:rsid w:val="009E788B"/>
    <w:rsid w:val="009F0D79"/>
    <w:rsid w:val="009F0E89"/>
    <w:rsid w:val="009F1E3B"/>
    <w:rsid w:val="009F2396"/>
    <w:rsid w:val="009F4FF2"/>
    <w:rsid w:val="009F5D37"/>
    <w:rsid w:val="009F7C49"/>
    <w:rsid w:val="00A00112"/>
    <w:rsid w:val="00A213D3"/>
    <w:rsid w:val="00A24A39"/>
    <w:rsid w:val="00A30149"/>
    <w:rsid w:val="00A371AD"/>
    <w:rsid w:val="00A44EF9"/>
    <w:rsid w:val="00A462CA"/>
    <w:rsid w:val="00A50D23"/>
    <w:rsid w:val="00A56186"/>
    <w:rsid w:val="00A56603"/>
    <w:rsid w:val="00A602FF"/>
    <w:rsid w:val="00A60996"/>
    <w:rsid w:val="00A61AF9"/>
    <w:rsid w:val="00A65CC5"/>
    <w:rsid w:val="00A67E67"/>
    <w:rsid w:val="00A705F3"/>
    <w:rsid w:val="00A75728"/>
    <w:rsid w:val="00A80B15"/>
    <w:rsid w:val="00A844D4"/>
    <w:rsid w:val="00A84EA9"/>
    <w:rsid w:val="00A86861"/>
    <w:rsid w:val="00A917AB"/>
    <w:rsid w:val="00AA109C"/>
    <w:rsid w:val="00AA19F8"/>
    <w:rsid w:val="00AA2281"/>
    <w:rsid w:val="00AA29E9"/>
    <w:rsid w:val="00AA49C8"/>
    <w:rsid w:val="00AA5B73"/>
    <w:rsid w:val="00AA7E96"/>
    <w:rsid w:val="00AB3B34"/>
    <w:rsid w:val="00AB46E0"/>
    <w:rsid w:val="00AB4F08"/>
    <w:rsid w:val="00AC2221"/>
    <w:rsid w:val="00AC306A"/>
    <w:rsid w:val="00AC46B9"/>
    <w:rsid w:val="00AC7007"/>
    <w:rsid w:val="00AC7180"/>
    <w:rsid w:val="00AD3B95"/>
    <w:rsid w:val="00AE1015"/>
    <w:rsid w:val="00AE371D"/>
    <w:rsid w:val="00AE5495"/>
    <w:rsid w:val="00AE56A1"/>
    <w:rsid w:val="00AF0CE8"/>
    <w:rsid w:val="00AF104D"/>
    <w:rsid w:val="00AF135F"/>
    <w:rsid w:val="00AF16AF"/>
    <w:rsid w:val="00AF16D8"/>
    <w:rsid w:val="00AF35CD"/>
    <w:rsid w:val="00AF6AAF"/>
    <w:rsid w:val="00B00E6D"/>
    <w:rsid w:val="00B03378"/>
    <w:rsid w:val="00B114EC"/>
    <w:rsid w:val="00B149F2"/>
    <w:rsid w:val="00B22507"/>
    <w:rsid w:val="00B250D6"/>
    <w:rsid w:val="00B254BD"/>
    <w:rsid w:val="00B25C93"/>
    <w:rsid w:val="00B26174"/>
    <w:rsid w:val="00B31225"/>
    <w:rsid w:val="00B360A9"/>
    <w:rsid w:val="00B36DC7"/>
    <w:rsid w:val="00B46E11"/>
    <w:rsid w:val="00B6114A"/>
    <w:rsid w:val="00B62B56"/>
    <w:rsid w:val="00B711A6"/>
    <w:rsid w:val="00B7142F"/>
    <w:rsid w:val="00B73342"/>
    <w:rsid w:val="00B76965"/>
    <w:rsid w:val="00B81876"/>
    <w:rsid w:val="00B81B51"/>
    <w:rsid w:val="00BA1228"/>
    <w:rsid w:val="00BA2383"/>
    <w:rsid w:val="00BA45DB"/>
    <w:rsid w:val="00BA559D"/>
    <w:rsid w:val="00BB308F"/>
    <w:rsid w:val="00BB6326"/>
    <w:rsid w:val="00BC0CD7"/>
    <w:rsid w:val="00BC1EE6"/>
    <w:rsid w:val="00BC4460"/>
    <w:rsid w:val="00BD0AF3"/>
    <w:rsid w:val="00BD2B2B"/>
    <w:rsid w:val="00BD4010"/>
    <w:rsid w:val="00BE1C85"/>
    <w:rsid w:val="00BE2746"/>
    <w:rsid w:val="00BE7BEC"/>
    <w:rsid w:val="00BE7D53"/>
    <w:rsid w:val="00BE7E10"/>
    <w:rsid w:val="00BF6049"/>
    <w:rsid w:val="00C019F9"/>
    <w:rsid w:val="00C03474"/>
    <w:rsid w:val="00C0623B"/>
    <w:rsid w:val="00C117EE"/>
    <w:rsid w:val="00C22212"/>
    <w:rsid w:val="00C24AE5"/>
    <w:rsid w:val="00C26484"/>
    <w:rsid w:val="00C356F8"/>
    <w:rsid w:val="00C41103"/>
    <w:rsid w:val="00C4462F"/>
    <w:rsid w:val="00C45380"/>
    <w:rsid w:val="00C473A9"/>
    <w:rsid w:val="00C508F1"/>
    <w:rsid w:val="00C50917"/>
    <w:rsid w:val="00C52551"/>
    <w:rsid w:val="00C54DAB"/>
    <w:rsid w:val="00C55F11"/>
    <w:rsid w:val="00C561E4"/>
    <w:rsid w:val="00C61B3C"/>
    <w:rsid w:val="00C63181"/>
    <w:rsid w:val="00C64FCF"/>
    <w:rsid w:val="00C71E42"/>
    <w:rsid w:val="00C85DB3"/>
    <w:rsid w:val="00C86488"/>
    <w:rsid w:val="00C86E4E"/>
    <w:rsid w:val="00C8742C"/>
    <w:rsid w:val="00C90336"/>
    <w:rsid w:val="00C92638"/>
    <w:rsid w:val="00C93834"/>
    <w:rsid w:val="00C96162"/>
    <w:rsid w:val="00CB670A"/>
    <w:rsid w:val="00CC0001"/>
    <w:rsid w:val="00CC2F8D"/>
    <w:rsid w:val="00CC3BA9"/>
    <w:rsid w:val="00CD2D86"/>
    <w:rsid w:val="00CD5202"/>
    <w:rsid w:val="00CE11F4"/>
    <w:rsid w:val="00CE180A"/>
    <w:rsid w:val="00CE5441"/>
    <w:rsid w:val="00CE6BC4"/>
    <w:rsid w:val="00CF1497"/>
    <w:rsid w:val="00CF2367"/>
    <w:rsid w:val="00CF49DB"/>
    <w:rsid w:val="00CF71DE"/>
    <w:rsid w:val="00D0149B"/>
    <w:rsid w:val="00D029E8"/>
    <w:rsid w:val="00D02A11"/>
    <w:rsid w:val="00D113D1"/>
    <w:rsid w:val="00D13CE3"/>
    <w:rsid w:val="00D21906"/>
    <w:rsid w:val="00D21EB5"/>
    <w:rsid w:val="00D2250D"/>
    <w:rsid w:val="00D250F8"/>
    <w:rsid w:val="00D30904"/>
    <w:rsid w:val="00D309F3"/>
    <w:rsid w:val="00D33C00"/>
    <w:rsid w:val="00D357E4"/>
    <w:rsid w:val="00D369A9"/>
    <w:rsid w:val="00D40615"/>
    <w:rsid w:val="00D40D5C"/>
    <w:rsid w:val="00D443CD"/>
    <w:rsid w:val="00D4447B"/>
    <w:rsid w:val="00D4759A"/>
    <w:rsid w:val="00D478E5"/>
    <w:rsid w:val="00D50310"/>
    <w:rsid w:val="00D5045B"/>
    <w:rsid w:val="00D50FAD"/>
    <w:rsid w:val="00D550A6"/>
    <w:rsid w:val="00D6076A"/>
    <w:rsid w:val="00D61E8C"/>
    <w:rsid w:val="00D62733"/>
    <w:rsid w:val="00D6387E"/>
    <w:rsid w:val="00D66F15"/>
    <w:rsid w:val="00D71367"/>
    <w:rsid w:val="00D71EF5"/>
    <w:rsid w:val="00D74829"/>
    <w:rsid w:val="00D80AC3"/>
    <w:rsid w:val="00D80B2D"/>
    <w:rsid w:val="00D83F0B"/>
    <w:rsid w:val="00D92893"/>
    <w:rsid w:val="00D945F1"/>
    <w:rsid w:val="00D95DD9"/>
    <w:rsid w:val="00D96936"/>
    <w:rsid w:val="00D97C8C"/>
    <w:rsid w:val="00DA025D"/>
    <w:rsid w:val="00DA4EF8"/>
    <w:rsid w:val="00DB39EB"/>
    <w:rsid w:val="00DB4149"/>
    <w:rsid w:val="00DB7518"/>
    <w:rsid w:val="00DC54E5"/>
    <w:rsid w:val="00DD5521"/>
    <w:rsid w:val="00DD6C98"/>
    <w:rsid w:val="00DE0E90"/>
    <w:rsid w:val="00DE0FC6"/>
    <w:rsid w:val="00DE6C58"/>
    <w:rsid w:val="00DF0ABB"/>
    <w:rsid w:val="00DF141F"/>
    <w:rsid w:val="00DF1A98"/>
    <w:rsid w:val="00E0024E"/>
    <w:rsid w:val="00E0491B"/>
    <w:rsid w:val="00E05DD5"/>
    <w:rsid w:val="00E07847"/>
    <w:rsid w:val="00E07D80"/>
    <w:rsid w:val="00E12AEF"/>
    <w:rsid w:val="00E15E0A"/>
    <w:rsid w:val="00E16BB7"/>
    <w:rsid w:val="00E236AE"/>
    <w:rsid w:val="00E24DF0"/>
    <w:rsid w:val="00E2637A"/>
    <w:rsid w:val="00E27EF1"/>
    <w:rsid w:val="00E31608"/>
    <w:rsid w:val="00E31782"/>
    <w:rsid w:val="00E325C3"/>
    <w:rsid w:val="00E32E72"/>
    <w:rsid w:val="00E4056F"/>
    <w:rsid w:val="00E4358A"/>
    <w:rsid w:val="00E44A82"/>
    <w:rsid w:val="00E45695"/>
    <w:rsid w:val="00E457FD"/>
    <w:rsid w:val="00E46D57"/>
    <w:rsid w:val="00E47260"/>
    <w:rsid w:val="00E506A7"/>
    <w:rsid w:val="00E50FDC"/>
    <w:rsid w:val="00E633F3"/>
    <w:rsid w:val="00E63956"/>
    <w:rsid w:val="00E6565D"/>
    <w:rsid w:val="00E65FF8"/>
    <w:rsid w:val="00E67F7B"/>
    <w:rsid w:val="00E76233"/>
    <w:rsid w:val="00E805D5"/>
    <w:rsid w:val="00E811C1"/>
    <w:rsid w:val="00E83A9E"/>
    <w:rsid w:val="00E84987"/>
    <w:rsid w:val="00E86276"/>
    <w:rsid w:val="00E86B9E"/>
    <w:rsid w:val="00E92B99"/>
    <w:rsid w:val="00E92D0A"/>
    <w:rsid w:val="00E94082"/>
    <w:rsid w:val="00EA3F60"/>
    <w:rsid w:val="00EB10D1"/>
    <w:rsid w:val="00EB2F58"/>
    <w:rsid w:val="00EB5811"/>
    <w:rsid w:val="00EC45FE"/>
    <w:rsid w:val="00EC57C3"/>
    <w:rsid w:val="00ED244A"/>
    <w:rsid w:val="00ED37EE"/>
    <w:rsid w:val="00EE00FB"/>
    <w:rsid w:val="00EE31CC"/>
    <w:rsid w:val="00EE3375"/>
    <w:rsid w:val="00EE4AE9"/>
    <w:rsid w:val="00EE5AAF"/>
    <w:rsid w:val="00EE5CB3"/>
    <w:rsid w:val="00EE7FC6"/>
    <w:rsid w:val="00EF05FD"/>
    <w:rsid w:val="00EF2F64"/>
    <w:rsid w:val="00EF332F"/>
    <w:rsid w:val="00EF6368"/>
    <w:rsid w:val="00F001D3"/>
    <w:rsid w:val="00F03445"/>
    <w:rsid w:val="00F04124"/>
    <w:rsid w:val="00F042A4"/>
    <w:rsid w:val="00F11676"/>
    <w:rsid w:val="00F11797"/>
    <w:rsid w:val="00F11A69"/>
    <w:rsid w:val="00F14B77"/>
    <w:rsid w:val="00F159A7"/>
    <w:rsid w:val="00F159B7"/>
    <w:rsid w:val="00F204E3"/>
    <w:rsid w:val="00F20F32"/>
    <w:rsid w:val="00F22A85"/>
    <w:rsid w:val="00F2323B"/>
    <w:rsid w:val="00F26582"/>
    <w:rsid w:val="00F2739F"/>
    <w:rsid w:val="00F33381"/>
    <w:rsid w:val="00F337C0"/>
    <w:rsid w:val="00F35531"/>
    <w:rsid w:val="00F371FA"/>
    <w:rsid w:val="00F4051E"/>
    <w:rsid w:val="00F4179B"/>
    <w:rsid w:val="00F46B54"/>
    <w:rsid w:val="00F46FD1"/>
    <w:rsid w:val="00F523F7"/>
    <w:rsid w:val="00F53CDA"/>
    <w:rsid w:val="00F54044"/>
    <w:rsid w:val="00F54F23"/>
    <w:rsid w:val="00F57647"/>
    <w:rsid w:val="00F60291"/>
    <w:rsid w:val="00F621E5"/>
    <w:rsid w:val="00F62BB6"/>
    <w:rsid w:val="00F63572"/>
    <w:rsid w:val="00F64F9C"/>
    <w:rsid w:val="00F6639C"/>
    <w:rsid w:val="00F70177"/>
    <w:rsid w:val="00F702B1"/>
    <w:rsid w:val="00F70F9F"/>
    <w:rsid w:val="00F7100A"/>
    <w:rsid w:val="00F712C6"/>
    <w:rsid w:val="00F750D7"/>
    <w:rsid w:val="00F80214"/>
    <w:rsid w:val="00F80E96"/>
    <w:rsid w:val="00F84C7F"/>
    <w:rsid w:val="00F86689"/>
    <w:rsid w:val="00F91836"/>
    <w:rsid w:val="00F91DB5"/>
    <w:rsid w:val="00FA0CE4"/>
    <w:rsid w:val="00FA1686"/>
    <w:rsid w:val="00FA1904"/>
    <w:rsid w:val="00FA57CB"/>
    <w:rsid w:val="00FB3635"/>
    <w:rsid w:val="00FB6D86"/>
    <w:rsid w:val="00FC35B1"/>
    <w:rsid w:val="00FC4EEF"/>
    <w:rsid w:val="00FD0D5F"/>
    <w:rsid w:val="00FD3BCA"/>
    <w:rsid w:val="00FD7F49"/>
    <w:rsid w:val="00FE14FC"/>
    <w:rsid w:val="00FE1DA0"/>
    <w:rsid w:val="00FE378D"/>
    <w:rsid w:val="00FE63AA"/>
    <w:rsid w:val="00FE6A7A"/>
    <w:rsid w:val="00FE6EA1"/>
    <w:rsid w:val="00FF1E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28E4F1"/>
  <w15:docId w15:val="{F239E67B-2333-4D4B-8B98-B69AAF0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nhideWhenUsed/>
    <w:qFormat/>
    <w:rsid w:val="00EF63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alloonText">
    <w:name w:val="Balloon Text"/>
    <w:basedOn w:val="Normal"/>
    <w:link w:val="BalloonTextChar"/>
    <w:rsid w:val="00C92638"/>
    <w:rPr>
      <w:rFonts w:ascii="Tahoma" w:hAnsi="Tahoma" w:cs="Tahoma"/>
      <w:sz w:val="16"/>
      <w:szCs w:val="16"/>
    </w:rPr>
  </w:style>
  <w:style w:type="character" w:customStyle="1" w:styleId="BalloonTextChar">
    <w:name w:val="Balloon Text Char"/>
    <w:basedOn w:val="DefaultParagraphFont"/>
    <w:link w:val="BalloonText"/>
    <w:rsid w:val="00C92638"/>
    <w:rPr>
      <w:rFonts w:ascii="Tahoma" w:hAnsi="Tahoma" w:cs="Tahoma"/>
      <w:sz w:val="16"/>
      <w:szCs w:val="16"/>
    </w:rPr>
  </w:style>
  <w:style w:type="character" w:styleId="CommentReference">
    <w:name w:val="annotation reference"/>
    <w:basedOn w:val="DefaultParagraphFont"/>
    <w:rsid w:val="00BD4010"/>
    <w:rPr>
      <w:sz w:val="16"/>
      <w:szCs w:val="16"/>
    </w:rPr>
  </w:style>
  <w:style w:type="paragraph" w:styleId="CommentText">
    <w:name w:val="annotation text"/>
    <w:basedOn w:val="Normal"/>
    <w:link w:val="CommentTextChar"/>
    <w:uiPriority w:val="99"/>
    <w:rsid w:val="00BD4010"/>
    <w:rPr>
      <w:sz w:val="20"/>
    </w:rPr>
  </w:style>
  <w:style w:type="character" w:customStyle="1" w:styleId="CommentTextChar">
    <w:name w:val="Comment Text Char"/>
    <w:basedOn w:val="DefaultParagraphFont"/>
    <w:link w:val="CommentText"/>
    <w:uiPriority w:val="99"/>
    <w:rsid w:val="00BD4010"/>
  </w:style>
  <w:style w:type="paragraph" w:styleId="CommentSubject">
    <w:name w:val="annotation subject"/>
    <w:basedOn w:val="CommentText"/>
    <w:next w:val="CommentText"/>
    <w:link w:val="CommentSubjectChar"/>
    <w:rsid w:val="00BD4010"/>
    <w:rPr>
      <w:b/>
      <w:bCs/>
    </w:rPr>
  </w:style>
  <w:style w:type="character" w:customStyle="1" w:styleId="CommentSubjectChar">
    <w:name w:val="Comment Subject Char"/>
    <w:basedOn w:val="CommentTextChar"/>
    <w:link w:val="CommentSubject"/>
    <w:rsid w:val="00BD4010"/>
    <w:rPr>
      <w:b/>
      <w:bCs/>
    </w:rPr>
  </w:style>
  <w:style w:type="paragraph" w:styleId="ListParagraph">
    <w:name w:val="List Paragraph"/>
    <w:basedOn w:val="Normal"/>
    <w:uiPriority w:val="34"/>
    <w:qFormat/>
    <w:rsid w:val="00CE11F4"/>
    <w:pPr>
      <w:ind w:left="720"/>
      <w:contextualSpacing/>
    </w:pPr>
  </w:style>
  <w:style w:type="paragraph" w:styleId="Revision">
    <w:name w:val="Revision"/>
    <w:hidden/>
    <w:uiPriority w:val="99"/>
    <w:semiHidden/>
    <w:rsid w:val="00E633F3"/>
    <w:rPr>
      <w:sz w:val="24"/>
    </w:rPr>
  </w:style>
  <w:style w:type="paragraph" w:customStyle="1" w:styleId="Default">
    <w:name w:val="Default"/>
    <w:rsid w:val="00AF104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54FA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54FAA"/>
    <w:rPr>
      <w:rFonts w:ascii="Calibri" w:eastAsiaTheme="minorHAnsi" w:hAnsi="Calibri" w:cstheme="minorBidi"/>
      <w:sz w:val="22"/>
      <w:szCs w:val="21"/>
      <w:lang w:eastAsia="en-US"/>
    </w:rPr>
  </w:style>
  <w:style w:type="paragraph" w:styleId="FootnoteText">
    <w:name w:val="footnote text"/>
    <w:basedOn w:val="Normal"/>
    <w:link w:val="FootnoteTextChar"/>
    <w:semiHidden/>
    <w:rsid w:val="00CC2F8D"/>
    <w:pPr>
      <w:spacing w:before="120" w:after="180"/>
      <w:ind w:left="85" w:right="85"/>
    </w:pPr>
    <w:rPr>
      <w:rFonts w:ascii="Times" w:hAnsi="Times"/>
      <w:sz w:val="20"/>
      <w:lang w:val="en-GB" w:eastAsia="en-US"/>
    </w:rPr>
  </w:style>
  <w:style w:type="character" w:customStyle="1" w:styleId="FootnoteTextChar">
    <w:name w:val="Footnote Text Char"/>
    <w:basedOn w:val="DefaultParagraphFont"/>
    <w:link w:val="FootnoteText"/>
    <w:semiHidden/>
    <w:rsid w:val="00CC2F8D"/>
    <w:rPr>
      <w:rFonts w:ascii="Times" w:hAnsi="Times"/>
      <w:lang w:val="en-GB" w:eastAsia="en-US"/>
    </w:rPr>
  </w:style>
  <w:style w:type="character" w:styleId="FootnoteReference">
    <w:name w:val="footnote reference"/>
    <w:rsid w:val="00CC2F8D"/>
    <w:rPr>
      <w:vertAlign w:val="superscript"/>
    </w:rPr>
  </w:style>
  <w:style w:type="table" w:styleId="TableGrid">
    <w:name w:val="Table Grid"/>
    <w:basedOn w:val="TableNormal"/>
    <w:uiPriority w:val="39"/>
    <w:rsid w:val="00CC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45DB"/>
    <w:pPr>
      <w:spacing w:before="100" w:beforeAutospacing="1" w:after="100" w:afterAutospacing="1"/>
    </w:pPr>
    <w:rPr>
      <w:szCs w:val="24"/>
    </w:rPr>
  </w:style>
  <w:style w:type="paragraph" w:styleId="Caption">
    <w:name w:val="caption"/>
    <w:basedOn w:val="Normal"/>
    <w:next w:val="Normal"/>
    <w:unhideWhenUsed/>
    <w:qFormat/>
    <w:rsid w:val="00905D5F"/>
    <w:pPr>
      <w:spacing w:after="200"/>
    </w:pPr>
    <w:rPr>
      <w:i/>
      <w:iCs/>
      <w:color w:val="1F497D" w:themeColor="text2"/>
      <w:sz w:val="18"/>
      <w:szCs w:val="18"/>
    </w:rPr>
  </w:style>
  <w:style w:type="paragraph" w:styleId="NoSpacing">
    <w:name w:val="No Spacing"/>
    <w:uiPriority w:val="1"/>
    <w:qFormat/>
    <w:rsid w:val="006F756C"/>
    <w:rPr>
      <w:rFonts w:asciiTheme="minorHAnsi" w:eastAsiaTheme="minorHAnsi" w:hAnsiTheme="minorHAnsi" w:cstheme="minorBidi"/>
      <w:sz w:val="22"/>
      <w:szCs w:val="22"/>
      <w:lang w:eastAsia="en-US"/>
    </w:rPr>
  </w:style>
  <w:style w:type="paragraph" w:customStyle="1" w:styleId="Tilfelt">
    <w:name w:val="Tilfelt"/>
    <w:basedOn w:val="Normal"/>
    <w:rsid w:val="00200D1F"/>
    <w:pPr>
      <w:spacing w:after="20"/>
      <w:ind w:left="85" w:right="85"/>
    </w:pPr>
    <w:rPr>
      <w:rFonts w:ascii="Arial" w:hAnsi="Arial"/>
      <w:szCs w:val="24"/>
      <w:lang w:eastAsia="en-US"/>
    </w:rPr>
  </w:style>
  <w:style w:type="character" w:customStyle="1" w:styleId="Heading4Char">
    <w:name w:val="Heading 4 Char"/>
    <w:basedOn w:val="DefaultParagraphFont"/>
    <w:link w:val="Heading4"/>
    <w:rsid w:val="00EF6368"/>
    <w:rPr>
      <w:rFonts w:asciiTheme="majorHAnsi" w:eastAsiaTheme="majorEastAsia" w:hAnsiTheme="majorHAnsi" w:cstheme="majorBidi"/>
      <w:i/>
      <w:iCs/>
      <w:color w:val="365F91" w:themeColor="accent1" w:themeShade="BF"/>
      <w:sz w:val="24"/>
    </w:rPr>
  </w:style>
  <w:style w:type="character" w:styleId="Hyperlink">
    <w:name w:val="Hyperlink"/>
    <w:basedOn w:val="DefaultParagraphFont"/>
    <w:unhideWhenUsed/>
    <w:rsid w:val="00DA0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743">
      <w:bodyDiv w:val="1"/>
      <w:marLeft w:val="0"/>
      <w:marRight w:val="0"/>
      <w:marTop w:val="0"/>
      <w:marBottom w:val="0"/>
      <w:divBdr>
        <w:top w:val="none" w:sz="0" w:space="0" w:color="auto"/>
        <w:left w:val="none" w:sz="0" w:space="0" w:color="auto"/>
        <w:bottom w:val="none" w:sz="0" w:space="0" w:color="auto"/>
        <w:right w:val="none" w:sz="0" w:space="0" w:color="auto"/>
      </w:divBdr>
    </w:div>
    <w:div w:id="58793262">
      <w:bodyDiv w:val="1"/>
      <w:marLeft w:val="0"/>
      <w:marRight w:val="0"/>
      <w:marTop w:val="0"/>
      <w:marBottom w:val="0"/>
      <w:divBdr>
        <w:top w:val="none" w:sz="0" w:space="0" w:color="auto"/>
        <w:left w:val="none" w:sz="0" w:space="0" w:color="auto"/>
        <w:bottom w:val="none" w:sz="0" w:space="0" w:color="auto"/>
        <w:right w:val="none" w:sz="0" w:space="0" w:color="auto"/>
      </w:divBdr>
    </w:div>
    <w:div w:id="62802355">
      <w:bodyDiv w:val="1"/>
      <w:marLeft w:val="0"/>
      <w:marRight w:val="0"/>
      <w:marTop w:val="0"/>
      <w:marBottom w:val="0"/>
      <w:divBdr>
        <w:top w:val="none" w:sz="0" w:space="0" w:color="auto"/>
        <w:left w:val="none" w:sz="0" w:space="0" w:color="auto"/>
        <w:bottom w:val="none" w:sz="0" w:space="0" w:color="auto"/>
        <w:right w:val="none" w:sz="0" w:space="0" w:color="auto"/>
      </w:divBdr>
    </w:div>
    <w:div w:id="483282578">
      <w:bodyDiv w:val="1"/>
      <w:marLeft w:val="0"/>
      <w:marRight w:val="0"/>
      <w:marTop w:val="0"/>
      <w:marBottom w:val="0"/>
      <w:divBdr>
        <w:top w:val="none" w:sz="0" w:space="0" w:color="auto"/>
        <w:left w:val="none" w:sz="0" w:space="0" w:color="auto"/>
        <w:bottom w:val="none" w:sz="0" w:space="0" w:color="auto"/>
        <w:right w:val="none" w:sz="0" w:space="0" w:color="auto"/>
      </w:divBdr>
    </w:div>
    <w:div w:id="492189148">
      <w:bodyDiv w:val="1"/>
      <w:marLeft w:val="0"/>
      <w:marRight w:val="0"/>
      <w:marTop w:val="0"/>
      <w:marBottom w:val="0"/>
      <w:divBdr>
        <w:top w:val="none" w:sz="0" w:space="0" w:color="auto"/>
        <w:left w:val="none" w:sz="0" w:space="0" w:color="auto"/>
        <w:bottom w:val="none" w:sz="0" w:space="0" w:color="auto"/>
        <w:right w:val="none" w:sz="0" w:space="0" w:color="auto"/>
      </w:divBdr>
    </w:div>
    <w:div w:id="492523898">
      <w:bodyDiv w:val="1"/>
      <w:marLeft w:val="0"/>
      <w:marRight w:val="0"/>
      <w:marTop w:val="0"/>
      <w:marBottom w:val="0"/>
      <w:divBdr>
        <w:top w:val="none" w:sz="0" w:space="0" w:color="auto"/>
        <w:left w:val="none" w:sz="0" w:space="0" w:color="auto"/>
        <w:bottom w:val="none" w:sz="0" w:space="0" w:color="auto"/>
        <w:right w:val="none" w:sz="0" w:space="0" w:color="auto"/>
      </w:divBdr>
    </w:div>
    <w:div w:id="612593942">
      <w:bodyDiv w:val="1"/>
      <w:marLeft w:val="0"/>
      <w:marRight w:val="0"/>
      <w:marTop w:val="0"/>
      <w:marBottom w:val="0"/>
      <w:divBdr>
        <w:top w:val="none" w:sz="0" w:space="0" w:color="auto"/>
        <w:left w:val="none" w:sz="0" w:space="0" w:color="auto"/>
        <w:bottom w:val="none" w:sz="0" w:space="0" w:color="auto"/>
        <w:right w:val="none" w:sz="0" w:space="0" w:color="auto"/>
      </w:divBdr>
    </w:div>
    <w:div w:id="646014617">
      <w:bodyDiv w:val="1"/>
      <w:marLeft w:val="0"/>
      <w:marRight w:val="0"/>
      <w:marTop w:val="0"/>
      <w:marBottom w:val="0"/>
      <w:divBdr>
        <w:top w:val="none" w:sz="0" w:space="0" w:color="auto"/>
        <w:left w:val="none" w:sz="0" w:space="0" w:color="auto"/>
        <w:bottom w:val="none" w:sz="0" w:space="0" w:color="auto"/>
        <w:right w:val="none" w:sz="0" w:space="0" w:color="auto"/>
      </w:divBdr>
      <w:divsChild>
        <w:div w:id="277294068">
          <w:marLeft w:val="547"/>
          <w:marRight w:val="0"/>
          <w:marTop w:val="96"/>
          <w:marBottom w:val="0"/>
          <w:divBdr>
            <w:top w:val="none" w:sz="0" w:space="0" w:color="auto"/>
            <w:left w:val="none" w:sz="0" w:space="0" w:color="auto"/>
            <w:bottom w:val="none" w:sz="0" w:space="0" w:color="auto"/>
            <w:right w:val="none" w:sz="0" w:space="0" w:color="auto"/>
          </w:divBdr>
        </w:div>
        <w:div w:id="646667366">
          <w:marLeft w:val="547"/>
          <w:marRight w:val="0"/>
          <w:marTop w:val="96"/>
          <w:marBottom w:val="0"/>
          <w:divBdr>
            <w:top w:val="none" w:sz="0" w:space="0" w:color="auto"/>
            <w:left w:val="none" w:sz="0" w:space="0" w:color="auto"/>
            <w:bottom w:val="none" w:sz="0" w:space="0" w:color="auto"/>
            <w:right w:val="none" w:sz="0" w:space="0" w:color="auto"/>
          </w:divBdr>
        </w:div>
        <w:div w:id="1547716070">
          <w:marLeft w:val="547"/>
          <w:marRight w:val="0"/>
          <w:marTop w:val="96"/>
          <w:marBottom w:val="0"/>
          <w:divBdr>
            <w:top w:val="none" w:sz="0" w:space="0" w:color="auto"/>
            <w:left w:val="none" w:sz="0" w:space="0" w:color="auto"/>
            <w:bottom w:val="none" w:sz="0" w:space="0" w:color="auto"/>
            <w:right w:val="none" w:sz="0" w:space="0" w:color="auto"/>
          </w:divBdr>
        </w:div>
        <w:div w:id="262685327">
          <w:marLeft w:val="547"/>
          <w:marRight w:val="0"/>
          <w:marTop w:val="96"/>
          <w:marBottom w:val="0"/>
          <w:divBdr>
            <w:top w:val="none" w:sz="0" w:space="0" w:color="auto"/>
            <w:left w:val="none" w:sz="0" w:space="0" w:color="auto"/>
            <w:bottom w:val="none" w:sz="0" w:space="0" w:color="auto"/>
            <w:right w:val="none" w:sz="0" w:space="0" w:color="auto"/>
          </w:divBdr>
        </w:div>
        <w:div w:id="1655602576">
          <w:marLeft w:val="547"/>
          <w:marRight w:val="0"/>
          <w:marTop w:val="96"/>
          <w:marBottom w:val="0"/>
          <w:divBdr>
            <w:top w:val="none" w:sz="0" w:space="0" w:color="auto"/>
            <w:left w:val="none" w:sz="0" w:space="0" w:color="auto"/>
            <w:bottom w:val="none" w:sz="0" w:space="0" w:color="auto"/>
            <w:right w:val="none" w:sz="0" w:space="0" w:color="auto"/>
          </w:divBdr>
        </w:div>
        <w:div w:id="1183014350">
          <w:marLeft w:val="547"/>
          <w:marRight w:val="0"/>
          <w:marTop w:val="96"/>
          <w:marBottom w:val="0"/>
          <w:divBdr>
            <w:top w:val="none" w:sz="0" w:space="0" w:color="auto"/>
            <w:left w:val="none" w:sz="0" w:space="0" w:color="auto"/>
            <w:bottom w:val="none" w:sz="0" w:space="0" w:color="auto"/>
            <w:right w:val="none" w:sz="0" w:space="0" w:color="auto"/>
          </w:divBdr>
        </w:div>
        <w:div w:id="24336511">
          <w:marLeft w:val="547"/>
          <w:marRight w:val="0"/>
          <w:marTop w:val="96"/>
          <w:marBottom w:val="0"/>
          <w:divBdr>
            <w:top w:val="none" w:sz="0" w:space="0" w:color="auto"/>
            <w:left w:val="none" w:sz="0" w:space="0" w:color="auto"/>
            <w:bottom w:val="none" w:sz="0" w:space="0" w:color="auto"/>
            <w:right w:val="none" w:sz="0" w:space="0" w:color="auto"/>
          </w:divBdr>
        </w:div>
      </w:divsChild>
    </w:div>
    <w:div w:id="647981027">
      <w:bodyDiv w:val="1"/>
      <w:marLeft w:val="0"/>
      <w:marRight w:val="0"/>
      <w:marTop w:val="0"/>
      <w:marBottom w:val="0"/>
      <w:divBdr>
        <w:top w:val="none" w:sz="0" w:space="0" w:color="auto"/>
        <w:left w:val="none" w:sz="0" w:space="0" w:color="auto"/>
        <w:bottom w:val="none" w:sz="0" w:space="0" w:color="auto"/>
        <w:right w:val="none" w:sz="0" w:space="0" w:color="auto"/>
      </w:divBdr>
    </w:div>
    <w:div w:id="680274702">
      <w:bodyDiv w:val="1"/>
      <w:marLeft w:val="0"/>
      <w:marRight w:val="0"/>
      <w:marTop w:val="0"/>
      <w:marBottom w:val="0"/>
      <w:divBdr>
        <w:top w:val="none" w:sz="0" w:space="0" w:color="auto"/>
        <w:left w:val="none" w:sz="0" w:space="0" w:color="auto"/>
        <w:bottom w:val="none" w:sz="0" w:space="0" w:color="auto"/>
        <w:right w:val="none" w:sz="0" w:space="0" w:color="auto"/>
      </w:divBdr>
    </w:div>
    <w:div w:id="944926505">
      <w:bodyDiv w:val="1"/>
      <w:marLeft w:val="0"/>
      <w:marRight w:val="0"/>
      <w:marTop w:val="0"/>
      <w:marBottom w:val="0"/>
      <w:divBdr>
        <w:top w:val="none" w:sz="0" w:space="0" w:color="auto"/>
        <w:left w:val="none" w:sz="0" w:space="0" w:color="auto"/>
        <w:bottom w:val="none" w:sz="0" w:space="0" w:color="auto"/>
        <w:right w:val="none" w:sz="0" w:space="0" w:color="auto"/>
      </w:divBdr>
    </w:div>
    <w:div w:id="958489638">
      <w:bodyDiv w:val="1"/>
      <w:marLeft w:val="0"/>
      <w:marRight w:val="0"/>
      <w:marTop w:val="0"/>
      <w:marBottom w:val="0"/>
      <w:divBdr>
        <w:top w:val="none" w:sz="0" w:space="0" w:color="auto"/>
        <w:left w:val="none" w:sz="0" w:space="0" w:color="auto"/>
        <w:bottom w:val="none" w:sz="0" w:space="0" w:color="auto"/>
        <w:right w:val="none" w:sz="0" w:space="0" w:color="auto"/>
      </w:divBdr>
    </w:div>
    <w:div w:id="1098015974">
      <w:bodyDiv w:val="1"/>
      <w:marLeft w:val="0"/>
      <w:marRight w:val="0"/>
      <w:marTop w:val="0"/>
      <w:marBottom w:val="0"/>
      <w:divBdr>
        <w:top w:val="none" w:sz="0" w:space="0" w:color="auto"/>
        <w:left w:val="none" w:sz="0" w:space="0" w:color="auto"/>
        <w:bottom w:val="none" w:sz="0" w:space="0" w:color="auto"/>
        <w:right w:val="none" w:sz="0" w:space="0" w:color="auto"/>
      </w:divBdr>
    </w:div>
    <w:div w:id="1236012708">
      <w:bodyDiv w:val="1"/>
      <w:marLeft w:val="0"/>
      <w:marRight w:val="0"/>
      <w:marTop w:val="0"/>
      <w:marBottom w:val="0"/>
      <w:divBdr>
        <w:top w:val="none" w:sz="0" w:space="0" w:color="auto"/>
        <w:left w:val="none" w:sz="0" w:space="0" w:color="auto"/>
        <w:bottom w:val="none" w:sz="0" w:space="0" w:color="auto"/>
        <w:right w:val="none" w:sz="0" w:space="0" w:color="auto"/>
      </w:divBdr>
    </w:div>
    <w:div w:id="1322539878">
      <w:bodyDiv w:val="1"/>
      <w:marLeft w:val="0"/>
      <w:marRight w:val="0"/>
      <w:marTop w:val="0"/>
      <w:marBottom w:val="0"/>
      <w:divBdr>
        <w:top w:val="none" w:sz="0" w:space="0" w:color="auto"/>
        <w:left w:val="none" w:sz="0" w:space="0" w:color="auto"/>
        <w:bottom w:val="none" w:sz="0" w:space="0" w:color="auto"/>
        <w:right w:val="none" w:sz="0" w:space="0" w:color="auto"/>
      </w:divBdr>
    </w:div>
    <w:div w:id="1358891207">
      <w:bodyDiv w:val="1"/>
      <w:marLeft w:val="0"/>
      <w:marRight w:val="0"/>
      <w:marTop w:val="0"/>
      <w:marBottom w:val="0"/>
      <w:divBdr>
        <w:top w:val="none" w:sz="0" w:space="0" w:color="auto"/>
        <w:left w:val="none" w:sz="0" w:space="0" w:color="auto"/>
        <w:bottom w:val="none" w:sz="0" w:space="0" w:color="auto"/>
        <w:right w:val="none" w:sz="0" w:space="0" w:color="auto"/>
      </w:divBdr>
    </w:div>
    <w:div w:id="1371030631">
      <w:bodyDiv w:val="1"/>
      <w:marLeft w:val="0"/>
      <w:marRight w:val="0"/>
      <w:marTop w:val="0"/>
      <w:marBottom w:val="0"/>
      <w:divBdr>
        <w:top w:val="none" w:sz="0" w:space="0" w:color="auto"/>
        <w:left w:val="none" w:sz="0" w:space="0" w:color="auto"/>
        <w:bottom w:val="none" w:sz="0" w:space="0" w:color="auto"/>
        <w:right w:val="none" w:sz="0" w:space="0" w:color="auto"/>
      </w:divBdr>
    </w:div>
    <w:div w:id="1392001479">
      <w:bodyDiv w:val="1"/>
      <w:marLeft w:val="0"/>
      <w:marRight w:val="0"/>
      <w:marTop w:val="0"/>
      <w:marBottom w:val="0"/>
      <w:divBdr>
        <w:top w:val="none" w:sz="0" w:space="0" w:color="auto"/>
        <w:left w:val="none" w:sz="0" w:space="0" w:color="auto"/>
        <w:bottom w:val="none" w:sz="0" w:space="0" w:color="auto"/>
        <w:right w:val="none" w:sz="0" w:space="0" w:color="auto"/>
      </w:divBdr>
    </w:div>
    <w:div w:id="1405568740">
      <w:bodyDiv w:val="1"/>
      <w:marLeft w:val="0"/>
      <w:marRight w:val="0"/>
      <w:marTop w:val="0"/>
      <w:marBottom w:val="0"/>
      <w:divBdr>
        <w:top w:val="none" w:sz="0" w:space="0" w:color="auto"/>
        <w:left w:val="none" w:sz="0" w:space="0" w:color="auto"/>
        <w:bottom w:val="none" w:sz="0" w:space="0" w:color="auto"/>
        <w:right w:val="none" w:sz="0" w:space="0" w:color="auto"/>
      </w:divBdr>
    </w:div>
    <w:div w:id="1471243909">
      <w:bodyDiv w:val="1"/>
      <w:marLeft w:val="0"/>
      <w:marRight w:val="0"/>
      <w:marTop w:val="0"/>
      <w:marBottom w:val="0"/>
      <w:divBdr>
        <w:top w:val="none" w:sz="0" w:space="0" w:color="auto"/>
        <w:left w:val="none" w:sz="0" w:space="0" w:color="auto"/>
        <w:bottom w:val="none" w:sz="0" w:space="0" w:color="auto"/>
        <w:right w:val="none" w:sz="0" w:space="0" w:color="auto"/>
      </w:divBdr>
    </w:div>
    <w:div w:id="1562129927">
      <w:bodyDiv w:val="1"/>
      <w:marLeft w:val="0"/>
      <w:marRight w:val="0"/>
      <w:marTop w:val="0"/>
      <w:marBottom w:val="0"/>
      <w:divBdr>
        <w:top w:val="none" w:sz="0" w:space="0" w:color="auto"/>
        <w:left w:val="none" w:sz="0" w:space="0" w:color="auto"/>
        <w:bottom w:val="none" w:sz="0" w:space="0" w:color="auto"/>
        <w:right w:val="none" w:sz="0" w:space="0" w:color="auto"/>
      </w:divBdr>
    </w:div>
    <w:div w:id="1926262867">
      <w:bodyDiv w:val="1"/>
      <w:marLeft w:val="0"/>
      <w:marRight w:val="0"/>
      <w:marTop w:val="0"/>
      <w:marBottom w:val="0"/>
      <w:divBdr>
        <w:top w:val="none" w:sz="0" w:space="0" w:color="auto"/>
        <w:left w:val="none" w:sz="0" w:space="0" w:color="auto"/>
        <w:bottom w:val="none" w:sz="0" w:space="0" w:color="auto"/>
        <w:right w:val="none" w:sz="0" w:space="0" w:color="auto"/>
      </w:divBdr>
    </w:div>
    <w:div w:id="1979332591">
      <w:bodyDiv w:val="1"/>
      <w:marLeft w:val="0"/>
      <w:marRight w:val="0"/>
      <w:marTop w:val="0"/>
      <w:marBottom w:val="0"/>
      <w:divBdr>
        <w:top w:val="none" w:sz="0" w:space="0" w:color="auto"/>
        <w:left w:val="none" w:sz="0" w:space="0" w:color="auto"/>
        <w:bottom w:val="none" w:sz="0" w:space="0" w:color="auto"/>
        <w:right w:val="none" w:sz="0" w:space="0" w:color="auto"/>
      </w:divBdr>
    </w:div>
    <w:div w:id="2058236452">
      <w:bodyDiv w:val="1"/>
      <w:marLeft w:val="0"/>
      <w:marRight w:val="0"/>
      <w:marTop w:val="0"/>
      <w:marBottom w:val="0"/>
      <w:divBdr>
        <w:top w:val="none" w:sz="0" w:space="0" w:color="auto"/>
        <w:left w:val="none" w:sz="0" w:space="0" w:color="auto"/>
        <w:bottom w:val="none" w:sz="0" w:space="0" w:color="auto"/>
        <w:right w:val="none" w:sz="0" w:space="0" w:color="auto"/>
      </w:divBdr>
    </w:div>
    <w:div w:id="20916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tnu.no/baerekraftmaal"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3A8B-E343-44F8-9BEC-ECB2D909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8519</Words>
  <Characters>50379</Characters>
  <Application>Microsoft Office Word</Application>
  <DocSecurity>4</DocSecurity>
  <Lines>419</Lines>
  <Paragraphs>117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Orientering om økonomisk status pr august</vt:lpstr>
      <vt:lpstr>Orientering om økonomisk status pr august</vt:lpstr>
    </vt:vector>
  </TitlesOfParts>
  <Company>NTNU</Company>
  <LinksUpToDate>false</LinksUpToDate>
  <CharactersWithSpaces>58781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Orientering om økonomisk status pr august</dc:title>
  <dc:subject>Kolegie notat</dc:subject>
  <dc:creator>Per-Arne Norevik</dc:creator>
  <cp:keywords/>
  <dc:description/>
  <cp:lastModifiedBy>Wenche Margrethe Kulmo</cp:lastModifiedBy>
  <cp:revision>2</cp:revision>
  <cp:lastPrinted>2018-05-30T14:14:00Z</cp:lastPrinted>
  <dcterms:created xsi:type="dcterms:W3CDTF">2019-04-01T06:41:00Z</dcterms:created>
  <dcterms:modified xsi:type="dcterms:W3CDTF">2019-04-01T06:41:00Z</dcterms:modified>
</cp:coreProperties>
</file>