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9C" w:rsidRPr="00445832" w:rsidRDefault="00C6269C">
      <w:pPr>
        <w:pStyle w:val="FyllLinje"/>
        <w:rPr>
          <w:rFonts w:asciiTheme="minorHAnsi" w:hAnsiTheme="minorHAnsi"/>
        </w:rPr>
      </w:pPr>
      <w:bookmarkStart w:id="0" w:name="_GoBack"/>
      <w:bookmarkEnd w:id="0"/>
    </w:p>
    <w:tbl>
      <w:tblPr>
        <w:tblW w:w="3436" w:type="dxa"/>
        <w:jc w:val="right"/>
        <w:tblInd w:w="-2340" w:type="dxa"/>
        <w:tblLook w:val="0000" w:firstRow="0" w:lastRow="0" w:firstColumn="0" w:lastColumn="0" w:noHBand="0" w:noVBand="0"/>
      </w:tblPr>
      <w:tblGrid>
        <w:gridCol w:w="3436"/>
      </w:tblGrid>
      <w:tr w:rsidR="00C6269C" w:rsidRPr="00445832">
        <w:trPr>
          <w:cantSplit/>
          <w:trHeight w:hRule="exact" w:val="454"/>
          <w:jc w:val="right"/>
        </w:trPr>
        <w:tc>
          <w:tcPr>
            <w:tcW w:w="3436" w:type="dxa"/>
            <w:noWrap/>
          </w:tcPr>
          <w:p w:rsidR="00C6269C" w:rsidRPr="00445832" w:rsidRDefault="00C6269C">
            <w:pPr>
              <w:pStyle w:val="Merknad"/>
              <w:rPr>
                <w:rFonts w:asciiTheme="minorHAnsi" w:hAnsiTheme="minorHAnsi"/>
              </w:rPr>
            </w:pPr>
            <w:bookmarkStart w:id="1" w:name="merknader"/>
            <w:bookmarkEnd w:id="1"/>
          </w:p>
        </w:tc>
      </w:tr>
    </w:tbl>
    <w:p w:rsidR="00C6269C" w:rsidRPr="00445832" w:rsidRDefault="00C6269C" w:rsidP="00445832">
      <w:pPr>
        <w:pStyle w:val="Tilfelt"/>
        <w:ind w:left="0"/>
        <w:rPr>
          <w:rFonts w:asciiTheme="minorHAnsi" w:hAnsiTheme="minorHAnsi"/>
        </w:rPr>
        <w:sectPr w:rsidR="00C6269C" w:rsidRPr="00445832">
          <w:headerReference w:type="default" r:id="rId7"/>
          <w:headerReference w:type="first" r:id="rId8"/>
          <w:footerReference w:type="first" r:id="rId9"/>
          <w:type w:val="continuous"/>
          <w:pgSz w:w="11906" w:h="16838" w:code="9"/>
          <w:pgMar w:top="1871" w:right="1049" w:bottom="2308" w:left="1049" w:header="567" w:footer="737" w:gutter="0"/>
          <w:cols w:space="708"/>
          <w:titlePg/>
          <w:docGrid w:linePitch="360"/>
        </w:sectPr>
      </w:pPr>
    </w:p>
    <w:p w:rsidR="00445832" w:rsidRPr="00967BC6" w:rsidRDefault="00445832" w:rsidP="00445832">
      <w:pPr>
        <w:pStyle w:val="Tittel"/>
        <w:rPr>
          <w:rFonts w:asciiTheme="minorHAnsi" w:hAnsiTheme="minorHAnsi"/>
          <w:lang w:val="nn-NO"/>
        </w:rPr>
      </w:pPr>
      <w:bookmarkStart w:id="12" w:name="Firma"/>
      <w:bookmarkStart w:id="13" w:name="til"/>
      <w:bookmarkStart w:id="14" w:name="Adresse"/>
      <w:bookmarkEnd w:id="12"/>
      <w:bookmarkEnd w:id="13"/>
      <w:bookmarkEnd w:id="14"/>
      <w:r w:rsidRPr="00967BC6">
        <w:rPr>
          <w:rFonts w:asciiTheme="minorHAnsi" w:hAnsiTheme="minorHAnsi"/>
          <w:lang w:val="nn-NO"/>
        </w:rPr>
        <w:lastRenderedPageBreak/>
        <w:t>NTNUs system for kvalitetssikring av utdanning</w:t>
      </w:r>
    </w:p>
    <w:p w:rsidR="00445832" w:rsidRPr="00967BC6" w:rsidRDefault="00445832" w:rsidP="00445832">
      <w:pPr>
        <w:pStyle w:val="Undertittel"/>
        <w:rPr>
          <w:rFonts w:asciiTheme="minorHAnsi" w:hAnsiTheme="minorHAnsi"/>
          <w:lang w:val="nn-NO"/>
        </w:rPr>
      </w:pPr>
      <w:r w:rsidRPr="00967BC6">
        <w:rPr>
          <w:rFonts w:asciiTheme="minorHAnsi" w:hAnsiTheme="minorHAnsi"/>
          <w:lang w:val="nn-NO"/>
        </w:rPr>
        <w:t>Retningslinjer for implementering og praktisk gjennomføring for medisinstudiet ved Det medisinske fakultet</w:t>
      </w:r>
    </w:p>
    <w:p w:rsidR="00445832" w:rsidRPr="00967BC6" w:rsidRDefault="00445832" w:rsidP="00445832">
      <w:pPr>
        <w:pStyle w:val="Overskrift2"/>
        <w:rPr>
          <w:rFonts w:asciiTheme="minorHAnsi" w:hAnsiTheme="minorHAnsi"/>
          <w:lang w:val="nn-NO"/>
        </w:rPr>
      </w:pPr>
      <w:proofErr w:type="spellStart"/>
      <w:r w:rsidRPr="00967BC6">
        <w:rPr>
          <w:rFonts w:asciiTheme="minorHAnsi" w:hAnsiTheme="minorHAnsi"/>
          <w:lang w:val="nn-NO"/>
        </w:rPr>
        <w:t>Innledning</w:t>
      </w:r>
      <w:proofErr w:type="spellEnd"/>
    </w:p>
    <w:p w:rsidR="00445832" w:rsidRPr="00967BC6" w:rsidRDefault="00445832" w:rsidP="00445832">
      <w:pPr>
        <w:spacing w:line="276" w:lineRule="auto"/>
        <w:ind w:left="0"/>
        <w:rPr>
          <w:rFonts w:asciiTheme="minorHAnsi" w:hAnsiTheme="minorHAnsi"/>
          <w:sz w:val="22"/>
          <w:lang w:val="nn-NO"/>
        </w:rPr>
      </w:pPr>
      <w:r w:rsidRPr="00967BC6">
        <w:rPr>
          <w:rFonts w:asciiTheme="minorHAnsi" w:hAnsiTheme="minorHAnsi"/>
          <w:sz w:val="22"/>
          <w:lang w:val="nn-NO"/>
        </w:rPr>
        <w:t xml:space="preserve">NTNUs system for kvalitetssikring av utdanning beskriver roller, ansvar, </w:t>
      </w:r>
      <w:proofErr w:type="spellStart"/>
      <w:r w:rsidRPr="00967BC6">
        <w:rPr>
          <w:rFonts w:asciiTheme="minorHAnsi" w:hAnsiTheme="minorHAnsi"/>
          <w:sz w:val="22"/>
          <w:lang w:val="nn-NO"/>
        </w:rPr>
        <w:t>oppgaver</w:t>
      </w:r>
      <w:proofErr w:type="spellEnd"/>
      <w:r w:rsidRPr="00967BC6">
        <w:rPr>
          <w:rFonts w:asciiTheme="minorHAnsi" w:hAnsiTheme="minorHAnsi"/>
          <w:sz w:val="22"/>
          <w:lang w:val="nn-NO"/>
        </w:rPr>
        <w:t xml:space="preserve"> og oppfølgingsprosesser. Målet med kvalitetssikringen er å bidra til at </w:t>
      </w:r>
      <w:proofErr w:type="spellStart"/>
      <w:r w:rsidRPr="00967BC6">
        <w:rPr>
          <w:rFonts w:asciiTheme="minorHAnsi" w:hAnsiTheme="minorHAnsi"/>
          <w:sz w:val="22"/>
          <w:lang w:val="nn-NO"/>
        </w:rPr>
        <w:t>studentene</w:t>
      </w:r>
      <w:proofErr w:type="spellEnd"/>
      <w:r w:rsidRPr="00967BC6">
        <w:rPr>
          <w:rFonts w:asciiTheme="minorHAnsi" w:hAnsiTheme="minorHAnsi"/>
          <w:sz w:val="22"/>
          <w:lang w:val="nn-NO"/>
        </w:rPr>
        <w:t xml:space="preserve"> oppnår læringsutbyttet som er definert for de ulike </w:t>
      </w:r>
      <w:proofErr w:type="spellStart"/>
      <w:r w:rsidRPr="00967BC6">
        <w:rPr>
          <w:rFonts w:asciiTheme="minorHAnsi" w:hAnsiTheme="minorHAnsi"/>
          <w:sz w:val="22"/>
          <w:lang w:val="nn-NO"/>
        </w:rPr>
        <w:t>emnene</w:t>
      </w:r>
      <w:proofErr w:type="spellEnd"/>
      <w:r w:rsidRPr="00967BC6">
        <w:rPr>
          <w:rFonts w:asciiTheme="minorHAnsi" w:hAnsiTheme="minorHAnsi"/>
          <w:sz w:val="22"/>
          <w:lang w:val="nn-NO"/>
        </w:rPr>
        <w:t xml:space="preserve"> og </w:t>
      </w:r>
      <w:proofErr w:type="spellStart"/>
      <w:r w:rsidRPr="00967BC6">
        <w:rPr>
          <w:rFonts w:asciiTheme="minorHAnsi" w:hAnsiTheme="minorHAnsi"/>
          <w:sz w:val="22"/>
          <w:lang w:val="nn-NO"/>
        </w:rPr>
        <w:t>programmene</w:t>
      </w:r>
      <w:proofErr w:type="spellEnd"/>
      <w:r w:rsidRPr="00967BC6">
        <w:rPr>
          <w:rFonts w:asciiTheme="minorHAnsi" w:hAnsiTheme="minorHAnsi"/>
          <w:sz w:val="22"/>
          <w:lang w:val="nn-NO"/>
        </w:rPr>
        <w:t>.</w:t>
      </w:r>
    </w:p>
    <w:p w:rsidR="00445832" w:rsidRPr="00445832" w:rsidRDefault="00445832" w:rsidP="00445832">
      <w:pPr>
        <w:spacing w:line="276" w:lineRule="auto"/>
        <w:ind w:left="0"/>
        <w:rPr>
          <w:rFonts w:asciiTheme="minorHAnsi" w:hAnsiTheme="minorHAnsi"/>
          <w:sz w:val="22"/>
          <w:lang w:val="nb-NO"/>
        </w:rPr>
      </w:pPr>
      <w:r w:rsidRPr="00445832">
        <w:rPr>
          <w:rFonts w:asciiTheme="minorHAnsi" w:hAnsiTheme="minorHAnsi"/>
          <w:sz w:val="22"/>
          <w:lang w:val="nb-NO"/>
        </w:rPr>
        <w:t xml:space="preserve">En anvendelse av dette systemet i kvalitetssikringen av et studium, forutsetter at studiet har lik organisering og rolleforståelse som beskrevet i systemet. Medisinstudiet har noen andre roller og er organisert på en litt annen måte enn de fleste andre studier på NTNU. Der NTNUs sentrale system beskriver roller for faglærer, </w:t>
      </w:r>
      <w:proofErr w:type="spellStart"/>
      <w:r w:rsidRPr="00445832">
        <w:rPr>
          <w:rFonts w:asciiTheme="minorHAnsi" w:hAnsiTheme="minorHAnsi"/>
          <w:sz w:val="22"/>
          <w:lang w:val="nb-NO"/>
        </w:rPr>
        <w:t>emneansvarlig</w:t>
      </w:r>
      <w:proofErr w:type="spellEnd"/>
      <w:r w:rsidRPr="00445832">
        <w:rPr>
          <w:rFonts w:asciiTheme="minorHAnsi" w:hAnsiTheme="minorHAnsi"/>
          <w:sz w:val="22"/>
          <w:lang w:val="nb-NO"/>
        </w:rPr>
        <w:t xml:space="preserve">, vertsinstitutt osv., har medisinstudiet undervisningsenheter og semesterkoordinatorer, og studiet er instituttovergripende. Dette betyr ikke at systemet ikke kan benyttes, men at det kreves noen nye begreper og noen modifikasjoner i ansvarslinjene før det benyttes. Dette dokumentet er ment som en veileder til hjelp for å kunne ta i bruk NTNUs kvalitetssikringssystem på medisinstudiet på DMF. </w:t>
      </w:r>
    </w:p>
    <w:p w:rsidR="00445832" w:rsidRPr="00445832" w:rsidRDefault="00445832" w:rsidP="00445832">
      <w:pPr>
        <w:pStyle w:val="Overskrift2"/>
        <w:rPr>
          <w:rFonts w:asciiTheme="minorHAnsi" w:hAnsiTheme="minorHAnsi"/>
        </w:rPr>
      </w:pPr>
      <w:r w:rsidRPr="00445832">
        <w:rPr>
          <w:rFonts w:asciiTheme="minorHAnsi" w:hAnsiTheme="minorHAnsi"/>
        </w:rPr>
        <w:t>Mål for kvalitetssikring av utdanningen</w:t>
      </w:r>
    </w:p>
    <w:p w:rsidR="00445832" w:rsidRPr="00445832" w:rsidRDefault="00445832" w:rsidP="00445832">
      <w:pPr>
        <w:pStyle w:val="Body1"/>
        <w:rPr>
          <w:rFonts w:asciiTheme="minorHAnsi" w:hAnsiTheme="minorHAnsi"/>
        </w:rPr>
      </w:pPr>
      <w:r w:rsidRPr="00445832">
        <w:rPr>
          <w:rFonts w:asciiTheme="minorHAnsi" w:hAnsiTheme="minorHAnsi"/>
          <w:b/>
        </w:rPr>
        <w:t>Kvalitetssikring av emner</w:t>
      </w:r>
      <w:r w:rsidRPr="00445832">
        <w:rPr>
          <w:rFonts w:asciiTheme="minorHAnsi" w:hAnsiTheme="minorHAnsi"/>
        </w:rPr>
        <w:t>: Målet er å sikre at emnets læringsmål er oppdaterte og relevante og at læringsaktivitetene i emnet bidrar til at studentene oppnår læringsutbyttet og at det er sammenheng mellom læringsaktivitetene og vurderingsformene.</w:t>
      </w:r>
    </w:p>
    <w:p w:rsidR="00445832" w:rsidRPr="00445832" w:rsidRDefault="00445832" w:rsidP="00445832">
      <w:pPr>
        <w:pStyle w:val="Body1"/>
        <w:rPr>
          <w:rFonts w:asciiTheme="minorHAnsi" w:hAnsiTheme="minorHAnsi"/>
        </w:rPr>
      </w:pPr>
      <w:r w:rsidRPr="00445832">
        <w:rPr>
          <w:rFonts w:asciiTheme="minorHAnsi" w:hAnsiTheme="minorHAnsi"/>
          <w:b/>
        </w:rPr>
        <w:t>Kvalitetssikring av studieprogram:</w:t>
      </w:r>
      <w:r w:rsidRPr="00445832">
        <w:rPr>
          <w:rFonts w:asciiTheme="minorHAnsi" w:hAnsiTheme="minorHAnsi"/>
        </w:rPr>
        <w:t xml:space="preserve"> Målet er å sikre at studieprogrammets læringsmål er oppdaterte og relevante og at emnene som inngår i studieprogrammet bidrar til at studentene oppnår læringsutbyttet. Kvalitetssikring av studieprogrammet skal sikre at fagmodulene er koordinerte både horisontalt og vertikalt.</w:t>
      </w:r>
    </w:p>
    <w:p w:rsidR="00445832" w:rsidRPr="00445832" w:rsidRDefault="00445832" w:rsidP="00445832">
      <w:pPr>
        <w:pStyle w:val="Overskrift2"/>
        <w:rPr>
          <w:rFonts w:asciiTheme="minorHAnsi" w:hAnsiTheme="minorHAnsi"/>
        </w:rPr>
      </w:pPr>
      <w:r w:rsidRPr="00445832">
        <w:rPr>
          <w:rFonts w:asciiTheme="minorHAnsi" w:hAnsiTheme="minorHAnsi"/>
        </w:rPr>
        <w:t>Roller og ansvar</w:t>
      </w:r>
    </w:p>
    <w:p w:rsidR="00445832" w:rsidRPr="00445832" w:rsidRDefault="00445832" w:rsidP="00445832">
      <w:pPr>
        <w:spacing w:line="276" w:lineRule="auto"/>
        <w:ind w:left="0"/>
        <w:rPr>
          <w:rFonts w:asciiTheme="minorHAnsi" w:hAnsiTheme="minorHAnsi"/>
          <w:sz w:val="22"/>
          <w:lang w:val="nb-NO"/>
        </w:rPr>
      </w:pPr>
      <w:r w:rsidRPr="00445832">
        <w:rPr>
          <w:rFonts w:asciiTheme="minorHAnsi" w:hAnsiTheme="minorHAnsi"/>
          <w:sz w:val="22"/>
          <w:lang w:val="nb-NO"/>
        </w:rPr>
        <w:t>Følgende roller har ansvar i kvalitetssikringen av medisinstudiet på NTNU:</w:t>
      </w:r>
    </w:p>
    <w:p w:rsidR="00445832" w:rsidRPr="00445832" w:rsidRDefault="00445832" w:rsidP="00445832">
      <w:pPr>
        <w:spacing w:line="276" w:lineRule="auto"/>
        <w:ind w:left="0"/>
        <w:rPr>
          <w:rFonts w:asciiTheme="minorHAnsi" w:hAnsiTheme="minorHAnsi"/>
          <w:sz w:val="22"/>
          <w:lang w:val="nb-NO"/>
        </w:rPr>
      </w:pPr>
      <w:r w:rsidRPr="00445832">
        <w:rPr>
          <w:rFonts w:asciiTheme="minorHAnsi" w:hAnsiTheme="minorHAnsi"/>
          <w:b/>
          <w:sz w:val="22"/>
          <w:lang w:val="nb-NO"/>
        </w:rPr>
        <w:t>Studentene/referansegruppene:</w:t>
      </w:r>
      <w:r w:rsidRPr="00445832">
        <w:rPr>
          <w:rFonts w:asciiTheme="minorHAnsi" w:hAnsiTheme="minorHAnsi"/>
          <w:sz w:val="22"/>
          <w:lang w:val="nb-NO"/>
        </w:rPr>
        <w:t xml:space="preserve"> Ei referansegruppe skal, gjennom å møtes jevnlig </w:t>
      </w:r>
      <w:r w:rsidR="00E20617">
        <w:rPr>
          <w:rFonts w:asciiTheme="minorHAnsi" w:hAnsiTheme="minorHAnsi"/>
          <w:sz w:val="22"/>
          <w:lang w:val="nb-NO"/>
        </w:rPr>
        <w:t>i løpet av</w:t>
      </w:r>
      <w:r w:rsidRPr="00445832">
        <w:rPr>
          <w:rFonts w:asciiTheme="minorHAnsi" w:hAnsiTheme="minorHAnsi"/>
          <w:sz w:val="22"/>
          <w:lang w:val="nb-NO"/>
        </w:rPr>
        <w:t xml:space="preserve"> semesteret, følge med på at planlagt læringsaktivitet blir gjennomført og være et forum for dialog mellom </w:t>
      </w:r>
      <w:proofErr w:type="spellStart"/>
      <w:r w:rsidRPr="00445832">
        <w:rPr>
          <w:rFonts w:asciiTheme="minorHAnsi" w:hAnsiTheme="minorHAnsi"/>
          <w:sz w:val="22"/>
          <w:lang w:val="nb-NO"/>
        </w:rPr>
        <w:t>emneansvarlig</w:t>
      </w:r>
      <w:proofErr w:type="spellEnd"/>
      <w:r w:rsidRPr="00445832">
        <w:rPr>
          <w:rFonts w:asciiTheme="minorHAnsi" w:hAnsiTheme="minorHAnsi"/>
          <w:sz w:val="22"/>
          <w:lang w:val="nb-NO"/>
        </w:rPr>
        <w:t>/ semesterk</w:t>
      </w:r>
      <w:r w:rsidR="00367059">
        <w:rPr>
          <w:rFonts w:asciiTheme="minorHAnsi" w:hAnsiTheme="minorHAnsi"/>
          <w:sz w:val="22"/>
          <w:lang w:val="nb-NO"/>
        </w:rPr>
        <w:t>oordinator og studentene</w:t>
      </w:r>
      <w:r w:rsidRPr="00445832">
        <w:rPr>
          <w:rFonts w:asciiTheme="minorHAnsi" w:hAnsiTheme="minorHAnsi"/>
          <w:sz w:val="22"/>
          <w:lang w:val="nb-NO"/>
        </w:rPr>
        <w:t>. Gruppa er også sentral bidragsyter i den endelige evalueringen av emnet.</w:t>
      </w:r>
    </w:p>
    <w:p w:rsidR="00445832" w:rsidRPr="00445832" w:rsidRDefault="00445832" w:rsidP="00445832">
      <w:pPr>
        <w:spacing w:line="276" w:lineRule="auto"/>
        <w:ind w:left="0"/>
        <w:rPr>
          <w:rFonts w:asciiTheme="minorHAnsi" w:hAnsiTheme="minorHAnsi"/>
          <w:sz w:val="22"/>
          <w:szCs w:val="22"/>
          <w:lang w:val="nb-NO"/>
        </w:rPr>
      </w:pPr>
      <w:r w:rsidRPr="00445832">
        <w:rPr>
          <w:rFonts w:asciiTheme="minorHAnsi" w:hAnsiTheme="minorHAnsi"/>
          <w:b/>
          <w:sz w:val="22"/>
          <w:szCs w:val="22"/>
          <w:lang w:val="nb-NO"/>
        </w:rPr>
        <w:t>Undervisningsenhetene:</w:t>
      </w:r>
      <w:r w:rsidRPr="00445832">
        <w:rPr>
          <w:rFonts w:asciiTheme="minorHAnsi" w:hAnsiTheme="minorHAnsi"/>
          <w:sz w:val="22"/>
          <w:szCs w:val="22"/>
          <w:lang w:val="nb-NO"/>
        </w:rPr>
        <w:t xml:space="preserve"> Undervisningsenhetene skal etter endt studieår møtes for en gjennomgang av undervisningen som er gitt. Her skal en vurdere om denne er i samsvar med læringsmålene for faget og om dette er gjort gjennom hensiktsmessige læringsaktiviteter. Dette skal gjøres for samtlige semestre der </w:t>
      </w:r>
      <w:r w:rsidRPr="00445832">
        <w:rPr>
          <w:rFonts w:asciiTheme="minorHAnsi" w:hAnsiTheme="minorHAnsi"/>
          <w:sz w:val="22"/>
          <w:szCs w:val="22"/>
          <w:lang w:val="nb-NO"/>
        </w:rPr>
        <w:lastRenderedPageBreak/>
        <w:t>enheten tilbyr undervisning. Undervisningsenheten skal også vurdere om undervisningen som gis samsvarer med studieprogrammets grunntanke om spirallæring. Evalueringen skal formuleres i en rapport med for</w:t>
      </w:r>
      <w:r w:rsidR="00E20617">
        <w:rPr>
          <w:rFonts w:asciiTheme="minorHAnsi" w:hAnsiTheme="minorHAnsi"/>
          <w:sz w:val="22"/>
          <w:szCs w:val="22"/>
          <w:lang w:val="nb-NO"/>
        </w:rPr>
        <w:t>s</w:t>
      </w:r>
      <w:r w:rsidRPr="00445832">
        <w:rPr>
          <w:rFonts w:asciiTheme="minorHAnsi" w:hAnsiTheme="minorHAnsi"/>
          <w:sz w:val="22"/>
          <w:szCs w:val="22"/>
          <w:lang w:val="nb-NO"/>
        </w:rPr>
        <w:t>lag til endringer, ansvar og frister, og sendes aktuelle semesterkoordinatorer og egen instituttleder.  Rapporten med de foreslåtte tiltakene blir en del av utgangspunktet for neste år evaluering.</w:t>
      </w:r>
    </w:p>
    <w:p w:rsidR="00445832" w:rsidRPr="00445832" w:rsidRDefault="00445832" w:rsidP="00445832">
      <w:pPr>
        <w:spacing w:line="276" w:lineRule="auto"/>
        <w:ind w:left="0"/>
        <w:rPr>
          <w:rFonts w:asciiTheme="minorHAnsi" w:hAnsiTheme="minorHAnsi"/>
          <w:sz w:val="22"/>
          <w:szCs w:val="22"/>
          <w:lang w:val="nb-NO"/>
        </w:rPr>
      </w:pPr>
      <w:r w:rsidRPr="00445832">
        <w:rPr>
          <w:rFonts w:asciiTheme="minorHAnsi" w:hAnsiTheme="minorHAnsi"/>
          <w:b/>
          <w:sz w:val="22"/>
          <w:szCs w:val="22"/>
          <w:lang w:val="nb-NO"/>
        </w:rPr>
        <w:t>Semesterkoordinatorene:</w:t>
      </w:r>
      <w:r w:rsidRPr="00445832">
        <w:rPr>
          <w:rFonts w:asciiTheme="minorHAnsi" w:hAnsiTheme="minorHAnsi"/>
          <w:sz w:val="22"/>
          <w:szCs w:val="22"/>
          <w:lang w:val="nb-NO"/>
        </w:rPr>
        <w:t xml:space="preserve"> Semesterkoordinator er ansvarlig for en timeplan med læringsaktiviteter som støtter opp under og setter studentene i stand til å tilegne seg de læringsmålene semesteret har. Videre er semesterkoordinator ansvarlig for at emnet evalueres etter </w:t>
      </w:r>
      <w:r w:rsidR="00C976EA">
        <w:rPr>
          <w:rFonts w:asciiTheme="minorHAnsi" w:hAnsiTheme="minorHAnsi"/>
          <w:sz w:val="22"/>
          <w:szCs w:val="22"/>
          <w:lang w:val="nb-NO"/>
        </w:rPr>
        <w:t>de</w:t>
      </w:r>
      <w:r w:rsidR="00C11328">
        <w:rPr>
          <w:rFonts w:asciiTheme="minorHAnsi" w:hAnsiTheme="minorHAnsi"/>
          <w:sz w:val="22"/>
          <w:szCs w:val="22"/>
          <w:lang w:val="nb-NO"/>
        </w:rPr>
        <w:t xml:space="preserve"> gjeldende </w:t>
      </w:r>
      <w:r w:rsidRPr="00445832">
        <w:rPr>
          <w:rFonts w:asciiTheme="minorHAnsi" w:hAnsiTheme="minorHAnsi"/>
          <w:sz w:val="22"/>
          <w:szCs w:val="22"/>
          <w:lang w:val="nb-NO"/>
        </w:rPr>
        <w:t>retningslinjene og at innholdet i evalueringsrapporten blir tatt til følge der det blir bestemt.</w:t>
      </w:r>
    </w:p>
    <w:p w:rsidR="00445832" w:rsidRPr="00445832" w:rsidRDefault="00445832" w:rsidP="00445832">
      <w:pPr>
        <w:spacing w:line="276" w:lineRule="auto"/>
        <w:ind w:left="0"/>
        <w:rPr>
          <w:rFonts w:asciiTheme="minorHAnsi" w:hAnsiTheme="minorHAnsi"/>
          <w:sz w:val="22"/>
          <w:szCs w:val="22"/>
          <w:lang w:val="nb-NO"/>
        </w:rPr>
      </w:pPr>
      <w:r w:rsidRPr="00445832">
        <w:rPr>
          <w:rFonts w:asciiTheme="minorHAnsi" w:hAnsiTheme="minorHAnsi"/>
          <w:b/>
          <w:sz w:val="22"/>
          <w:szCs w:val="22"/>
          <w:lang w:val="nb-NO"/>
        </w:rPr>
        <w:t>Studieprogramrådet:</w:t>
      </w:r>
      <w:r w:rsidRPr="00445832">
        <w:rPr>
          <w:rFonts w:asciiTheme="minorHAnsi" w:hAnsiTheme="minorHAnsi"/>
          <w:sz w:val="22"/>
          <w:szCs w:val="22"/>
          <w:lang w:val="nb-NO"/>
        </w:rPr>
        <w:t xml:space="preserve"> Programrådet for medisin er ansvarlig for at studiets innhold og oppbygning som helhet er i tråd med læringsmålene og med målet om den forventede kompetansen en uteksaminert student skal ha. Til dette arbeidet nyttes blant annet emneevalueringene.</w:t>
      </w:r>
    </w:p>
    <w:p w:rsidR="00445832" w:rsidRPr="00445832" w:rsidRDefault="00445832" w:rsidP="00445832">
      <w:pPr>
        <w:spacing w:line="276" w:lineRule="auto"/>
        <w:ind w:left="0"/>
        <w:rPr>
          <w:rFonts w:asciiTheme="minorHAnsi" w:hAnsiTheme="minorHAnsi"/>
          <w:sz w:val="22"/>
          <w:szCs w:val="22"/>
          <w:lang w:val="nb-NO"/>
        </w:rPr>
      </w:pPr>
      <w:r w:rsidRPr="00445832">
        <w:rPr>
          <w:rFonts w:asciiTheme="minorHAnsi" w:hAnsiTheme="minorHAnsi"/>
          <w:b/>
          <w:sz w:val="22"/>
          <w:szCs w:val="22"/>
          <w:lang w:val="nb-NO"/>
        </w:rPr>
        <w:t>Instituttlederne:</w:t>
      </w:r>
      <w:r w:rsidRPr="00445832">
        <w:rPr>
          <w:rFonts w:asciiTheme="minorHAnsi" w:hAnsiTheme="minorHAnsi"/>
          <w:sz w:val="22"/>
          <w:szCs w:val="22"/>
          <w:lang w:val="nb-NO"/>
        </w:rPr>
        <w:t xml:space="preserve"> Instituttleder har personalansvar for semesterkoordinator. I denne sammenhengen betyr det at instituttleder er ansvarlig for at gjeldende semesterkoordinator evaluerer undervisningen etter retningslinjene for dette. Instituttleder har også personalansvar for sine undervisningsenheter. Det innebærer et ansvar for at disse evaluerer sitt fags undervisning og rapporterer om dette til semesterkoordinator. </w:t>
      </w:r>
    </w:p>
    <w:p w:rsidR="00445832" w:rsidRPr="00445832" w:rsidRDefault="00445832" w:rsidP="00445832">
      <w:pPr>
        <w:spacing w:line="276" w:lineRule="auto"/>
        <w:ind w:left="0"/>
        <w:rPr>
          <w:rFonts w:asciiTheme="minorHAnsi" w:hAnsiTheme="minorHAnsi"/>
          <w:sz w:val="22"/>
          <w:szCs w:val="22"/>
          <w:lang w:val="nb-NO"/>
        </w:rPr>
      </w:pPr>
      <w:r w:rsidRPr="00445832">
        <w:rPr>
          <w:rFonts w:asciiTheme="minorHAnsi" w:hAnsiTheme="minorHAnsi"/>
          <w:b/>
          <w:sz w:val="22"/>
          <w:szCs w:val="22"/>
          <w:lang w:val="nb-NO"/>
        </w:rPr>
        <w:t>Dekanus:</w:t>
      </w:r>
      <w:r w:rsidRPr="00445832">
        <w:rPr>
          <w:rFonts w:asciiTheme="minorHAnsi" w:hAnsiTheme="minorHAnsi"/>
          <w:sz w:val="22"/>
          <w:szCs w:val="22"/>
          <w:lang w:val="nb-NO"/>
        </w:rPr>
        <w:t xml:space="preserve"> Dekanus er i kraft av stillingen øverste ansvarlige for all undervisning ved DMF.</w:t>
      </w:r>
    </w:p>
    <w:p w:rsidR="00445832" w:rsidRPr="00445832" w:rsidRDefault="00445832" w:rsidP="00445832">
      <w:pPr>
        <w:pStyle w:val="Overskrift2"/>
        <w:rPr>
          <w:rFonts w:asciiTheme="minorHAnsi" w:hAnsiTheme="minorHAnsi"/>
        </w:rPr>
      </w:pPr>
      <w:r w:rsidRPr="00445832">
        <w:rPr>
          <w:rFonts w:asciiTheme="minorHAnsi" w:hAnsiTheme="minorHAnsi"/>
        </w:rPr>
        <w:t>Emneevaluering</w:t>
      </w:r>
    </w:p>
    <w:p w:rsidR="00445832" w:rsidRPr="00445832" w:rsidRDefault="00445832" w:rsidP="00445832">
      <w:pPr>
        <w:spacing w:line="276" w:lineRule="auto"/>
        <w:ind w:left="0"/>
        <w:rPr>
          <w:rFonts w:asciiTheme="minorHAnsi" w:hAnsiTheme="minorHAnsi"/>
          <w:sz w:val="22"/>
          <w:lang w:val="nb-NO"/>
        </w:rPr>
      </w:pPr>
      <w:r w:rsidRPr="00445832">
        <w:rPr>
          <w:rFonts w:asciiTheme="minorHAnsi" w:hAnsiTheme="minorHAnsi"/>
          <w:sz w:val="22"/>
          <w:lang w:val="nb-NO"/>
        </w:rPr>
        <w:t xml:space="preserve">Et emne er den minste undervisningsenhet som avsluttes med en type studentvurdering/ eksamen. Dersom en ser bort fra emnene </w:t>
      </w:r>
      <w:proofErr w:type="spellStart"/>
      <w:r w:rsidRPr="00445832">
        <w:rPr>
          <w:rFonts w:asciiTheme="minorHAnsi" w:hAnsiTheme="minorHAnsi"/>
          <w:sz w:val="22"/>
          <w:lang w:val="nb-NO"/>
        </w:rPr>
        <w:t>ex.phil</w:t>
      </w:r>
      <w:proofErr w:type="spellEnd"/>
      <w:r w:rsidRPr="00445832">
        <w:rPr>
          <w:rFonts w:asciiTheme="minorHAnsi" w:hAnsiTheme="minorHAnsi"/>
          <w:sz w:val="22"/>
          <w:lang w:val="nb-NO"/>
        </w:rPr>
        <w:t xml:space="preserve">., </w:t>
      </w:r>
      <w:proofErr w:type="spellStart"/>
      <w:r w:rsidRPr="00445832">
        <w:rPr>
          <w:rFonts w:asciiTheme="minorHAnsi" w:hAnsiTheme="minorHAnsi"/>
          <w:sz w:val="22"/>
          <w:lang w:val="nb-NO"/>
        </w:rPr>
        <w:t>perspektivemne</w:t>
      </w:r>
      <w:proofErr w:type="spellEnd"/>
      <w:r w:rsidRPr="00445832">
        <w:rPr>
          <w:rFonts w:asciiTheme="minorHAnsi" w:hAnsiTheme="minorHAnsi"/>
          <w:sz w:val="22"/>
          <w:lang w:val="nb-NO"/>
        </w:rPr>
        <w:t xml:space="preserve"> og Eksperter i Team, består medisinstudiet av åtte emner. Disse er IA/B (1. studieår), IC/D (2. studieår), IIA/B (3. studieår), IIC/D (4. studieår), IIIA (hovedoppgave, 5. studieår), IIIB (forberedende undervisning og utplassering, 5. studieår), IIIC (høstsemester 6. studieår) og IIID (avsluttende semester).  Det betyr at det er åtte emner som skal evalueres etter hvert studieår, evt. etter emnets avslutning. Her følger en oversikt over emnene og semesterkoordinators institutt:</w:t>
      </w:r>
    </w:p>
    <w:p w:rsidR="00445832" w:rsidRPr="00445832" w:rsidRDefault="00445832" w:rsidP="00445832">
      <w:pPr>
        <w:rPr>
          <w:rFonts w:asciiTheme="minorHAnsi" w:hAnsiTheme="minorHAnsi"/>
          <w:lang w:val="nb-NO"/>
        </w:rPr>
      </w:pPr>
    </w:p>
    <w:tbl>
      <w:tblPr>
        <w:tblStyle w:val="Tabellrutenett"/>
        <w:tblW w:w="0" w:type="auto"/>
        <w:tblLook w:val="04A0" w:firstRow="1" w:lastRow="0" w:firstColumn="1" w:lastColumn="0" w:noHBand="0" w:noVBand="1"/>
      </w:tblPr>
      <w:tblGrid>
        <w:gridCol w:w="1550"/>
        <w:gridCol w:w="2869"/>
        <w:gridCol w:w="2010"/>
        <w:gridCol w:w="3368"/>
      </w:tblGrid>
      <w:tr w:rsidR="00445832" w:rsidRPr="00445832" w:rsidTr="00613D24">
        <w:tc>
          <w:tcPr>
            <w:tcW w:w="1550" w:type="dxa"/>
          </w:tcPr>
          <w:p w:rsidR="00445832" w:rsidRPr="00445832" w:rsidRDefault="00445832" w:rsidP="00445832">
            <w:pPr>
              <w:spacing w:after="200" w:line="276" w:lineRule="auto"/>
              <w:rPr>
                <w:rFonts w:asciiTheme="minorHAnsi" w:hAnsiTheme="minorHAnsi"/>
                <w:b/>
                <w:lang w:val="nb-NO"/>
              </w:rPr>
            </w:pPr>
            <w:r w:rsidRPr="00445832">
              <w:rPr>
                <w:rFonts w:asciiTheme="minorHAnsi" w:hAnsiTheme="minorHAnsi"/>
                <w:b/>
                <w:lang w:val="nb-NO"/>
              </w:rPr>
              <w:t>Emne</w:t>
            </w:r>
          </w:p>
        </w:tc>
        <w:tc>
          <w:tcPr>
            <w:tcW w:w="2492" w:type="dxa"/>
          </w:tcPr>
          <w:p w:rsidR="00445832" w:rsidRPr="00445832" w:rsidRDefault="00445832" w:rsidP="00445832">
            <w:pPr>
              <w:spacing w:after="200" w:line="276" w:lineRule="auto"/>
              <w:rPr>
                <w:rFonts w:asciiTheme="minorHAnsi" w:hAnsiTheme="minorHAnsi"/>
                <w:b/>
                <w:lang w:val="nb-NO"/>
              </w:rPr>
            </w:pPr>
            <w:r w:rsidRPr="00445832">
              <w:rPr>
                <w:rFonts w:asciiTheme="minorHAnsi" w:hAnsiTheme="minorHAnsi"/>
                <w:b/>
                <w:lang w:val="nb-NO"/>
              </w:rPr>
              <w:t>Semesterkoordinator(er)</w:t>
            </w:r>
          </w:p>
        </w:tc>
        <w:tc>
          <w:tcPr>
            <w:tcW w:w="1878" w:type="dxa"/>
          </w:tcPr>
          <w:p w:rsidR="00445832" w:rsidRPr="00445832" w:rsidRDefault="00445832" w:rsidP="00445832">
            <w:pPr>
              <w:spacing w:line="276" w:lineRule="auto"/>
              <w:rPr>
                <w:rFonts w:asciiTheme="minorHAnsi" w:hAnsiTheme="minorHAnsi"/>
                <w:b/>
                <w:lang w:val="nb-NO"/>
              </w:rPr>
            </w:pPr>
            <w:r w:rsidRPr="00445832">
              <w:rPr>
                <w:rFonts w:asciiTheme="minorHAnsi" w:hAnsiTheme="minorHAnsi"/>
                <w:b/>
                <w:lang w:val="nb-NO"/>
              </w:rPr>
              <w:t>Studiekonsulent</w:t>
            </w:r>
          </w:p>
        </w:tc>
        <w:tc>
          <w:tcPr>
            <w:tcW w:w="3368" w:type="dxa"/>
          </w:tcPr>
          <w:p w:rsidR="00445832" w:rsidRPr="00445832" w:rsidRDefault="00445832" w:rsidP="00445832">
            <w:pPr>
              <w:spacing w:after="200" w:line="276" w:lineRule="auto"/>
              <w:rPr>
                <w:rFonts w:asciiTheme="minorHAnsi" w:hAnsiTheme="minorHAnsi"/>
                <w:b/>
                <w:lang w:val="nb-NO"/>
              </w:rPr>
            </w:pPr>
            <w:r w:rsidRPr="00445832">
              <w:rPr>
                <w:rFonts w:asciiTheme="minorHAnsi" w:hAnsiTheme="minorHAnsi"/>
                <w:b/>
                <w:lang w:val="nb-NO"/>
              </w:rPr>
              <w:t>Ansvarlig institutt (sluttevaluering)</w:t>
            </w:r>
          </w:p>
        </w:tc>
      </w:tr>
      <w:tr w:rsidR="00445832" w:rsidRPr="00445832" w:rsidTr="00613D24">
        <w:tc>
          <w:tcPr>
            <w:tcW w:w="1550"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IA/B</w:t>
            </w:r>
          </w:p>
        </w:tc>
        <w:tc>
          <w:tcPr>
            <w:tcW w:w="2492"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ISM og ISB</w:t>
            </w:r>
          </w:p>
        </w:tc>
        <w:tc>
          <w:tcPr>
            <w:tcW w:w="1878" w:type="dxa"/>
          </w:tcPr>
          <w:p w:rsidR="00445832" w:rsidRPr="00445832" w:rsidRDefault="00445832" w:rsidP="00445832">
            <w:pPr>
              <w:spacing w:line="276" w:lineRule="auto"/>
              <w:rPr>
                <w:rFonts w:asciiTheme="minorHAnsi" w:hAnsiTheme="minorHAnsi"/>
                <w:lang w:val="nb-NO"/>
              </w:rPr>
            </w:pPr>
            <w:r w:rsidRPr="00445832">
              <w:rPr>
                <w:rFonts w:asciiTheme="minorHAnsi" w:hAnsiTheme="minorHAnsi"/>
                <w:lang w:val="nb-NO"/>
              </w:rPr>
              <w:t>ISB</w:t>
            </w:r>
          </w:p>
        </w:tc>
        <w:tc>
          <w:tcPr>
            <w:tcW w:w="3368"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ISB</w:t>
            </w:r>
          </w:p>
        </w:tc>
      </w:tr>
      <w:tr w:rsidR="00445832" w:rsidRPr="00445832" w:rsidTr="00613D24">
        <w:tc>
          <w:tcPr>
            <w:tcW w:w="1550"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IC/D</w:t>
            </w:r>
          </w:p>
        </w:tc>
        <w:tc>
          <w:tcPr>
            <w:tcW w:w="2492"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LBK og IKM</w:t>
            </w:r>
          </w:p>
        </w:tc>
        <w:tc>
          <w:tcPr>
            <w:tcW w:w="1878" w:type="dxa"/>
          </w:tcPr>
          <w:p w:rsidR="00445832" w:rsidRPr="00445832" w:rsidRDefault="00445832" w:rsidP="00445832">
            <w:pPr>
              <w:spacing w:line="276" w:lineRule="auto"/>
              <w:rPr>
                <w:rFonts w:asciiTheme="minorHAnsi" w:hAnsiTheme="minorHAnsi"/>
                <w:lang w:val="nb-NO"/>
              </w:rPr>
            </w:pPr>
            <w:r w:rsidRPr="00445832">
              <w:rPr>
                <w:rFonts w:asciiTheme="minorHAnsi" w:hAnsiTheme="minorHAnsi"/>
                <w:lang w:val="nb-NO"/>
              </w:rPr>
              <w:t>IKM</w:t>
            </w:r>
          </w:p>
        </w:tc>
        <w:tc>
          <w:tcPr>
            <w:tcW w:w="3368"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IKM</w:t>
            </w:r>
          </w:p>
        </w:tc>
      </w:tr>
      <w:tr w:rsidR="00445832" w:rsidRPr="00445832" w:rsidTr="00613D24">
        <w:tc>
          <w:tcPr>
            <w:tcW w:w="1550"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IIA/B</w:t>
            </w:r>
          </w:p>
        </w:tc>
        <w:tc>
          <w:tcPr>
            <w:tcW w:w="2492"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INM og IKM</w:t>
            </w:r>
          </w:p>
        </w:tc>
        <w:tc>
          <w:tcPr>
            <w:tcW w:w="1878" w:type="dxa"/>
          </w:tcPr>
          <w:p w:rsidR="00445832" w:rsidRPr="00445832" w:rsidRDefault="00445832" w:rsidP="00445832">
            <w:pPr>
              <w:spacing w:line="276" w:lineRule="auto"/>
              <w:rPr>
                <w:rFonts w:asciiTheme="minorHAnsi" w:hAnsiTheme="minorHAnsi"/>
                <w:lang w:val="nb-NO"/>
              </w:rPr>
            </w:pPr>
            <w:r w:rsidRPr="00445832">
              <w:rPr>
                <w:rFonts w:asciiTheme="minorHAnsi" w:hAnsiTheme="minorHAnsi"/>
                <w:lang w:val="nb-NO"/>
              </w:rPr>
              <w:t>INM</w:t>
            </w:r>
          </w:p>
        </w:tc>
        <w:tc>
          <w:tcPr>
            <w:tcW w:w="3368"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INM</w:t>
            </w:r>
          </w:p>
        </w:tc>
      </w:tr>
      <w:tr w:rsidR="00445832" w:rsidRPr="00445832" w:rsidTr="00613D24">
        <w:tc>
          <w:tcPr>
            <w:tcW w:w="1550"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IIC/D</w:t>
            </w:r>
          </w:p>
        </w:tc>
        <w:tc>
          <w:tcPr>
            <w:tcW w:w="2492"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INM og LBK</w:t>
            </w:r>
          </w:p>
        </w:tc>
        <w:tc>
          <w:tcPr>
            <w:tcW w:w="1878" w:type="dxa"/>
          </w:tcPr>
          <w:p w:rsidR="00445832" w:rsidRPr="00445832" w:rsidRDefault="00445832" w:rsidP="00445832">
            <w:pPr>
              <w:spacing w:line="276" w:lineRule="auto"/>
              <w:rPr>
                <w:rFonts w:asciiTheme="minorHAnsi" w:hAnsiTheme="minorHAnsi"/>
                <w:lang w:val="nb-NO"/>
              </w:rPr>
            </w:pPr>
            <w:r w:rsidRPr="00445832">
              <w:rPr>
                <w:rFonts w:asciiTheme="minorHAnsi" w:hAnsiTheme="minorHAnsi"/>
                <w:lang w:val="nb-NO"/>
              </w:rPr>
              <w:t>LBK</w:t>
            </w:r>
          </w:p>
        </w:tc>
        <w:tc>
          <w:tcPr>
            <w:tcW w:w="3368"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LBK</w:t>
            </w:r>
          </w:p>
        </w:tc>
      </w:tr>
      <w:tr w:rsidR="00445832" w:rsidRPr="00445832" w:rsidTr="00613D24">
        <w:tc>
          <w:tcPr>
            <w:tcW w:w="1550"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IIIA</w:t>
            </w:r>
          </w:p>
        </w:tc>
        <w:tc>
          <w:tcPr>
            <w:tcW w:w="2492"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ISM</w:t>
            </w:r>
          </w:p>
        </w:tc>
        <w:tc>
          <w:tcPr>
            <w:tcW w:w="1878" w:type="dxa"/>
          </w:tcPr>
          <w:p w:rsidR="00445832" w:rsidRPr="00445832" w:rsidRDefault="00445832" w:rsidP="00445832">
            <w:pPr>
              <w:spacing w:line="276" w:lineRule="auto"/>
              <w:rPr>
                <w:rFonts w:asciiTheme="minorHAnsi" w:hAnsiTheme="minorHAnsi"/>
                <w:lang w:val="nb-NO"/>
              </w:rPr>
            </w:pPr>
            <w:r w:rsidRPr="00445832">
              <w:rPr>
                <w:rFonts w:asciiTheme="minorHAnsi" w:hAnsiTheme="minorHAnsi"/>
                <w:lang w:val="nb-NO"/>
              </w:rPr>
              <w:t>Fakultetet</w:t>
            </w:r>
          </w:p>
        </w:tc>
        <w:tc>
          <w:tcPr>
            <w:tcW w:w="3368"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ISM</w:t>
            </w:r>
          </w:p>
        </w:tc>
      </w:tr>
      <w:tr w:rsidR="00445832" w:rsidRPr="00445832" w:rsidTr="00613D24">
        <w:tc>
          <w:tcPr>
            <w:tcW w:w="1550"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lastRenderedPageBreak/>
              <w:t>IIIB</w:t>
            </w:r>
          </w:p>
        </w:tc>
        <w:tc>
          <w:tcPr>
            <w:tcW w:w="2492"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ISB</w:t>
            </w:r>
          </w:p>
        </w:tc>
        <w:tc>
          <w:tcPr>
            <w:tcW w:w="1878" w:type="dxa"/>
          </w:tcPr>
          <w:p w:rsidR="00445832" w:rsidRPr="00445832" w:rsidRDefault="00445832" w:rsidP="00445832">
            <w:pPr>
              <w:spacing w:line="276" w:lineRule="auto"/>
              <w:rPr>
                <w:rFonts w:asciiTheme="minorHAnsi" w:hAnsiTheme="minorHAnsi"/>
                <w:lang w:val="nb-NO"/>
              </w:rPr>
            </w:pPr>
            <w:r w:rsidRPr="00445832">
              <w:rPr>
                <w:rFonts w:asciiTheme="minorHAnsi" w:hAnsiTheme="minorHAnsi"/>
                <w:lang w:val="nb-NO"/>
              </w:rPr>
              <w:t>Fakultetet</w:t>
            </w:r>
          </w:p>
        </w:tc>
        <w:tc>
          <w:tcPr>
            <w:tcW w:w="3368"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ISB</w:t>
            </w:r>
          </w:p>
        </w:tc>
      </w:tr>
      <w:tr w:rsidR="00445832" w:rsidRPr="00445832" w:rsidTr="00613D24">
        <w:tc>
          <w:tcPr>
            <w:tcW w:w="1550"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IIIC</w:t>
            </w:r>
          </w:p>
        </w:tc>
        <w:tc>
          <w:tcPr>
            <w:tcW w:w="2492"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ISM</w:t>
            </w:r>
          </w:p>
        </w:tc>
        <w:tc>
          <w:tcPr>
            <w:tcW w:w="1878" w:type="dxa"/>
          </w:tcPr>
          <w:p w:rsidR="00445832" w:rsidRPr="00445832" w:rsidRDefault="00445832" w:rsidP="00445832">
            <w:pPr>
              <w:spacing w:line="276" w:lineRule="auto"/>
              <w:rPr>
                <w:rFonts w:asciiTheme="minorHAnsi" w:hAnsiTheme="minorHAnsi"/>
                <w:lang w:val="nb-NO"/>
              </w:rPr>
            </w:pPr>
            <w:r w:rsidRPr="00445832">
              <w:rPr>
                <w:rFonts w:asciiTheme="minorHAnsi" w:hAnsiTheme="minorHAnsi"/>
                <w:lang w:val="nb-NO"/>
              </w:rPr>
              <w:t>ISM</w:t>
            </w:r>
          </w:p>
        </w:tc>
        <w:tc>
          <w:tcPr>
            <w:tcW w:w="3368"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ISM</w:t>
            </w:r>
          </w:p>
        </w:tc>
      </w:tr>
      <w:tr w:rsidR="00445832" w:rsidRPr="00445832" w:rsidTr="00613D24">
        <w:tc>
          <w:tcPr>
            <w:tcW w:w="1550"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IIID</w:t>
            </w:r>
          </w:p>
        </w:tc>
        <w:tc>
          <w:tcPr>
            <w:tcW w:w="2492"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IKM</w:t>
            </w:r>
          </w:p>
        </w:tc>
        <w:tc>
          <w:tcPr>
            <w:tcW w:w="1878" w:type="dxa"/>
          </w:tcPr>
          <w:p w:rsidR="00445832" w:rsidRPr="00445832" w:rsidRDefault="00445832" w:rsidP="00445832">
            <w:pPr>
              <w:spacing w:line="276" w:lineRule="auto"/>
              <w:rPr>
                <w:rFonts w:asciiTheme="minorHAnsi" w:hAnsiTheme="minorHAnsi"/>
                <w:lang w:val="nb-NO"/>
              </w:rPr>
            </w:pPr>
            <w:r w:rsidRPr="00445832">
              <w:rPr>
                <w:rFonts w:asciiTheme="minorHAnsi" w:hAnsiTheme="minorHAnsi"/>
                <w:lang w:val="nb-NO"/>
              </w:rPr>
              <w:t>IKM</w:t>
            </w:r>
          </w:p>
        </w:tc>
        <w:tc>
          <w:tcPr>
            <w:tcW w:w="3368" w:type="dxa"/>
          </w:tcPr>
          <w:p w:rsidR="00445832" w:rsidRPr="00445832" w:rsidRDefault="00445832" w:rsidP="00445832">
            <w:pPr>
              <w:spacing w:after="200" w:line="276" w:lineRule="auto"/>
              <w:rPr>
                <w:rFonts w:asciiTheme="minorHAnsi" w:hAnsiTheme="minorHAnsi"/>
                <w:lang w:val="nb-NO"/>
              </w:rPr>
            </w:pPr>
            <w:r w:rsidRPr="00445832">
              <w:rPr>
                <w:rFonts w:asciiTheme="minorHAnsi" w:hAnsiTheme="minorHAnsi"/>
                <w:lang w:val="nb-NO"/>
              </w:rPr>
              <w:t>IKM</w:t>
            </w:r>
          </w:p>
        </w:tc>
      </w:tr>
    </w:tbl>
    <w:p w:rsidR="00445832" w:rsidRPr="00445832" w:rsidRDefault="00445832" w:rsidP="00445832">
      <w:pPr>
        <w:rPr>
          <w:rFonts w:asciiTheme="minorHAnsi" w:hAnsiTheme="minorHAnsi"/>
          <w:lang w:val="nb-NO"/>
        </w:rPr>
      </w:pPr>
    </w:p>
    <w:p w:rsidR="00445832" w:rsidRPr="00C11328" w:rsidRDefault="00445832" w:rsidP="00445832">
      <w:pPr>
        <w:pStyle w:val="Overskrift3"/>
        <w:rPr>
          <w:rFonts w:asciiTheme="minorHAnsi" w:hAnsiTheme="minorHAnsi"/>
          <w:sz w:val="24"/>
        </w:rPr>
      </w:pPr>
      <w:r w:rsidRPr="00C11328">
        <w:rPr>
          <w:rFonts w:asciiTheme="minorHAnsi" w:hAnsiTheme="minorHAnsi"/>
          <w:sz w:val="24"/>
        </w:rPr>
        <w:t xml:space="preserve">Hvordan evaluere </w:t>
      </w:r>
    </w:p>
    <w:p w:rsidR="00445832" w:rsidRPr="00445832" w:rsidRDefault="00445832" w:rsidP="00445832">
      <w:pPr>
        <w:pStyle w:val="Overskrift4"/>
        <w:rPr>
          <w:rFonts w:asciiTheme="minorHAnsi" w:hAnsiTheme="minorHAnsi"/>
        </w:rPr>
      </w:pPr>
      <w:r w:rsidRPr="00445832">
        <w:rPr>
          <w:rFonts w:asciiTheme="minorHAnsi" w:hAnsiTheme="minorHAnsi"/>
        </w:rPr>
        <w:t>Referansegruppe</w:t>
      </w:r>
    </w:p>
    <w:p w:rsidR="00445832" w:rsidRPr="00445832" w:rsidRDefault="00445832" w:rsidP="00445832">
      <w:pPr>
        <w:spacing w:line="276" w:lineRule="auto"/>
        <w:ind w:left="0"/>
        <w:rPr>
          <w:rFonts w:asciiTheme="minorHAnsi" w:hAnsiTheme="minorHAnsi"/>
          <w:sz w:val="22"/>
          <w:lang w:val="nb-NO"/>
        </w:rPr>
      </w:pPr>
      <w:r w:rsidRPr="00445832">
        <w:rPr>
          <w:rFonts w:asciiTheme="minorHAnsi" w:hAnsiTheme="minorHAnsi"/>
          <w:sz w:val="22"/>
          <w:lang w:val="nb-NO"/>
        </w:rPr>
        <w:t>Det er et krav om at alle semestrene på medisinstudiet skal ha nedsatt ei referansegruppe. Den skal bestå av minimum tre studenter samt semesterkoordinator og studiekonsulent. Gruppas hovedformål er å sikre kommunikasjon mellom studentene og undervisningsledelsen gjennom semesteret. Det er semesterkoordinatorenes ansvar å nedsette referansegrupper. Gruppa møtes minimum tre ganger i løpet av semesteret og det som kommer frem i disse møtene skal være med på å justere undervisningen fortløpende</w:t>
      </w:r>
      <w:r w:rsidR="00C11328">
        <w:rPr>
          <w:rFonts w:asciiTheme="minorHAnsi" w:hAnsiTheme="minorHAnsi"/>
          <w:sz w:val="22"/>
          <w:lang w:val="nb-NO"/>
        </w:rPr>
        <w:t>,</w:t>
      </w:r>
      <w:r w:rsidRPr="00445832">
        <w:rPr>
          <w:rFonts w:asciiTheme="minorHAnsi" w:hAnsiTheme="minorHAnsi"/>
          <w:sz w:val="22"/>
          <w:lang w:val="nb-NO"/>
        </w:rPr>
        <w:t xml:space="preserve"> samt danne noe av grunnlaget for sluttevalueringen. I ny rutine for emneevaluering ved DMF, skal studentene i referansegruppa skrive en evalueringsrapport etter endt eksamen. Den går til semesterkoordinator som grunnlag for sluttevalueringen for emnet.</w:t>
      </w:r>
    </w:p>
    <w:p w:rsidR="00445832" w:rsidRPr="00445832" w:rsidRDefault="00445832" w:rsidP="00445832">
      <w:pPr>
        <w:spacing w:line="276" w:lineRule="auto"/>
        <w:ind w:left="0"/>
        <w:rPr>
          <w:rFonts w:asciiTheme="minorHAnsi" w:hAnsiTheme="minorHAnsi"/>
          <w:sz w:val="22"/>
          <w:lang w:val="nb-NO"/>
        </w:rPr>
      </w:pPr>
      <w:r w:rsidRPr="00445832">
        <w:rPr>
          <w:rFonts w:asciiTheme="minorHAnsi" w:hAnsiTheme="minorHAnsi"/>
          <w:sz w:val="22"/>
          <w:lang w:val="nb-NO"/>
        </w:rPr>
        <w:t>En nærmere beskrivelse av hvordan arbeidet i referansegruppene skal gjennomføres, finnes i NTNUs system for kvalitetssikring av utdanning.</w:t>
      </w:r>
    </w:p>
    <w:p w:rsidR="00445832" w:rsidRPr="00445832" w:rsidRDefault="00445832" w:rsidP="00445832">
      <w:pPr>
        <w:pStyle w:val="Overskrift4"/>
        <w:rPr>
          <w:rFonts w:asciiTheme="minorHAnsi" w:hAnsiTheme="minorHAnsi"/>
        </w:rPr>
      </w:pPr>
      <w:r w:rsidRPr="00445832">
        <w:rPr>
          <w:rFonts w:asciiTheme="minorHAnsi" w:hAnsiTheme="minorHAnsi"/>
        </w:rPr>
        <w:t>Sluttevaluering</w:t>
      </w:r>
    </w:p>
    <w:p w:rsidR="00445832" w:rsidRPr="00445832" w:rsidRDefault="00445832" w:rsidP="00445832">
      <w:pPr>
        <w:pStyle w:val="Body1"/>
        <w:rPr>
          <w:rFonts w:asciiTheme="minorHAnsi" w:hAnsiTheme="minorHAnsi"/>
        </w:rPr>
      </w:pPr>
      <w:r w:rsidRPr="00445832">
        <w:rPr>
          <w:rFonts w:asciiTheme="minorHAnsi" w:hAnsiTheme="minorHAnsi"/>
        </w:rPr>
        <w:t>Etter hver gjennomføring av emnet skal semesterkoordinator gjennomføre en emneevaluering. Denne skrives etter endt sensur. Rapporten erstatter semesterkoordinatorenes rapportering til kvalitetsmeldinga fra fakultetet og erstatter også det som tidligere ble kalt semesterrapporten. I de fire første årene av medisinstudiet skal evalueringen skje ved studieår</w:t>
      </w:r>
      <w:r w:rsidR="00C11328">
        <w:rPr>
          <w:rFonts w:asciiTheme="minorHAnsi" w:hAnsiTheme="minorHAnsi"/>
        </w:rPr>
        <w:t xml:space="preserve">ets utløp, i resten av studiet </w:t>
      </w:r>
      <w:r w:rsidRPr="00445832">
        <w:rPr>
          <w:rFonts w:asciiTheme="minorHAnsi" w:hAnsiTheme="minorHAnsi"/>
        </w:rPr>
        <w:t>skjer evalueringen etter hvert semester</w:t>
      </w:r>
      <w:r w:rsidR="00C11328">
        <w:rPr>
          <w:rFonts w:asciiTheme="minorHAnsi" w:hAnsiTheme="minorHAnsi"/>
        </w:rPr>
        <w:t xml:space="preserve"> i henhold til emneinndelingen for medisinstudiet som beskrevet over</w:t>
      </w:r>
      <w:r w:rsidRPr="00445832">
        <w:rPr>
          <w:rFonts w:asciiTheme="minorHAnsi" w:hAnsiTheme="minorHAnsi"/>
        </w:rPr>
        <w:t>. Der to semesterkoordinatorer deler et emne (stadium I og II) skal de samarbeide om en sluttrapport fra emnet. I praksis innebærer dette at begge fyller ut skjemaet for "sitt" semester, og samarbeider om en sammenskriving til slutt. Semesterkoordinatoren som tilhører det koordinerende instituttet har ansvar for å ta initiativ til dette samarbeidet.</w:t>
      </w:r>
    </w:p>
    <w:p w:rsidR="00445832" w:rsidRPr="00445832" w:rsidRDefault="00445832" w:rsidP="00445832">
      <w:pPr>
        <w:spacing w:line="276" w:lineRule="auto"/>
        <w:ind w:left="0"/>
        <w:rPr>
          <w:rFonts w:asciiTheme="minorHAnsi" w:eastAsia="Arial Unicode MS" w:hAnsiTheme="minorHAnsi"/>
          <w:color w:val="000000"/>
          <w:sz w:val="22"/>
          <w:u w:color="000000"/>
          <w:lang w:val="nb-NO"/>
        </w:rPr>
      </w:pPr>
      <w:r w:rsidRPr="00445832">
        <w:rPr>
          <w:rFonts w:asciiTheme="minorHAnsi" w:eastAsia="Arial Unicode MS" w:hAnsiTheme="minorHAnsi"/>
          <w:color w:val="000000"/>
          <w:sz w:val="22"/>
          <w:u w:color="000000"/>
          <w:lang w:val="nb-NO"/>
        </w:rPr>
        <w:t>Alle emneevalueringer skal inneholde studentenes evaluering. Normalt vil dette være referansegruppenes rapport som skal vedlegges i sin helhet. Ved minimum hver tredje gjennomføring av emnet skal alle emnets studenter spørres for å sikre et representativt informasjonsgrunnlag. Sluttevalueringen skal også baseres på tilbakemelding fra de sentrale undervisningsenhetene som har bidratt til emnet, samt inneholde semesterkoordinators samlede vurdering på bakgrunn av alle innspill og relevant statistikk.</w:t>
      </w:r>
    </w:p>
    <w:p w:rsidR="00445832" w:rsidRPr="00445832" w:rsidRDefault="00445832" w:rsidP="00445832">
      <w:pPr>
        <w:spacing w:line="276" w:lineRule="auto"/>
        <w:ind w:left="0"/>
        <w:rPr>
          <w:rFonts w:asciiTheme="minorHAnsi" w:hAnsiTheme="minorHAnsi"/>
          <w:sz w:val="22"/>
          <w:lang w:val="nb-NO"/>
        </w:rPr>
      </w:pPr>
      <w:r w:rsidRPr="00445832">
        <w:rPr>
          <w:rFonts w:asciiTheme="minorHAnsi" w:eastAsia="Arial Unicode MS" w:hAnsiTheme="minorHAnsi"/>
          <w:color w:val="000000"/>
          <w:sz w:val="22"/>
          <w:u w:color="000000"/>
          <w:lang w:val="nb-NO"/>
        </w:rPr>
        <w:t xml:space="preserve">Nærmere beskrivelse av krav til innhold i emneevaluering </w:t>
      </w:r>
      <w:r w:rsidRPr="00445832">
        <w:rPr>
          <w:rFonts w:asciiTheme="minorHAnsi" w:hAnsiTheme="minorHAnsi"/>
          <w:sz w:val="22"/>
          <w:lang w:val="nb-NO"/>
        </w:rPr>
        <w:t>finnes i NTNUs system for kvalitetssikring av utdanning.</w:t>
      </w:r>
    </w:p>
    <w:p w:rsidR="00445832" w:rsidRPr="00445832" w:rsidRDefault="00445832" w:rsidP="00445832">
      <w:pPr>
        <w:pStyle w:val="Overskrift4"/>
        <w:rPr>
          <w:rFonts w:asciiTheme="minorHAnsi" w:hAnsiTheme="minorHAnsi"/>
        </w:rPr>
      </w:pPr>
      <w:r w:rsidRPr="00445832">
        <w:rPr>
          <w:rFonts w:asciiTheme="minorHAnsi" w:hAnsiTheme="minorHAnsi"/>
        </w:rPr>
        <w:lastRenderedPageBreak/>
        <w:t>Rapporten</w:t>
      </w:r>
    </w:p>
    <w:p w:rsidR="00445832" w:rsidRPr="00445832" w:rsidRDefault="00445832" w:rsidP="00445832">
      <w:pPr>
        <w:spacing w:line="276" w:lineRule="auto"/>
        <w:ind w:left="0"/>
        <w:rPr>
          <w:rFonts w:asciiTheme="minorHAnsi" w:hAnsiTheme="minorHAnsi"/>
          <w:sz w:val="22"/>
          <w:lang w:val="nb-NO"/>
        </w:rPr>
      </w:pPr>
      <w:r w:rsidRPr="00445832">
        <w:rPr>
          <w:rFonts w:asciiTheme="minorHAnsi" w:hAnsiTheme="minorHAnsi"/>
          <w:sz w:val="22"/>
          <w:lang w:val="nb-NO"/>
        </w:rPr>
        <w:t>Sluttevalueringen skal følge standardisert skjema for dette ved DMF. Den skal inneholde en helhetlig evaluering av semesteret/ året og skal tydelig klargjøre hvilke endringer (tiltak) man ønsker å gjøre, hvem som har ansvaret for dette og en plan for hvordan det kan gjennomføres. Rapporten skal videre diskutere og belyse undervisningen som er gitt med tanke på samsvaret mellom læringsmål, læringsaktiviteter og eksamen. Læringsmålene skal støttes av gode læringsaktiviteter og eksamen skal gjenspeile læringsmålene på en relevant måte.</w:t>
      </w:r>
    </w:p>
    <w:p w:rsidR="00445832" w:rsidRPr="00445832" w:rsidRDefault="00445832" w:rsidP="00445832">
      <w:pPr>
        <w:spacing w:line="276" w:lineRule="auto"/>
        <w:ind w:left="0"/>
        <w:rPr>
          <w:rFonts w:asciiTheme="minorHAnsi" w:hAnsiTheme="minorHAnsi"/>
          <w:sz w:val="22"/>
          <w:lang w:val="nb-NO"/>
        </w:rPr>
      </w:pPr>
      <w:r w:rsidRPr="00445832">
        <w:rPr>
          <w:rFonts w:asciiTheme="minorHAnsi" w:hAnsiTheme="minorHAnsi"/>
          <w:sz w:val="22"/>
          <w:lang w:val="nb-NO"/>
        </w:rPr>
        <w:t xml:space="preserve">Evalueringsskjemaet for emne- og semesterevaluering ved DMF er å finne </w:t>
      </w:r>
      <w:r w:rsidR="00095D5D">
        <w:rPr>
          <w:rFonts w:asciiTheme="minorHAnsi" w:hAnsiTheme="minorHAnsi"/>
          <w:sz w:val="22"/>
          <w:lang w:val="nb-NO"/>
        </w:rPr>
        <w:t xml:space="preserve">i NTNUs dokumenthåndteringssystem: </w:t>
      </w:r>
      <w:hyperlink r:id="rId10" w:anchor="/default.aspx" w:history="1">
        <w:r w:rsidR="00095D5D" w:rsidRPr="00913240">
          <w:rPr>
            <w:rStyle w:val="Hyperkobling"/>
            <w:rFonts w:asciiTheme="minorHAnsi" w:hAnsiTheme="minorHAnsi"/>
            <w:sz w:val="22"/>
            <w:lang w:val="nb-NO"/>
          </w:rPr>
          <w:t>https://irom.ivt.ntnu.no/ivt/adm/kvalitetssikring-utdanning/_layouts/15/start.aspx#/default.aspx</w:t>
        </w:r>
      </w:hyperlink>
      <w:r w:rsidR="00095D5D">
        <w:rPr>
          <w:rFonts w:asciiTheme="minorHAnsi" w:hAnsiTheme="minorHAnsi"/>
          <w:sz w:val="22"/>
          <w:lang w:val="nb-NO"/>
        </w:rPr>
        <w:t xml:space="preserve"> </w:t>
      </w:r>
    </w:p>
    <w:p w:rsidR="00445832" w:rsidRPr="00445832" w:rsidRDefault="00445832" w:rsidP="00445832">
      <w:pPr>
        <w:pStyle w:val="Overskrift4"/>
        <w:rPr>
          <w:rFonts w:asciiTheme="minorHAnsi" w:hAnsiTheme="minorHAnsi"/>
        </w:rPr>
      </w:pPr>
      <w:r w:rsidRPr="00445832">
        <w:rPr>
          <w:rFonts w:asciiTheme="minorHAnsi" w:hAnsiTheme="minorHAnsi"/>
        </w:rPr>
        <w:t>Ansvar og oppfølging</w:t>
      </w:r>
    </w:p>
    <w:p w:rsidR="00445832" w:rsidRPr="00445832" w:rsidRDefault="00445832" w:rsidP="00445832">
      <w:pPr>
        <w:spacing w:line="276" w:lineRule="auto"/>
        <w:ind w:left="0"/>
        <w:rPr>
          <w:rFonts w:asciiTheme="minorHAnsi" w:hAnsiTheme="minorHAnsi"/>
          <w:sz w:val="22"/>
          <w:lang w:val="nb-NO"/>
        </w:rPr>
      </w:pPr>
      <w:r w:rsidRPr="00445832">
        <w:rPr>
          <w:rFonts w:asciiTheme="minorHAnsi" w:hAnsiTheme="minorHAnsi"/>
          <w:sz w:val="22"/>
          <w:lang w:val="nb-NO"/>
        </w:rPr>
        <w:t xml:space="preserve">Det er semesterkoordinator som skal skrive sluttevalueringen for emnet. Det er vedkommendes instituttleder som er ansvarlig for at dette blir gjort. Instituttleder er ansvarlig for at rapporten distribueres til programrådet for medisinstudiet, samtlige berørte instituttledere og undervisningsenheter. </w:t>
      </w:r>
    </w:p>
    <w:p w:rsidR="00445832" w:rsidRPr="00445832" w:rsidRDefault="00445832" w:rsidP="00445832">
      <w:pPr>
        <w:spacing w:line="276" w:lineRule="auto"/>
        <w:ind w:left="0"/>
        <w:rPr>
          <w:rFonts w:asciiTheme="minorHAnsi" w:hAnsiTheme="minorHAnsi"/>
          <w:sz w:val="22"/>
          <w:lang w:val="nb-NO"/>
        </w:rPr>
      </w:pPr>
      <w:r w:rsidRPr="00445832">
        <w:rPr>
          <w:rFonts w:asciiTheme="minorHAnsi" w:hAnsiTheme="minorHAnsi"/>
          <w:sz w:val="22"/>
          <w:lang w:val="nb-NO"/>
        </w:rPr>
        <w:t xml:space="preserve">For at emneevalueringene skal få den tilsiktede funksjonen i å kvalitetssikre medisinstudiet, er det nødvendig at de foreslåtte handlingsplanene blir gjennomgått og fulgt opp. Semesterkoordinatorene kan gjøre mindre endringer innenfor sitt mandat. Instituttlederne har ansvar for å følge opp kvalitetsarbeidet mot undervisningsenhetene med prioriteringer og nødvendige ressurser, eventuelt å begrunne hvorfor foreslåtte tiltak ikke kan gjennomføres. Instituttenes kvalitetsarbeid og prioriteringer rapporteres årlig til fakultetet i kvalitetsmeldinga. </w:t>
      </w:r>
    </w:p>
    <w:p w:rsidR="00445832" w:rsidRPr="00445832" w:rsidRDefault="00445832" w:rsidP="00445832">
      <w:pPr>
        <w:spacing w:line="276" w:lineRule="auto"/>
        <w:ind w:left="0"/>
        <w:rPr>
          <w:rFonts w:asciiTheme="minorHAnsi" w:hAnsiTheme="minorHAnsi"/>
          <w:sz w:val="22"/>
          <w:lang w:val="nb-NO"/>
        </w:rPr>
      </w:pPr>
      <w:r w:rsidRPr="00445832">
        <w:rPr>
          <w:rFonts w:asciiTheme="minorHAnsi" w:hAnsiTheme="minorHAnsi"/>
          <w:sz w:val="22"/>
          <w:lang w:val="nb-NO"/>
        </w:rPr>
        <w:t xml:space="preserve">Emnerapportene må være tilgjengelige slik at de kan danne grunnlag for neste emneevaluering. Alle studentene på inneværende kull, samt referansegruppene på de tre neste kullene skal også ha tilgang til rapporten. </w:t>
      </w:r>
      <w:r w:rsidR="00095D5D">
        <w:rPr>
          <w:rFonts w:asciiTheme="minorHAnsi" w:hAnsiTheme="minorHAnsi"/>
          <w:sz w:val="22"/>
          <w:lang w:val="nb-NO"/>
        </w:rPr>
        <w:t xml:space="preserve">Emnerapportene arkiveres i NTNUs dokumenthåndteringssystem: </w:t>
      </w:r>
      <w:hyperlink r:id="rId11" w:anchor="/default.aspx" w:history="1">
        <w:r w:rsidR="00095D5D" w:rsidRPr="00913240">
          <w:rPr>
            <w:rStyle w:val="Hyperkobling"/>
            <w:rFonts w:asciiTheme="minorHAnsi" w:hAnsiTheme="minorHAnsi"/>
            <w:sz w:val="22"/>
            <w:lang w:val="nb-NO"/>
          </w:rPr>
          <w:t>https://irom.ivt.ntnu.no/ivt/adm/kvalitetssikring-utdanning/_layouts/15/start.aspx#/default.aspx</w:t>
        </w:r>
      </w:hyperlink>
      <w:r w:rsidR="00095D5D">
        <w:rPr>
          <w:rFonts w:asciiTheme="minorHAnsi" w:hAnsiTheme="minorHAnsi"/>
          <w:sz w:val="22"/>
          <w:lang w:val="nb-NO"/>
        </w:rPr>
        <w:t xml:space="preserve"> </w:t>
      </w:r>
    </w:p>
    <w:p w:rsidR="00445832" w:rsidRPr="00445832" w:rsidRDefault="00445832" w:rsidP="00445832">
      <w:pPr>
        <w:pStyle w:val="Overskrift2"/>
        <w:rPr>
          <w:rFonts w:asciiTheme="minorHAnsi" w:hAnsiTheme="minorHAnsi"/>
        </w:rPr>
      </w:pPr>
      <w:r w:rsidRPr="00445832">
        <w:rPr>
          <w:rFonts w:asciiTheme="minorHAnsi" w:hAnsiTheme="minorHAnsi"/>
        </w:rPr>
        <w:t>Programevaluering</w:t>
      </w:r>
    </w:p>
    <w:p w:rsidR="00445832" w:rsidRPr="00445832" w:rsidRDefault="00445832" w:rsidP="00445832">
      <w:pPr>
        <w:spacing w:line="276" w:lineRule="auto"/>
        <w:ind w:left="0"/>
        <w:rPr>
          <w:rFonts w:asciiTheme="minorHAnsi" w:hAnsiTheme="minorHAnsi"/>
          <w:sz w:val="22"/>
          <w:lang w:val="nb-NO"/>
        </w:rPr>
      </w:pPr>
      <w:r w:rsidRPr="00445832">
        <w:rPr>
          <w:rFonts w:asciiTheme="minorHAnsi" w:hAnsiTheme="minorHAnsi"/>
          <w:sz w:val="22"/>
          <w:lang w:val="nb-NO"/>
        </w:rPr>
        <w:t xml:space="preserve">Studieprogramrådet og dets leder er ansvarlig for evaluering av den helhetlige kvaliteten på medisinstudiet. Programrådet utarbeider en årlig rapport til dekan basert på emnerapportene, tidligere programevalueringer og relevant statistikk. Rapporten skal inneholde forslag til handlingsplan. Rapportene sendes i kopi til alle instituttlederne. </w:t>
      </w:r>
    </w:p>
    <w:p w:rsidR="00445832" w:rsidRPr="00445832" w:rsidRDefault="00445832" w:rsidP="00445832">
      <w:pPr>
        <w:spacing w:line="276" w:lineRule="auto"/>
        <w:ind w:left="0"/>
        <w:rPr>
          <w:rFonts w:asciiTheme="minorHAnsi" w:hAnsiTheme="minorHAnsi"/>
          <w:sz w:val="22"/>
          <w:lang w:val="nb-NO"/>
        </w:rPr>
      </w:pPr>
      <w:r w:rsidRPr="00445832">
        <w:rPr>
          <w:rFonts w:asciiTheme="minorHAnsi" w:hAnsiTheme="minorHAnsi"/>
          <w:sz w:val="22"/>
          <w:lang w:val="nb-NO"/>
        </w:rPr>
        <w:t>Hvert femte år skal det gjennomføres en periodisk studieprogramevaluering av medisinstudiet med innspill fra eksterne aktører. Dekan er ansvarlig for at dette blir gjennomført.</w:t>
      </w:r>
    </w:p>
    <w:p w:rsidR="00C6269C" w:rsidRDefault="00445832" w:rsidP="008C2BAB">
      <w:pPr>
        <w:spacing w:line="276" w:lineRule="auto"/>
        <w:ind w:left="0"/>
        <w:rPr>
          <w:rFonts w:asciiTheme="minorHAnsi" w:hAnsiTheme="minorHAnsi"/>
          <w:sz w:val="22"/>
          <w:lang w:val="nb-NO"/>
        </w:rPr>
      </w:pPr>
      <w:r w:rsidRPr="00445832">
        <w:rPr>
          <w:rFonts w:asciiTheme="minorHAnsi" w:hAnsiTheme="minorHAnsi"/>
          <w:sz w:val="22"/>
          <w:lang w:val="nb-NO"/>
        </w:rPr>
        <w:t>Mer informasjon om studieprogramevaluering finnes i NTNUs system for kvalitetssikring av utdanning</w:t>
      </w:r>
      <w:bookmarkStart w:id="15" w:name="start"/>
      <w:bookmarkEnd w:id="15"/>
      <w:r w:rsidR="00095D5D">
        <w:rPr>
          <w:rFonts w:asciiTheme="minorHAnsi" w:hAnsiTheme="minorHAnsi"/>
          <w:sz w:val="22"/>
          <w:lang w:val="nb-NO"/>
        </w:rPr>
        <w:t>.</w:t>
      </w:r>
    </w:p>
    <w:p w:rsidR="00431350" w:rsidRDefault="00431350" w:rsidP="008C2BAB">
      <w:pPr>
        <w:spacing w:line="276" w:lineRule="auto"/>
        <w:ind w:left="0"/>
        <w:rPr>
          <w:rFonts w:asciiTheme="minorHAnsi" w:hAnsiTheme="minorHAnsi"/>
          <w:sz w:val="22"/>
          <w:lang w:val="nb-NO"/>
        </w:rPr>
      </w:pPr>
    </w:p>
    <w:sectPr w:rsidR="00431350">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E8" w:rsidRDefault="007848E8">
      <w:r>
        <w:separator/>
      </w:r>
    </w:p>
  </w:endnote>
  <w:endnote w:type="continuationSeparator" w:id="0">
    <w:p w:rsidR="007848E8" w:rsidRDefault="0078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9C" w:rsidRDefault="00C6269C">
    <w:pPr>
      <w:pStyle w:val="Bunntekst"/>
      <w:pBdr>
        <w:bottom w:val="single" w:sz="4" w:space="1" w:color="auto"/>
      </w:pBdr>
    </w:pPr>
  </w:p>
  <w:p w:rsidR="00C6269C" w:rsidRDefault="00C6269C">
    <w:pPr>
      <w:pStyle w:val="FooterFet"/>
      <w:rPr>
        <w:bCs/>
      </w:rPr>
    </w:pPr>
    <w:r>
      <w:t>Postadresse</w:t>
    </w:r>
    <w:r>
      <w:tab/>
      <w:t xml:space="preserve">Org.nr. </w:t>
    </w:r>
    <w:r>
      <w:rPr>
        <w:b w:val="0"/>
        <w:bCs/>
      </w:rPr>
      <w:t>974 767 880</w:t>
    </w:r>
    <w:r>
      <w:rPr>
        <w:bCs/>
      </w:rPr>
      <w:tab/>
    </w:r>
    <w:r>
      <w:t>Besøksadresse</w:t>
    </w:r>
    <w:r>
      <w:tab/>
      <w:t>Telefon</w:t>
    </w:r>
    <w:r>
      <w:tab/>
    </w:r>
    <w:bookmarkStart w:id="8" w:name="tittel"/>
    <w:bookmarkEnd w:id="8"/>
    <w:r w:rsidR="00445832">
      <w:t>Rådgiver</w:t>
    </w:r>
  </w:p>
  <w:p w:rsidR="00C6269C" w:rsidRDefault="000D6448">
    <w:pPr>
      <w:pStyle w:val="FooterTekst"/>
    </w:pPr>
    <w:r>
      <w:t>Postboks 8905</w:t>
    </w:r>
    <w:r w:rsidR="00C6269C">
      <w:tab/>
      <w:t>E-post:</w:t>
    </w:r>
    <w:r w:rsidR="00C6269C">
      <w:tab/>
    </w:r>
    <w:r>
      <w:t>Medisinsk teknisk</w:t>
    </w:r>
    <w:r w:rsidR="00C6269C">
      <w:tab/>
      <w:t xml:space="preserve">+ 47 </w:t>
    </w:r>
    <w:r>
      <w:t>73 59 88 59</w:t>
    </w:r>
    <w:r w:rsidR="00C6269C">
      <w:tab/>
    </w:r>
    <w:bookmarkStart w:id="9" w:name="Navn"/>
    <w:bookmarkEnd w:id="9"/>
    <w:r w:rsidR="00445832">
      <w:t>Anne Nylund</w:t>
    </w:r>
  </w:p>
  <w:p w:rsidR="00C6269C" w:rsidRDefault="000D6448">
    <w:pPr>
      <w:pStyle w:val="FooterTekst"/>
    </w:pPr>
    <w:r>
      <w:t>MTFS</w:t>
    </w:r>
    <w:r w:rsidR="00C6269C">
      <w:tab/>
    </w:r>
    <w:r>
      <w:t>dmf-post@medisin.ntnu.no</w:t>
    </w:r>
    <w:r w:rsidR="00C6269C">
      <w:tab/>
    </w:r>
    <w:r>
      <w:t>forskningssenter</w:t>
    </w:r>
    <w:r w:rsidR="00C6269C">
      <w:tab/>
    </w:r>
    <w:r w:rsidR="00C6269C">
      <w:rPr>
        <w:rFonts w:ascii="Arial" w:hAnsi="Arial"/>
        <w:b/>
      </w:rPr>
      <w:t>Telefaks</w:t>
    </w:r>
    <w:r w:rsidR="00C6269C">
      <w:tab/>
    </w:r>
    <w:bookmarkStart w:id="10" w:name="Navn2"/>
    <w:bookmarkEnd w:id="10"/>
  </w:p>
  <w:p w:rsidR="00C6269C" w:rsidRDefault="000D6448">
    <w:pPr>
      <w:pStyle w:val="FooterTekst"/>
    </w:pPr>
    <w:r>
      <w:t>7491 Trondheim</w:t>
    </w:r>
    <w:r w:rsidR="00C6269C">
      <w:tab/>
      <w:t>http://</w:t>
    </w:r>
    <w:r>
      <w:t>www.ntnu.no/dmf</w:t>
    </w:r>
    <w:r w:rsidR="00C6269C">
      <w:tab/>
    </w:r>
    <w:r>
      <w:t xml:space="preserve">Olav Kyrres </w:t>
    </w:r>
    <w:proofErr w:type="spellStart"/>
    <w:r>
      <w:t>gt</w:t>
    </w:r>
    <w:proofErr w:type="spellEnd"/>
    <w:r>
      <w:t xml:space="preserve"> 9</w:t>
    </w:r>
    <w:r w:rsidR="00C6269C">
      <w:tab/>
      <w:t xml:space="preserve">+ 47 </w:t>
    </w:r>
    <w:r>
      <w:t>73 59 88 65</w:t>
    </w:r>
    <w:r w:rsidR="00C6269C">
      <w:tab/>
    </w:r>
    <w:proofErr w:type="spellStart"/>
    <w:r w:rsidR="00C6269C">
      <w:t>Tlf</w:t>
    </w:r>
    <w:proofErr w:type="spellEnd"/>
    <w:r w:rsidR="00C6269C">
      <w:t xml:space="preserve">: + 47 </w:t>
    </w:r>
    <w:bookmarkStart w:id="11" w:name="Tlf"/>
    <w:bookmarkEnd w:id="11"/>
    <w:r w:rsidR="00445832">
      <w:t>73598877</w:t>
    </w:r>
  </w:p>
  <w:p w:rsidR="00C6269C" w:rsidRDefault="00C6269C">
    <w:pPr>
      <w:pStyle w:val="Bunntekst"/>
      <w:rPr>
        <w:sz w:val="6"/>
        <w:lang w:val="nb-NO"/>
      </w:rPr>
    </w:pPr>
  </w:p>
  <w:p w:rsidR="00C6269C" w:rsidRDefault="00C6269C">
    <w:pPr>
      <w:pStyle w:val="FooterGraa"/>
    </w:pPr>
    <w:r>
      <w:t>All korrespondanse som inngår i saksbehandling skal adresseres til saksbehandlende enhet ved NTNU og ikke direkte til enkeltpersoner. Ved henvendelse vennligst oppgi referanse.</w:t>
    </w:r>
  </w:p>
  <w:p w:rsidR="00C6269C" w:rsidRDefault="00C6269C">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E8" w:rsidRDefault="007848E8">
      <w:r>
        <w:separator/>
      </w:r>
    </w:p>
  </w:footnote>
  <w:footnote w:type="continuationSeparator" w:id="0">
    <w:p w:rsidR="007848E8" w:rsidRDefault="00784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9C" w:rsidRDefault="00C6269C">
    <w:pPr>
      <w:pStyle w:val="sidetall"/>
    </w:pPr>
    <w:r>
      <w:tab/>
    </w:r>
    <w:r>
      <w:tab/>
    </w:r>
    <w:r>
      <w:fldChar w:fldCharType="begin"/>
    </w:r>
    <w:r>
      <w:instrText xml:space="preserve"> PAGE </w:instrText>
    </w:r>
    <w:r>
      <w:fldChar w:fldCharType="separate"/>
    </w:r>
    <w:r w:rsidR="000C0396">
      <w:t>4</w:t>
    </w:r>
    <w:r>
      <w:fldChar w:fldCharType="end"/>
    </w:r>
    <w:r>
      <w:t xml:space="preserve"> av </w:t>
    </w:r>
    <w:r>
      <w:fldChar w:fldCharType="begin"/>
    </w:r>
    <w:r>
      <w:instrText xml:space="preserve"> NUMPAGES </w:instrText>
    </w:r>
    <w:r>
      <w:fldChar w:fldCharType="separate"/>
    </w:r>
    <w:r w:rsidR="000C0396">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C6269C">
      <w:tc>
        <w:tcPr>
          <w:tcW w:w="6579" w:type="dxa"/>
          <w:tcBorders>
            <w:top w:val="nil"/>
            <w:left w:val="nil"/>
            <w:bottom w:val="nil"/>
            <w:right w:val="nil"/>
          </w:tcBorders>
        </w:tcPr>
        <w:p w:rsidR="00C6269C" w:rsidRDefault="00C6269C">
          <w:pPr>
            <w:pStyle w:val="Header2"/>
          </w:pPr>
          <w:r>
            <w:t>Norges teknisk-naturvitenskapelige universitet</w:t>
          </w:r>
        </w:p>
      </w:tc>
      <w:tc>
        <w:tcPr>
          <w:tcW w:w="1341" w:type="dxa"/>
          <w:tcBorders>
            <w:top w:val="nil"/>
            <w:left w:val="nil"/>
            <w:bottom w:val="nil"/>
            <w:right w:val="nil"/>
          </w:tcBorders>
        </w:tcPr>
        <w:p w:rsidR="00C6269C" w:rsidRDefault="00C6269C">
          <w:pPr>
            <w:pStyle w:val="DatoRefTekst"/>
          </w:pPr>
          <w:r>
            <w:t>Vår dato</w:t>
          </w:r>
        </w:p>
        <w:p w:rsidR="00C6269C" w:rsidRDefault="00445832">
          <w:pPr>
            <w:pStyle w:val="DatoRefFyllInn"/>
          </w:pPr>
          <w:bookmarkStart w:id="2" w:name="VarDato2"/>
          <w:bookmarkEnd w:id="2"/>
          <w:proofErr w:type="gramStart"/>
          <w:r>
            <w:t>13.09.2013</w:t>
          </w:r>
          <w:proofErr w:type="gramEnd"/>
        </w:p>
      </w:tc>
      <w:tc>
        <w:tcPr>
          <w:tcW w:w="1996" w:type="dxa"/>
          <w:tcBorders>
            <w:top w:val="nil"/>
            <w:left w:val="nil"/>
            <w:bottom w:val="nil"/>
            <w:right w:val="nil"/>
          </w:tcBorders>
        </w:tcPr>
        <w:p w:rsidR="00C6269C" w:rsidRDefault="00C6269C">
          <w:pPr>
            <w:pStyle w:val="DatoRefTekst"/>
          </w:pPr>
          <w:r>
            <w:t>Vår referanse</w:t>
          </w:r>
        </w:p>
        <w:p w:rsidR="00C6269C" w:rsidRDefault="00C6269C">
          <w:pPr>
            <w:pStyle w:val="DatoRefFyllInn"/>
          </w:pPr>
          <w:bookmarkStart w:id="3" w:name="VarRef2"/>
          <w:bookmarkEnd w:id="3"/>
        </w:p>
      </w:tc>
    </w:tr>
  </w:tbl>
  <w:p w:rsidR="00C6269C" w:rsidRDefault="00C6269C">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9C" w:rsidRDefault="00E20617">
    <w:pPr>
      <w:pStyle w:val="sidetall"/>
    </w:pPr>
    <w:r>
      <w:rPr>
        <w:snapToGrid/>
        <w:sz w:val="20"/>
        <w:lang w:eastAsia="nb-NO"/>
      </w:rPr>
      <w:drawing>
        <wp:anchor distT="0" distB="0" distL="114300" distR="114300" simplePos="0" relativeHeight="251657728" behindDoc="0" locked="0" layoutInCell="1" allowOverlap="1">
          <wp:simplePos x="0" y="0"/>
          <wp:positionH relativeFrom="column">
            <wp:posOffset>53975</wp:posOffset>
          </wp:positionH>
          <wp:positionV relativeFrom="paragraph">
            <wp:posOffset>17780</wp:posOffset>
          </wp:positionV>
          <wp:extent cx="1638300" cy="304800"/>
          <wp:effectExtent l="0" t="0" r="0" b="0"/>
          <wp:wrapNone/>
          <wp:docPr id="10" name="Pictur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69C">
      <w:tab/>
    </w:r>
    <w:r w:rsidR="00C6269C">
      <w:tab/>
    </w:r>
    <w:r w:rsidR="00C6269C">
      <w:tab/>
    </w:r>
    <w:r w:rsidR="00C6269C">
      <w:fldChar w:fldCharType="begin"/>
    </w:r>
    <w:r w:rsidR="00C6269C">
      <w:instrText xml:space="preserve"> PAGE </w:instrText>
    </w:r>
    <w:r w:rsidR="00C6269C">
      <w:fldChar w:fldCharType="separate"/>
    </w:r>
    <w:r w:rsidR="000C0396">
      <w:t>1</w:t>
    </w:r>
    <w:r w:rsidR="00C6269C">
      <w:fldChar w:fldCharType="end"/>
    </w:r>
    <w:r w:rsidR="00C6269C">
      <w:t xml:space="preserve"> av </w:t>
    </w:r>
    <w:r w:rsidR="00C6269C">
      <w:fldChar w:fldCharType="begin"/>
    </w:r>
    <w:r w:rsidR="00C6269C">
      <w:instrText xml:space="preserve"> NUMPAGES </w:instrText>
    </w:r>
    <w:r w:rsidR="00C6269C">
      <w:fldChar w:fldCharType="separate"/>
    </w:r>
    <w:r w:rsidR="000C0396">
      <w:t>3</w:t>
    </w:r>
    <w:r w:rsidR="00C6269C">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C6269C">
      <w:tc>
        <w:tcPr>
          <w:tcW w:w="6579" w:type="dxa"/>
          <w:tcBorders>
            <w:top w:val="nil"/>
            <w:left w:val="nil"/>
            <w:bottom w:val="nil"/>
            <w:right w:val="nil"/>
          </w:tcBorders>
        </w:tcPr>
        <w:p w:rsidR="00C6269C" w:rsidRDefault="00C6269C">
          <w:pPr>
            <w:pStyle w:val="Topptekst"/>
            <w:rPr>
              <w:lang w:val="nb-NO"/>
            </w:rPr>
          </w:pPr>
        </w:p>
      </w:tc>
      <w:tc>
        <w:tcPr>
          <w:tcW w:w="1341" w:type="dxa"/>
          <w:tcBorders>
            <w:top w:val="nil"/>
            <w:left w:val="nil"/>
            <w:bottom w:val="nil"/>
            <w:right w:val="nil"/>
          </w:tcBorders>
        </w:tcPr>
        <w:p w:rsidR="00C6269C" w:rsidRDefault="00C6269C">
          <w:pPr>
            <w:pStyle w:val="DatoRefTekst"/>
          </w:pPr>
          <w:r>
            <w:t>Vår dato</w:t>
          </w:r>
        </w:p>
        <w:p w:rsidR="00C6269C" w:rsidRDefault="00445832">
          <w:pPr>
            <w:pStyle w:val="DatoFyllInn1"/>
          </w:pPr>
          <w:bookmarkStart w:id="4" w:name="VarDato"/>
          <w:bookmarkEnd w:id="4"/>
          <w:proofErr w:type="gramStart"/>
          <w:r>
            <w:t>13.09.2013</w:t>
          </w:r>
          <w:proofErr w:type="gramEnd"/>
        </w:p>
      </w:tc>
      <w:tc>
        <w:tcPr>
          <w:tcW w:w="1996" w:type="dxa"/>
          <w:tcBorders>
            <w:top w:val="nil"/>
            <w:left w:val="nil"/>
            <w:bottom w:val="nil"/>
            <w:right w:val="nil"/>
          </w:tcBorders>
        </w:tcPr>
        <w:p w:rsidR="00C6269C" w:rsidRDefault="00C6269C">
          <w:pPr>
            <w:pStyle w:val="DatoRefTekst"/>
          </w:pPr>
          <w:r>
            <w:t>Vår referanse</w:t>
          </w:r>
        </w:p>
        <w:p w:rsidR="00C6269C" w:rsidRDefault="00C6269C">
          <w:pPr>
            <w:pStyle w:val="DatoFyllInn1"/>
          </w:pPr>
          <w:bookmarkStart w:id="5" w:name="VarRef"/>
          <w:bookmarkEnd w:id="5"/>
        </w:p>
      </w:tc>
    </w:tr>
    <w:tr w:rsidR="00C6269C">
      <w:tc>
        <w:tcPr>
          <w:tcW w:w="6579" w:type="dxa"/>
          <w:tcBorders>
            <w:top w:val="nil"/>
            <w:left w:val="nil"/>
            <w:bottom w:val="nil"/>
            <w:right w:val="nil"/>
          </w:tcBorders>
        </w:tcPr>
        <w:p w:rsidR="00C6269C" w:rsidRDefault="000D6448">
          <w:pPr>
            <w:pStyle w:val="Header1"/>
          </w:pPr>
          <w:r>
            <w:t>Det medisinske fakultet</w:t>
          </w:r>
        </w:p>
        <w:p w:rsidR="00C6269C" w:rsidRDefault="00C6269C">
          <w:pPr>
            <w:pStyle w:val="Header1"/>
          </w:pPr>
        </w:p>
      </w:tc>
      <w:tc>
        <w:tcPr>
          <w:tcW w:w="1341" w:type="dxa"/>
          <w:tcBorders>
            <w:top w:val="nil"/>
            <w:left w:val="nil"/>
            <w:bottom w:val="nil"/>
            <w:right w:val="nil"/>
          </w:tcBorders>
        </w:tcPr>
        <w:p w:rsidR="00C6269C" w:rsidRDefault="00C6269C">
          <w:pPr>
            <w:pStyle w:val="DatoRefTekst2"/>
          </w:pPr>
          <w:r>
            <w:t>Deres dato</w:t>
          </w:r>
        </w:p>
        <w:p w:rsidR="00C6269C" w:rsidRDefault="00C6269C">
          <w:pPr>
            <w:pStyle w:val="DatoRefFyllInn"/>
          </w:pPr>
          <w:bookmarkStart w:id="6" w:name="DeresDato"/>
          <w:bookmarkEnd w:id="6"/>
        </w:p>
      </w:tc>
      <w:tc>
        <w:tcPr>
          <w:tcW w:w="1996" w:type="dxa"/>
          <w:tcBorders>
            <w:top w:val="nil"/>
            <w:left w:val="nil"/>
            <w:bottom w:val="nil"/>
            <w:right w:val="nil"/>
          </w:tcBorders>
        </w:tcPr>
        <w:p w:rsidR="00C6269C" w:rsidRDefault="00C6269C">
          <w:pPr>
            <w:pStyle w:val="DatoRefTekst2"/>
          </w:pPr>
          <w:r>
            <w:t>Deres referanse</w:t>
          </w:r>
        </w:p>
        <w:p w:rsidR="00C6269C" w:rsidRDefault="00C6269C">
          <w:pPr>
            <w:pStyle w:val="DatoRefFyllInn"/>
          </w:pPr>
          <w:bookmarkStart w:id="7" w:name="DeresRef"/>
          <w:bookmarkEnd w:id="7"/>
        </w:p>
      </w:tc>
    </w:tr>
  </w:tbl>
  <w:p w:rsidR="00C6269C" w:rsidRDefault="00C6269C">
    <w:pPr>
      <w:pStyle w:val="Topptekst"/>
      <w:pBdr>
        <w:bottom w:val="single" w:sz="4" w:space="1" w:color="auto"/>
      </w:pBdr>
      <w:rPr>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32"/>
    <w:rsid w:val="00095D5D"/>
    <w:rsid w:val="000C0396"/>
    <w:rsid w:val="000D6448"/>
    <w:rsid w:val="00367059"/>
    <w:rsid w:val="00431350"/>
    <w:rsid w:val="00445832"/>
    <w:rsid w:val="007848E8"/>
    <w:rsid w:val="008C2BAB"/>
    <w:rsid w:val="00967BC6"/>
    <w:rsid w:val="00986244"/>
    <w:rsid w:val="00AA2AA9"/>
    <w:rsid w:val="00AD1743"/>
    <w:rsid w:val="00B6069A"/>
    <w:rsid w:val="00B752B0"/>
    <w:rsid w:val="00C11328"/>
    <w:rsid w:val="00C6269C"/>
    <w:rsid w:val="00C976EA"/>
    <w:rsid w:val="00E06B72"/>
    <w:rsid w:val="00E206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qFormat/>
    <w:pPr>
      <w:keepNext/>
      <w:spacing w:before="840"/>
      <w:outlineLvl w:val="0"/>
    </w:pPr>
    <w:rPr>
      <w:rFonts w:ascii="Arial" w:hAnsi="Arial" w:cs="Arial"/>
      <w:b/>
      <w:bCs/>
      <w:kern w:val="32"/>
      <w:sz w:val="30"/>
      <w:szCs w:val="32"/>
    </w:rPr>
  </w:style>
  <w:style w:type="paragraph" w:styleId="Overskrift2">
    <w:name w:val="heading 2"/>
    <w:basedOn w:val="Normal"/>
    <w:next w:val="Normal"/>
    <w:link w:val="Overskrift2Tegn"/>
    <w:uiPriority w:val="9"/>
    <w:unhideWhenUsed/>
    <w:qFormat/>
    <w:rsid w:val="00445832"/>
    <w:pPr>
      <w:keepNext/>
      <w:keepLines/>
      <w:spacing w:before="200" w:after="0" w:line="276" w:lineRule="auto"/>
      <w:ind w:left="0" w:right="0"/>
      <w:outlineLvl w:val="1"/>
    </w:pPr>
    <w:rPr>
      <w:rFonts w:ascii="Cambria" w:hAnsi="Cambria"/>
      <w:b/>
      <w:bCs/>
      <w:color w:val="4F81BD"/>
      <w:sz w:val="26"/>
      <w:szCs w:val="26"/>
      <w:lang w:val="nb-NO"/>
    </w:rPr>
  </w:style>
  <w:style w:type="paragraph" w:styleId="Overskrift3">
    <w:name w:val="heading 3"/>
    <w:basedOn w:val="Normal"/>
    <w:next w:val="Normal"/>
    <w:link w:val="Overskrift3Tegn"/>
    <w:uiPriority w:val="9"/>
    <w:unhideWhenUsed/>
    <w:qFormat/>
    <w:rsid w:val="00445832"/>
    <w:pPr>
      <w:keepNext/>
      <w:keepLines/>
      <w:spacing w:before="200" w:after="0" w:line="276" w:lineRule="auto"/>
      <w:ind w:left="0" w:right="0"/>
      <w:outlineLvl w:val="2"/>
    </w:pPr>
    <w:rPr>
      <w:rFonts w:ascii="Cambria" w:hAnsi="Cambria"/>
      <w:b/>
      <w:bCs/>
      <w:color w:val="4F81BD"/>
      <w:sz w:val="22"/>
      <w:szCs w:val="22"/>
      <w:lang w:val="nb-NO"/>
    </w:rPr>
  </w:style>
  <w:style w:type="paragraph" w:styleId="Overskrift4">
    <w:name w:val="heading 4"/>
    <w:basedOn w:val="Normal"/>
    <w:next w:val="Normal"/>
    <w:link w:val="Overskrift4Tegn"/>
    <w:uiPriority w:val="9"/>
    <w:unhideWhenUsed/>
    <w:qFormat/>
    <w:rsid w:val="00445832"/>
    <w:pPr>
      <w:keepNext/>
      <w:keepLines/>
      <w:spacing w:before="200" w:after="0" w:line="276" w:lineRule="auto"/>
      <w:ind w:left="0" w:right="0"/>
      <w:outlineLvl w:val="3"/>
    </w:pPr>
    <w:rPr>
      <w:rFonts w:ascii="Cambria" w:hAnsi="Cambria"/>
      <w:b/>
      <w:bCs/>
      <w:i/>
      <w:iCs/>
      <w:color w:val="4F81BD"/>
      <w:sz w:val="22"/>
      <w:szCs w:val="2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bCs/>
    </w:rPr>
  </w:style>
  <w:style w:type="paragraph" w:customStyle="1" w:styleId="FooterIkkeFet">
    <w:name w:val="FooterIkkeFet"/>
    <w:basedOn w:val="FooterFet"/>
    <w:autoRedefine/>
    <w:rPr>
      <w:b w:val="0"/>
      <w:bCs/>
    </w:rPr>
  </w:style>
  <w:style w:type="character" w:customStyle="1" w:styleId="Overskrift2Tegn">
    <w:name w:val="Overskrift 2 Tegn"/>
    <w:basedOn w:val="Standardskriftforavsnitt"/>
    <w:link w:val="Overskrift2"/>
    <w:uiPriority w:val="9"/>
    <w:rsid w:val="00445832"/>
    <w:rPr>
      <w:rFonts w:ascii="Cambria" w:hAnsi="Cambria"/>
      <w:b/>
      <w:bCs/>
      <w:color w:val="4F81BD"/>
      <w:sz w:val="26"/>
      <w:szCs w:val="26"/>
      <w:lang w:eastAsia="en-US"/>
    </w:rPr>
  </w:style>
  <w:style w:type="paragraph" w:customStyle="1" w:styleId="Kolonne1">
    <w:name w:val="Kolonne1"/>
    <w:basedOn w:val="Merknad"/>
    <w:pPr>
      <w:spacing w:after="170"/>
    </w:pPr>
  </w:style>
  <w:style w:type="character" w:customStyle="1" w:styleId="Overskrift3Tegn">
    <w:name w:val="Overskrift 3 Tegn"/>
    <w:basedOn w:val="Standardskriftforavsnitt"/>
    <w:link w:val="Overskrift3"/>
    <w:uiPriority w:val="9"/>
    <w:rsid w:val="00445832"/>
    <w:rPr>
      <w:rFonts w:ascii="Cambria" w:hAnsi="Cambria"/>
      <w:b/>
      <w:bCs/>
      <w:color w:val="4F81BD"/>
      <w:sz w:val="22"/>
      <w:szCs w:val="22"/>
      <w:lang w:eastAsia="en-US"/>
    </w:rPr>
  </w:style>
  <w:style w:type="character" w:customStyle="1" w:styleId="Overskrift4Tegn">
    <w:name w:val="Overskrift 4 Tegn"/>
    <w:basedOn w:val="Standardskriftforavsnitt"/>
    <w:link w:val="Overskrift4"/>
    <w:uiPriority w:val="9"/>
    <w:rsid w:val="00445832"/>
    <w:rPr>
      <w:rFonts w:ascii="Cambria" w:hAnsi="Cambria"/>
      <w:b/>
      <w:bCs/>
      <w:i/>
      <w:iCs/>
      <w:color w:val="4F81BD"/>
      <w:sz w:val="22"/>
      <w:szCs w:val="22"/>
      <w:lang w:eastAsia="en-US"/>
    </w:rPr>
  </w:style>
  <w:style w:type="table" w:styleId="Tabellrutenett">
    <w:name w:val="Table Grid"/>
    <w:basedOn w:val="Vanligtabell"/>
    <w:uiPriority w:val="59"/>
    <w:rsid w:val="004458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445832"/>
    <w:pPr>
      <w:spacing w:after="200" w:line="276" w:lineRule="auto"/>
      <w:outlineLvl w:val="0"/>
    </w:pPr>
    <w:rPr>
      <w:rFonts w:ascii="Helvetica" w:eastAsia="Arial Unicode MS" w:hAnsi="Helvetica"/>
      <w:color w:val="000000"/>
      <w:sz w:val="22"/>
      <w:u w:color="000000"/>
    </w:rPr>
  </w:style>
  <w:style w:type="paragraph" w:styleId="Undertittel">
    <w:name w:val="Subtitle"/>
    <w:basedOn w:val="Normal"/>
    <w:next w:val="Normal"/>
    <w:link w:val="UndertittelTegn"/>
    <w:uiPriority w:val="11"/>
    <w:qFormat/>
    <w:rsid w:val="00445832"/>
    <w:pPr>
      <w:numPr>
        <w:ilvl w:val="1"/>
      </w:numPr>
      <w:spacing w:after="200" w:line="276" w:lineRule="auto"/>
      <w:ind w:left="85" w:right="0"/>
    </w:pPr>
    <w:rPr>
      <w:rFonts w:ascii="Cambria" w:hAnsi="Cambria"/>
      <w:i/>
      <w:iCs/>
      <w:color w:val="4F81BD"/>
      <w:spacing w:val="15"/>
      <w:lang w:val="nb-NO"/>
    </w:rPr>
  </w:style>
  <w:style w:type="character" w:customStyle="1" w:styleId="UndertittelTegn">
    <w:name w:val="Undertittel Tegn"/>
    <w:basedOn w:val="Standardskriftforavsnitt"/>
    <w:link w:val="Undertittel"/>
    <w:uiPriority w:val="11"/>
    <w:rsid w:val="00445832"/>
    <w:rPr>
      <w:rFonts w:ascii="Cambria" w:hAnsi="Cambria"/>
      <w:i/>
      <w:iCs/>
      <w:color w:val="4F81BD"/>
      <w:spacing w:val="15"/>
      <w:sz w:val="24"/>
      <w:szCs w:val="24"/>
      <w:lang w:eastAsia="en-US"/>
    </w:rPr>
  </w:style>
  <w:style w:type="paragraph" w:styleId="Tittel">
    <w:name w:val="Title"/>
    <w:basedOn w:val="Normal"/>
    <w:next w:val="Normal"/>
    <w:link w:val="TittelTegn"/>
    <w:uiPriority w:val="10"/>
    <w:qFormat/>
    <w:rsid w:val="00445832"/>
    <w:pPr>
      <w:pBdr>
        <w:bottom w:val="single" w:sz="8" w:space="4" w:color="4F81BD"/>
      </w:pBdr>
      <w:spacing w:after="300"/>
      <w:ind w:left="0" w:right="0"/>
      <w:contextualSpacing/>
    </w:pPr>
    <w:rPr>
      <w:rFonts w:ascii="Cambria" w:hAnsi="Cambria"/>
      <w:color w:val="17365D"/>
      <w:spacing w:val="5"/>
      <w:kern w:val="28"/>
      <w:sz w:val="52"/>
      <w:szCs w:val="52"/>
      <w:lang w:val="nb-NO"/>
    </w:rPr>
  </w:style>
  <w:style w:type="character" w:customStyle="1" w:styleId="TittelTegn">
    <w:name w:val="Tittel Tegn"/>
    <w:basedOn w:val="Standardskriftforavsnitt"/>
    <w:link w:val="Tittel"/>
    <w:uiPriority w:val="10"/>
    <w:rsid w:val="00445832"/>
    <w:rPr>
      <w:rFonts w:ascii="Cambria" w:hAnsi="Cambria"/>
      <w:color w:val="17365D"/>
      <w:spacing w:val="5"/>
      <w:kern w:val="28"/>
      <w:sz w:val="52"/>
      <w:szCs w:val="52"/>
      <w:lang w:eastAsia="en-US"/>
    </w:rPr>
  </w:style>
  <w:style w:type="paragraph" w:styleId="Bobletekst">
    <w:name w:val="Balloon Text"/>
    <w:basedOn w:val="Normal"/>
    <w:link w:val="BobletekstTegn"/>
    <w:rsid w:val="00445832"/>
    <w:pPr>
      <w:spacing w:after="0"/>
    </w:pPr>
    <w:rPr>
      <w:rFonts w:ascii="Tahoma" w:hAnsi="Tahoma" w:cs="Tahoma"/>
      <w:sz w:val="16"/>
      <w:szCs w:val="16"/>
    </w:rPr>
  </w:style>
  <w:style w:type="character" w:customStyle="1" w:styleId="BobletekstTegn">
    <w:name w:val="Bobletekst Tegn"/>
    <w:basedOn w:val="Standardskriftforavsnitt"/>
    <w:link w:val="Bobletekst"/>
    <w:rsid w:val="00445832"/>
    <w:rPr>
      <w:rFonts w:ascii="Tahoma" w:hAnsi="Tahoma" w:cs="Tahoma"/>
      <w:sz w:val="16"/>
      <w:szCs w:val="16"/>
      <w:lang w:val="en-GB" w:eastAsia="en-US"/>
    </w:rPr>
  </w:style>
  <w:style w:type="character" w:styleId="Hyperkobling">
    <w:name w:val="Hyperlink"/>
    <w:basedOn w:val="Standardskriftforavsnitt"/>
    <w:rsid w:val="00095D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qFormat/>
    <w:pPr>
      <w:keepNext/>
      <w:spacing w:before="840"/>
      <w:outlineLvl w:val="0"/>
    </w:pPr>
    <w:rPr>
      <w:rFonts w:ascii="Arial" w:hAnsi="Arial" w:cs="Arial"/>
      <w:b/>
      <w:bCs/>
      <w:kern w:val="32"/>
      <w:sz w:val="30"/>
      <w:szCs w:val="32"/>
    </w:rPr>
  </w:style>
  <w:style w:type="paragraph" w:styleId="Overskrift2">
    <w:name w:val="heading 2"/>
    <w:basedOn w:val="Normal"/>
    <w:next w:val="Normal"/>
    <w:link w:val="Overskrift2Tegn"/>
    <w:uiPriority w:val="9"/>
    <w:unhideWhenUsed/>
    <w:qFormat/>
    <w:rsid w:val="00445832"/>
    <w:pPr>
      <w:keepNext/>
      <w:keepLines/>
      <w:spacing w:before="200" w:after="0" w:line="276" w:lineRule="auto"/>
      <w:ind w:left="0" w:right="0"/>
      <w:outlineLvl w:val="1"/>
    </w:pPr>
    <w:rPr>
      <w:rFonts w:ascii="Cambria" w:hAnsi="Cambria"/>
      <w:b/>
      <w:bCs/>
      <w:color w:val="4F81BD"/>
      <w:sz w:val="26"/>
      <w:szCs w:val="26"/>
      <w:lang w:val="nb-NO"/>
    </w:rPr>
  </w:style>
  <w:style w:type="paragraph" w:styleId="Overskrift3">
    <w:name w:val="heading 3"/>
    <w:basedOn w:val="Normal"/>
    <w:next w:val="Normal"/>
    <w:link w:val="Overskrift3Tegn"/>
    <w:uiPriority w:val="9"/>
    <w:unhideWhenUsed/>
    <w:qFormat/>
    <w:rsid w:val="00445832"/>
    <w:pPr>
      <w:keepNext/>
      <w:keepLines/>
      <w:spacing w:before="200" w:after="0" w:line="276" w:lineRule="auto"/>
      <w:ind w:left="0" w:right="0"/>
      <w:outlineLvl w:val="2"/>
    </w:pPr>
    <w:rPr>
      <w:rFonts w:ascii="Cambria" w:hAnsi="Cambria"/>
      <w:b/>
      <w:bCs/>
      <w:color w:val="4F81BD"/>
      <w:sz w:val="22"/>
      <w:szCs w:val="22"/>
      <w:lang w:val="nb-NO"/>
    </w:rPr>
  </w:style>
  <w:style w:type="paragraph" w:styleId="Overskrift4">
    <w:name w:val="heading 4"/>
    <w:basedOn w:val="Normal"/>
    <w:next w:val="Normal"/>
    <w:link w:val="Overskrift4Tegn"/>
    <w:uiPriority w:val="9"/>
    <w:unhideWhenUsed/>
    <w:qFormat/>
    <w:rsid w:val="00445832"/>
    <w:pPr>
      <w:keepNext/>
      <w:keepLines/>
      <w:spacing w:before="200" w:after="0" w:line="276" w:lineRule="auto"/>
      <w:ind w:left="0" w:right="0"/>
      <w:outlineLvl w:val="3"/>
    </w:pPr>
    <w:rPr>
      <w:rFonts w:ascii="Cambria" w:hAnsi="Cambria"/>
      <w:b/>
      <w:bCs/>
      <w:i/>
      <w:iCs/>
      <w:color w:val="4F81BD"/>
      <w:sz w:val="22"/>
      <w:szCs w:val="2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bCs/>
    </w:rPr>
  </w:style>
  <w:style w:type="paragraph" w:customStyle="1" w:styleId="FooterIkkeFet">
    <w:name w:val="FooterIkkeFet"/>
    <w:basedOn w:val="FooterFet"/>
    <w:autoRedefine/>
    <w:rPr>
      <w:b w:val="0"/>
      <w:bCs/>
    </w:rPr>
  </w:style>
  <w:style w:type="character" w:customStyle="1" w:styleId="Overskrift2Tegn">
    <w:name w:val="Overskrift 2 Tegn"/>
    <w:basedOn w:val="Standardskriftforavsnitt"/>
    <w:link w:val="Overskrift2"/>
    <w:uiPriority w:val="9"/>
    <w:rsid w:val="00445832"/>
    <w:rPr>
      <w:rFonts w:ascii="Cambria" w:hAnsi="Cambria"/>
      <w:b/>
      <w:bCs/>
      <w:color w:val="4F81BD"/>
      <w:sz w:val="26"/>
      <w:szCs w:val="26"/>
      <w:lang w:eastAsia="en-US"/>
    </w:rPr>
  </w:style>
  <w:style w:type="paragraph" w:customStyle="1" w:styleId="Kolonne1">
    <w:name w:val="Kolonne1"/>
    <w:basedOn w:val="Merknad"/>
    <w:pPr>
      <w:spacing w:after="170"/>
    </w:pPr>
  </w:style>
  <w:style w:type="character" w:customStyle="1" w:styleId="Overskrift3Tegn">
    <w:name w:val="Overskrift 3 Tegn"/>
    <w:basedOn w:val="Standardskriftforavsnitt"/>
    <w:link w:val="Overskrift3"/>
    <w:uiPriority w:val="9"/>
    <w:rsid w:val="00445832"/>
    <w:rPr>
      <w:rFonts w:ascii="Cambria" w:hAnsi="Cambria"/>
      <w:b/>
      <w:bCs/>
      <w:color w:val="4F81BD"/>
      <w:sz w:val="22"/>
      <w:szCs w:val="22"/>
      <w:lang w:eastAsia="en-US"/>
    </w:rPr>
  </w:style>
  <w:style w:type="character" w:customStyle="1" w:styleId="Overskrift4Tegn">
    <w:name w:val="Overskrift 4 Tegn"/>
    <w:basedOn w:val="Standardskriftforavsnitt"/>
    <w:link w:val="Overskrift4"/>
    <w:uiPriority w:val="9"/>
    <w:rsid w:val="00445832"/>
    <w:rPr>
      <w:rFonts w:ascii="Cambria" w:hAnsi="Cambria"/>
      <w:b/>
      <w:bCs/>
      <w:i/>
      <w:iCs/>
      <w:color w:val="4F81BD"/>
      <w:sz w:val="22"/>
      <w:szCs w:val="22"/>
      <w:lang w:eastAsia="en-US"/>
    </w:rPr>
  </w:style>
  <w:style w:type="table" w:styleId="Tabellrutenett">
    <w:name w:val="Table Grid"/>
    <w:basedOn w:val="Vanligtabell"/>
    <w:uiPriority w:val="59"/>
    <w:rsid w:val="004458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445832"/>
    <w:pPr>
      <w:spacing w:after="200" w:line="276" w:lineRule="auto"/>
      <w:outlineLvl w:val="0"/>
    </w:pPr>
    <w:rPr>
      <w:rFonts w:ascii="Helvetica" w:eastAsia="Arial Unicode MS" w:hAnsi="Helvetica"/>
      <w:color w:val="000000"/>
      <w:sz w:val="22"/>
      <w:u w:color="000000"/>
    </w:rPr>
  </w:style>
  <w:style w:type="paragraph" w:styleId="Undertittel">
    <w:name w:val="Subtitle"/>
    <w:basedOn w:val="Normal"/>
    <w:next w:val="Normal"/>
    <w:link w:val="UndertittelTegn"/>
    <w:uiPriority w:val="11"/>
    <w:qFormat/>
    <w:rsid w:val="00445832"/>
    <w:pPr>
      <w:numPr>
        <w:ilvl w:val="1"/>
      </w:numPr>
      <w:spacing w:after="200" w:line="276" w:lineRule="auto"/>
      <w:ind w:left="85" w:right="0"/>
    </w:pPr>
    <w:rPr>
      <w:rFonts w:ascii="Cambria" w:hAnsi="Cambria"/>
      <w:i/>
      <w:iCs/>
      <w:color w:val="4F81BD"/>
      <w:spacing w:val="15"/>
      <w:lang w:val="nb-NO"/>
    </w:rPr>
  </w:style>
  <w:style w:type="character" w:customStyle="1" w:styleId="UndertittelTegn">
    <w:name w:val="Undertittel Tegn"/>
    <w:basedOn w:val="Standardskriftforavsnitt"/>
    <w:link w:val="Undertittel"/>
    <w:uiPriority w:val="11"/>
    <w:rsid w:val="00445832"/>
    <w:rPr>
      <w:rFonts w:ascii="Cambria" w:hAnsi="Cambria"/>
      <w:i/>
      <w:iCs/>
      <w:color w:val="4F81BD"/>
      <w:spacing w:val="15"/>
      <w:sz w:val="24"/>
      <w:szCs w:val="24"/>
      <w:lang w:eastAsia="en-US"/>
    </w:rPr>
  </w:style>
  <w:style w:type="paragraph" w:styleId="Tittel">
    <w:name w:val="Title"/>
    <w:basedOn w:val="Normal"/>
    <w:next w:val="Normal"/>
    <w:link w:val="TittelTegn"/>
    <w:uiPriority w:val="10"/>
    <w:qFormat/>
    <w:rsid w:val="00445832"/>
    <w:pPr>
      <w:pBdr>
        <w:bottom w:val="single" w:sz="8" w:space="4" w:color="4F81BD"/>
      </w:pBdr>
      <w:spacing w:after="300"/>
      <w:ind w:left="0" w:right="0"/>
      <w:contextualSpacing/>
    </w:pPr>
    <w:rPr>
      <w:rFonts w:ascii="Cambria" w:hAnsi="Cambria"/>
      <w:color w:val="17365D"/>
      <w:spacing w:val="5"/>
      <w:kern w:val="28"/>
      <w:sz w:val="52"/>
      <w:szCs w:val="52"/>
      <w:lang w:val="nb-NO"/>
    </w:rPr>
  </w:style>
  <w:style w:type="character" w:customStyle="1" w:styleId="TittelTegn">
    <w:name w:val="Tittel Tegn"/>
    <w:basedOn w:val="Standardskriftforavsnitt"/>
    <w:link w:val="Tittel"/>
    <w:uiPriority w:val="10"/>
    <w:rsid w:val="00445832"/>
    <w:rPr>
      <w:rFonts w:ascii="Cambria" w:hAnsi="Cambria"/>
      <w:color w:val="17365D"/>
      <w:spacing w:val="5"/>
      <w:kern w:val="28"/>
      <w:sz w:val="52"/>
      <w:szCs w:val="52"/>
      <w:lang w:eastAsia="en-US"/>
    </w:rPr>
  </w:style>
  <w:style w:type="paragraph" w:styleId="Bobletekst">
    <w:name w:val="Balloon Text"/>
    <w:basedOn w:val="Normal"/>
    <w:link w:val="BobletekstTegn"/>
    <w:rsid w:val="00445832"/>
    <w:pPr>
      <w:spacing w:after="0"/>
    </w:pPr>
    <w:rPr>
      <w:rFonts w:ascii="Tahoma" w:hAnsi="Tahoma" w:cs="Tahoma"/>
      <w:sz w:val="16"/>
      <w:szCs w:val="16"/>
    </w:rPr>
  </w:style>
  <w:style w:type="character" w:customStyle="1" w:styleId="BobletekstTegn">
    <w:name w:val="Bobletekst Tegn"/>
    <w:basedOn w:val="Standardskriftforavsnitt"/>
    <w:link w:val="Bobletekst"/>
    <w:rsid w:val="00445832"/>
    <w:rPr>
      <w:rFonts w:ascii="Tahoma" w:hAnsi="Tahoma" w:cs="Tahoma"/>
      <w:sz w:val="16"/>
      <w:szCs w:val="16"/>
      <w:lang w:val="en-GB" w:eastAsia="en-US"/>
    </w:rPr>
  </w:style>
  <w:style w:type="character" w:styleId="Hyperkobling">
    <w:name w:val="Hyperlink"/>
    <w:basedOn w:val="Standardskriftforavsnitt"/>
    <w:rsid w:val="00095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rom.ivt.ntnu.no/ivt/adm/kvalitetssikring-utdanning/_layouts/15/start.aspx" TargetMode="External"/><Relationship Id="rId5" Type="http://schemas.openxmlformats.org/officeDocument/2006/relationships/footnotes" Target="footnotes.xml"/><Relationship Id="rId10" Type="http://schemas.openxmlformats.org/officeDocument/2006/relationships/hyperlink" Target="https://irom.ivt.ntnu.no/ivt/adm/kvalitetssikring-utdanning/_layouts/15/start.aspx"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INFO\b_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b_brev.dot</Template>
  <TotalTime>0</TotalTime>
  <Pages>4</Pages>
  <Words>1623</Words>
  <Characters>8604</Characters>
  <Application>Microsoft Office Word</Application>
  <DocSecurity>0</DocSecurity>
  <Lines>71</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Anne Nylund</dc:creator>
  <cp:lastModifiedBy>Martin Fjeldvær</cp:lastModifiedBy>
  <cp:revision>2</cp:revision>
  <cp:lastPrinted>2013-09-13T08:57:00Z</cp:lastPrinted>
  <dcterms:created xsi:type="dcterms:W3CDTF">2014-01-17T12:42:00Z</dcterms:created>
  <dcterms:modified xsi:type="dcterms:W3CDTF">2014-01-17T12:42:00Z</dcterms:modified>
</cp:coreProperties>
</file>