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369D" w14:textId="77777777" w:rsidR="00811FAA" w:rsidRPr="00BB36A9" w:rsidRDefault="00811FAA" w:rsidP="005614F9">
      <w:pPr>
        <w:spacing w:after="120" w:line="259" w:lineRule="auto"/>
        <w:outlineLvl w:val="0"/>
        <w:rPr>
          <w:rFonts w:ascii="Bookman Old Style" w:hAnsi="Bookman Old Style"/>
          <w:b/>
          <w:lang w:val="nb-NO"/>
        </w:rPr>
      </w:pPr>
      <w:r w:rsidRPr="00BB36A9">
        <w:rPr>
          <w:rFonts w:ascii="Bookman Old Style" w:hAnsi="Bookman Old Style"/>
          <w:b/>
          <w:lang w:val="nb-NO"/>
        </w:rPr>
        <w:t>Utfyllende regler for treårig ingeniørutdanning ved NTNU</w:t>
      </w:r>
    </w:p>
    <w:p w14:paraId="7CEC0B29" w14:textId="332866F4" w:rsidR="00811FAA" w:rsidRPr="00BB36A9" w:rsidRDefault="007E0AC0" w:rsidP="005614F9">
      <w:pPr>
        <w:spacing w:after="120" w:line="259" w:lineRule="auto"/>
        <w:rPr>
          <w:rFonts w:ascii="Bookman Old Style" w:hAnsi="Bookman Old Style"/>
          <w:lang w:val="nb-NO"/>
        </w:rPr>
      </w:pPr>
      <w:r>
        <w:rPr>
          <w:rFonts w:ascii="Bookman Old Style" w:hAnsi="Bookman Old Style"/>
          <w:i/>
          <w:sz w:val="20"/>
          <w:lang w:val="nb-NO"/>
        </w:rPr>
        <w:t>Opprinnelig tekst f</w:t>
      </w:r>
      <w:r w:rsidR="00811FAA" w:rsidRPr="00881567">
        <w:rPr>
          <w:rFonts w:ascii="Bookman Old Style" w:hAnsi="Bookman Old Style"/>
          <w:i/>
          <w:sz w:val="20"/>
          <w:lang w:val="nb-NO"/>
        </w:rPr>
        <w:t xml:space="preserve">astsatt av Rektor </w:t>
      </w:r>
      <w:r w:rsidR="009C12DD">
        <w:rPr>
          <w:rFonts w:ascii="Bookman Old Style" w:hAnsi="Bookman Old Style"/>
          <w:i/>
          <w:sz w:val="20"/>
          <w:lang w:val="nb-NO"/>
        </w:rPr>
        <w:t>2</w:t>
      </w:r>
      <w:r w:rsidR="00E72A0F">
        <w:rPr>
          <w:rFonts w:ascii="Bookman Old Style" w:hAnsi="Bookman Old Style"/>
          <w:i/>
          <w:sz w:val="20"/>
          <w:lang w:val="nb-NO"/>
        </w:rPr>
        <w:t>1</w:t>
      </w:r>
      <w:r w:rsidR="00811FAA" w:rsidRPr="00881567">
        <w:rPr>
          <w:rFonts w:ascii="Bookman Old Style" w:hAnsi="Bookman Old Style"/>
          <w:i/>
          <w:sz w:val="20"/>
          <w:lang w:val="nb-NO"/>
        </w:rPr>
        <w:t>.</w:t>
      </w:r>
      <w:r w:rsidR="009C12DD">
        <w:rPr>
          <w:rFonts w:ascii="Bookman Old Style" w:hAnsi="Bookman Old Style"/>
          <w:i/>
          <w:sz w:val="20"/>
          <w:lang w:val="nb-NO"/>
        </w:rPr>
        <w:t>8</w:t>
      </w:r>
      <w:r w:rsidR="00811FAA" w:rsidRPr="00881567">
        <w:rPr>
          <w:rFonts w:ascii="Bookman Old Style" w:hAnsi="Bookman Old Style"/>
          <w:i/>
          <w:sz w:val="20"/>
          <w:lang w:val="nb-NO"/>
        </w:rPr>
        <w:t>.</w:t>
      </w:r>
      <w:r w:rsidR="009C12DD">
        <w:rPr>
          <w:rFonts w:ascii="Bookman Old Style" w:hAnsi="Bookman Old Style"/>
          <w:i/>
          <w:sz w:val="20"/>
          <w:lang w:val="nb-NO"/>
        </w:rPr>
        <w:t>2017</w:t>
      </w:r>
      <w:r w:rsidR="00811FAA" w:rsidRPr="00881567">
        <w:rPr>
          <w:rFonts w:ascii="Bookman Old Style" w:hAnsi="Bookman Old Style"/>
          <w:i/>
          <w:sz w:val="20"/>
          <w:lang w:val="nb-NO"/>
        </w:rPr>
        <w:t xml:space="preserve"> med hjemmel i forskrift om studier ved NTNU av 08.12.2015. </w:t>
      </w:r>
      <w:r>
        <w:rPr>
          <w:rFonts w:ascii="Bookman Old Style" w:hAnsi="Bookman Old Style"/>
          <w:i/>
          <w:sz w:val="20"/>
          <w:lang w:val="nb-NO"/>
        </w:rPr>
        <w:t xml:space="preserve">Endringer fastsatt </w:t>
      </w:r>
      <w:r w:rsidR="00BB6103">
        <w:rPr>
          <w:rFonts w:ascii="Bookman Old Style" w:hAnsi="Bookman Old Style"/>
          <w:i/>
          <w:sz w:val="20"/>
          <w:lang w:val="nb-NO"/>
        </w:rPr>
        <w:t>23</w:t>
      </w:r>
      <w:r>
        <w:rPr>
          <w:rFonts w:ascii="Bookman Old Style" w:hAnsi="Bookman Old Style"/>
          <w:i/>
          <w:sz w:val="20"/>
          <w:lang w:val="nb-NO"/>
        </w:rPr>
        <w:t>.1</w:t>
      </w:r>
      <w:r w:rsidR="00BB6103">
        <w:rPr>
          <w:rFonts w:ascii="Bookman Old Style" w:hAnsi="Bookman Old Style"/>
          <w:i/>
          <w:sz w:val="20"/>
          <w:lang w:val="nb-NO"/>
        </w:rPr>
        <w:t>1</w:t>
      </w:r>
      <w:r>
        <w:rPr>
          <w:rFonts w:ascii="Bookman Old Style" w:hAnsi="Bookman Old Style"/>
          <w:i/>
          <w:sz w:val="20"/>
          <w:lang w:val="nb-NO"/>
        </w:rPr>
        <w:t>.2022. Endringene</w:t>
      </w:r>
      <w:r w:rsidR="00811FAA" w:rsidRPr="00881567">
        <w:rPr>
          <w:rFonts w:ascii="Bookman Old Style" w:hAnsi="Bookman Old Style"/>
          <w:i/>
          <w:sz w:val="20"/>
          <w:lang w:val="nb-NO"/>
        </w:rPr>
        <w:t xml:space="preserve"> trer i kraft ved start av studieåret 20</w:t>
      </w:r>
      <w:r>
        <w:rPr>
          <w:rFonts w:ascii="Bookman Old Style" w:hAnsi="Bookman Old Style"/>
          <w:i/>
          <w:sz w:val="20"/>
          <w:lang w:val="nb-NO"/>
        </w:rPr>
        <w:t>23</w:t>
      </w:r>
      <w:r w:rsidR="00811FAA" w:rsidRPr="00881567">
        <w:rPr>
          <w:rFonts w:ascii="Bookman Old Style" w:hAnsi="Bookman Old Style"/>
          <w:i/>
          <w:sz w:val="20"/>
          <w:lang w:val="nb-NO"/>
        </w:rPr>
        <w:t>/20</w:t>
      </w:r>
      <w:r>
        <w:rPr>
          <w:rFonts w:ascii="Bookman Old Style" w:hAnsi="Bookman Old Style"/>
          <w:i/>
          <w:sz w:val="20"/>
          <w:lang w:val="nb-NO"/>
        </w:rPr>
        <w:t>24</w:t>
      </w:r>
      <w:r w:rsidR="00811FAA" w:rsidRPr="00881567">
        <w:rPr>
          <w:rFonts w:ascii="Bookman Old Style" w:hAnsi="Bookman Old Style"/>
          <w:i/>
          <w:sz w:val="20"/>
          <w:lang w:val="nb-NO"/>
        </w:rPr>
        <w:t>.</w:t>
      </w:r>
    </w:p>
    <w:p w14:paraId="067513D7" w14:textId="77777777" w:rsidR="00811FAA" w:rsidRPr="00881567" w:rsidRDefault="00811FAA" w:rsidP="005614F9">
      <w:pPr>
        <w:spacing w:after="120" w:line="259" w:lineRule="auto"/>
        <w:outlineLvl w:val="0"/>
        <w:rPr>
          <w:rFonts w:ascii="Bookman Old Style" w:hAnsi="Bookman Old Style"/>
          <w:b/>
          <w:sz w:val="22"/>
          <w:lang w:val="nb-NO"/>
        </w:rPr>
      </w:pPr>
      <w:r w:rsidRPr="00881567">
        <w:rPr>
          <w:rFonts w:ascii="Bookman Old Style" w:hAnsi="Bookman Old Style"/>
          <w:b/>
          <w:sz w:val="22"/>
          <w:lang w:val="nb-NO"/>
        </w:rPr>
        <w:t>Kapittel 1 Generelle bestemmelser</w:t>
      </w:r>
    </w:p>
    <w:p w14:paraId="5486E0F7" w14:textId="77777777" w:rsidR="00811FAA" w:rsidRPr="00881567" w:rsidRDefault="00811FAA" w:rsidP="005614F9">
      <w:pPr>
        <w:spacing w:after="120" w:line="259" w:lineRule="auto"/>
        <w:rPr>
          <w:rFonts w:ascii="Bookman Old Style" w:hAnsi="Bookman Old Style"/>
          <w:sz w:val="22"/>
          <w:u w:val="single"/>
          <w:lang w:val="nb-NO"/>
        </w:rPr>
      </w:pPr>
      <w:r w:rsidRPr="00881567">
        <w:rPr>
          <w:rFonts w:ascii="Bookman Old Style" w:hAnsi="Bookman Old Style"/>
          <w:sz w:val="22"/>
          <w:u w:val="single"/>
          <w:lang w:val="nb-NO"/>
        </w:rPr>
        <w:t>§ 1-2 Definisjoner</w:t>
      </w:r>
    </w:p>
    <w:p w14:paraId="557156F8" w14:textId="77777777" w:rsidR="00811FAA" w:rsidRPr="00881567" w:rsidRDefault="00811FAA" w:rsidP="005614F9">
      <w:pPr>
        <w:spacing w:after="120" w:line="259" w:lineRule="auto"/>
        <w:outlineLvl w:val="0"/>
        <w:rPr>
          <w:rFonts w:ascii="Bookman Old Style" w:hAnsi="Bookman Old Style"/>
          <w:sz w:val="22"/>
          <w:u w:val="single"/>
          <w:lang w:val="nb-NO"/>
        </w:rPr>
      </w:pPr>
      <w:r w:rsidRPr="00881567">
        <w:rPr>
          <w:rFonts w:ascii="Bookman Old Style" w:hAnsi="Bookman Old Style"/>
          <w:sz w:val="22"/>
          <w:u w:val="single"/>
          <w:lang w:val="nb-NO"/>
        </w:rPr>
        <w:t>Bacheloroppgave</w:t>
      </w:r>
    </w:p>
    <w:p w14:paraId="78224FDE" w14:textId="77777777"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En bacheloroppgave er et obligatorisk arbeid i avslutningen av bachelorgraden. Den skal inngå i tekniske spesialiseringsemner og ha et omfang på 20 studiepoeng.</w:t>
      </w:r>
    </w:p>
    <w:p w14:paraId="575EE771" w14:textId="77777777" w:rsidR="00811FAA" w:rsidRPr="00881567" w:rsidRDefault="00811FAA" w:rsidP="005614F9">
      <w:pPr>
        <w:spacing w:after="120" w:line="259" w:lineRule="auto"/>
        <w:outlineLvl w:val="0"/>
        <w:rPr>
          <w:rFonts w:ascii="Bookman Old Style" w:hAnsi="Bookman Old Style"/>
          <w:sz w:val="22"/>
          <w:u w:val="single"/>
          <w:lang w:val="nb-NO"/>
        </w:rPr>
      </w:pPr>
      <w:r w:rsidRPr="00881567">
        <w:rPr>
          <w:rFonts w:ascii="Bookman Old Style" w:hAnsi="Bookman Old Style"/>
          <w:sz w:val="22"/>
          <w:u w:val="single"/>
          <w:lang w:val="nb-NO"/>
        </w:rPr>
        <w:t>Løpende vurdering</w:t>
      </w:r>
    </w:p>
    <w:p w14:paraId="6EE1B430" w14:textId="77777777"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Løpende vurdering (mappevurdering) er en formativ vurderingsform. Den omfatter ett eller flere arbeider der arbeidene gis en samlet vurdering, ikke enkeltvis. Karakter i mappa gis fra den samlede vurderingen. Det skal fremgå av emnebeskrivelsen om hvert enkelt element i mappa må være bestått for å gi bestått karakter på hele mappa. Mappa kan være en delvurdering eller hele vurderingsformen i et emne.</w:t>
      </w:r>
    </w:p>
    <w:p w14:paraId="63CA82FB" w14:textId="77777777" w:rsidR="00811FAA" w:rsidRPr="00881567" w:rsidRDefault="00811FAA" w:rsidP="005614F9">
      <w:pPr>
        <w:spacing w:before="240" w:after="120" w:line="259" w:lineRule="auto"/>
        <w:outlineLvl w:val="0"/>
        <w:rPr>
          <w:rFonts w:ascii="Bookman Old Style" w:hAnsi="Bookman Old Style"/>
          <w:b/>
          <w:sz w:val="22"/>
          <w:lang w:val="nb-NO"/>
        </w:rPr>
      </w:pPr>
      <w:r w:rsidRPr="00881567">
        <w:rPr>
          <w:rFonts w:ascii="Bookman Old Style" w:hAnsi="Bookman Old Style"/>
          <w:b/>
          <w:sz w:val="22"/>
          <w:lang w:val="nb-NO"/>
        </w:rPr>
        <w:t>Kapittel 2 Grader og yrkesutdanning</w:t>
      </w:r>
    </w:p>
    <w:p w14:paraId="6B0FC69A" w14:textId="77777777" w:rsidR="00811FAA" w:rsidRPr="00881567" w:rsidRDefault="00811FAA" w:rsidP="005614F9">
      <w:pPr>
        <w:spacing w:after="120" w:line="259" w:lineRule="auto"/>
        <w:rPr>
          <w:rFonts w:ascii="Bookman Old Style" w:hAnsi="Bookman Old Style"/>
          <w:sz w:val="22"/>
          <w:u w:val="single"/>
          <w:lang w:val="nb-NO"/>
        </w:rPr>
      </w:pPr>
      <w:r w:rsidRPr="00881567">
        <w:rPr>
          <w:rFonts w:ascii="Bookman Old Style" w:hAnsi="Bookman Old Style"/>
          <w:sz w:val="22"/>
          <w:u w:val="single"/>
          <w:lang w:val="nb-NO"/>
        </w:rPr>
        <w:t>§ 2-3 Bachelorgrad</w:t>
      </w:r>
    </w:p>
    <w:p w14:paraId="5742DF9B" w14:textId="3A18E474"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Graden bachelor i ingeniørfag tildeles i henhold til kravene i § 3 i rammeplan for ingeniørfag, med 70 studiepoeng i tekniske spesialiseringsemner. Fagområdet</w:t>
      </w:r>
      <w:r w:rsidR="00292260">
        <w:rPr>
          <w:rFonts w:ascii="Bookman Old Style" w:hAnsi="Bookman Old Style"/>
          <w:sz w:val="22"/>
          <w:lang w:val="nb-NO"/>
        </w:rPr>
        <w:t>,</w:t>
      </w:r>
      <w:r w:rsidRPr="00881567">
        <w:rPr>
          <w:rFonts w:ascii="Bookman Old Style" w:hAnsi="Bookman Old Style"/>
          <w:sz w:val="22"/>
          <w:lang w:val="nb-NO"/>
        </w:rPr>
        <w:t xml:space="preserve"> jf. </w:t>
      </w:r>
      <w:r w:rsidR="00292260" w:rsidRPr="00881567">
        <w:rPr>
          <w:rFonts w:ascii="Bookman Old Style" w:hAnsi="Bookman Old Style"/>
          <w:sz w:val="22"/>
          <w:lang w:val="nb-NO"/>
        </w:rPr>
        <w:t>R</w:t>
      </w:r>
      <w:r w:rsidRPr="00881567">
        <w:rPr>
          <w:rFonts w:ascii="Bookman Old Style" w:hAnsi="Bookman Old Style"/>
          <w:sz w:val="22"/>
          <w:lang w:val="nb-NO"/>
        </w:rPr>
        <w:t>ammeplan</w:t>
      </w:r>
      <w:r w:rsidR="00292260">
        <w:rPr>
          <w:rFonts w:ascii="Bookman Old Style" w:hAnsi="Bookman Old Style"/>
          <w:sz w:val="22"/>
          <w:lang w:val="nb-NO"/>
        </w:rPr>
        <w:t>,</w:t>
      </w:r>
      <w:r w:rsidRPr="00881567">
        <w:rPr>
          <w:rFonts w:ascii="Bookman Old Style" w:hAnsi="Bookman Old Style"/>
          <w:sz w:val="22"/>
          <w:lang w:val="nb-NO"/>
        </w:rPr>
        <w:t xml:space="preserve"> fremgår på vitnemålet.</w:t>
      </w:r>
    </w:p>
    <w:p w14:paraId="3B89193F" w14:textId="38FDEF59"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 xml:space="preserve">Bachelorgrad i ingeniørfag skal i tillegg gi tilbud om fagkombinasjoner i fellesemner, programemner og valgfrie emner som oppfyller opptaksgrunnlaget for 2-årig masterprogram i teknologiske fag som fører frem til tilleggsbetegnelsen </w:t>
      </w:r>
      <w:r w:rsidR="00292260">
        <w:rPr>
          <w:rFonts w:ascii="Bookman Old Style" w:hAnsi="Bookman Old Style"/>
          <w:sz w:val="22"/>
          <w:lang w:val="nb-NO"/>
        </w:rPr>
        <w:t>sivilingeniør</w:t>
      </w:r>
      <w:r w:rsidRPr="00881567">
        <w:rPr>
          <w:rFonts w:ascii="Bookman Old Style" w:hAnsi="Bookman Old Style"/>
          <w:sz w:val="22"/>
          <w:lang w:val="nb-NO"/>
        </w:rPr>
        <w:t>.</w:t>
      </w:r>
    </w:p>
    <w:p w14:paraId="159A5ADC" w14:textId="77777777" w:rsidR="00811FAA" w:rsidRPr="00881567" w:rsidRDefault="00811FAA" w:rsidP="005614F9">
      <w:pPr>
        <w:spacing w:before="240" w:after="120" w:line="259" w:lineRule="auto"/>
        <w:outlineLvl w:val="0"/>
        <w:rPr>
          <w:rFonts w:ascii="Bookman Old Style" w:hAnsi="Bookman Old Style"/>
          <w:b/>
          <w:sz w:val="22"/>
          <w:lang w:val="nb-NO"/>
        </w:rPr>
      </w:pPr>
      <w:r w:rsidRPr="00881567">
        <w:rPr>
          <w:rFonts w:ascii="Bookman Old Style" w:hAnsi="Bookman Old Style"/>
          <w:b/>
          <w:sz w:val="22"/>
          <w:lang w:val="nb-NO"/>
        </w:rPr>
        <w:t>Kapittel 4 Studier</w:t>
      </w:r>
    </w:p>
    <w:p w14:paraId="5D9C5CA6" w14:textId="77777777" w:rsidR="00811FAA" w:rsidRPr="00881567" w:rsidRDefault="00811FAA" w:rsidP="005614F9">
      <w:pPr>
        <w:spacing w:after="120" w:line="259" w:lineRule="auto"/>
        <w:outlineLvl w:val="0"/>
        <w:rPr>
          <w:rFonts w:ascii="Bookman Old Style" w:hAnsi="Bookman Old Style"/>
          <w:sz w:val="22"/>
          <w:u w:val="single"/>
          <w:lang w:val="nb-NO"/>
        </w:rPr>
      </w:pPr>
      <w:r w:rsidRPr="00881567">
        <w:rPr>
          <w:rFonts w:ascii="Bookman Old Style" w:hAnsi="Bookman Old Style"/>
          <w:sz w:val="22"/>
          <w:u w:val="single"/>
          <w:lang w:val="nb-NO"/>
        </w:rPr>
        <w:t>Progresjon</w:t>
      </w:r>
    </w:p>
    <w:p w14:paraId="24E80D0E" w14:textId="793D3D8C" w:rsidR="00811FAA"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 xml:space="preserve">For å starte på bacheloroppgaven i ingeniørfag må studenten ha bestått minimum </w:t>
      </w:r>
      <w:r w:rsidRPr="009C12DD">
        <w:rPr>
          <w:rFonts w:ascii="Bookman Old Style" w:hAnsi="Bookman Old Style"/>
          <w:sz w:val="22"/>
          <w:lang w:val="nb-NO"/>
        </w:rPr>
        <w:t>110 studiepoeng av 120 studieplanfestede studiepoeng fra de to første årene ved ingeniørutdanningen.</w:t>
      </w:r>
      <w:r w:rsidR="007E0AC0">
        <w:rPr>
          <w:rFonts w:ascii="Bookman Old Style" w:hAnsi="Bookman Old Style"/>
          <w:sz w:val="22"/>
          <w:lang w:val="nb-NO"/>
        </w:rPr>
        <w:t xml:space="preserve"> I tillegg må alle obligatoriske emner og kurs som inngår i utdanningsplanen, men som ikke er studiepoenggivende, være godkjent for å starte bacheloroppgaven.</w:t>
      </w:r>
    </w:p>
    <w:p w14:paraId="3D6F2AE1" w14:textId="3F788201" w:rsidR="007E0AC0" w:rsidRPr="00881567" w:rsidRDefault="007E0AC0" w:rsidP="005614F9">
      <w:pPr>
        <w:spacing w:after="120" w:line="259" w:lineRule="auto"/>
        <w:rPr>
          <w:rFonts w:ascii="Bookman Old Style" w:hAnsi="Bookman Old Style"/>
          <w:sz w:val="22"/>
          <w:lang w:val="nb-NO"/>
        </w:rPr>
      </w:pPr>
      <w:r>
        <w:rPr>
          <w:rFonts w:ascii="Bookman Old Style" w:hAnsi="Bookman Old Style"/>
          <w:sz w:val="22"/>
          <w:lang w:val="nb-NO"/>
        </w:rPr>
        <w:t>Studieprogramledelse ved det enkelte program kan etter søknad gi dispensasjon ned til minimum 95 studiepoeng. Dette gjøres ut fra en individuell vurdering av hvordan manglende beståtte emner vil påvirke studentens arbeid med bacheloroppgaven. Frister for å søke om dispensasjon fastsettes av fakultetene som eier studieprogrammet og bør ikke være senere enn 1.november for normal studieprogresjon.</w:t>
      </w:r>
    </w:p>
    <w:p w14:paraId="75499C90" w14:textId="77777777" w:rsidR="002A5F39" w:rsidRDefault="00811FAA" w:rsidP="005614F9">
      <w:pPr>
        <w:spacing w:line="259" w:lineRule="auto"/>
        <w:outlineLvl w:val="0"/>
        <w:rPr>
          <w:rFonts w:ascii="Bookman Old Style" w:hAnsi="Bookman Old Style"/>
          <w:sz w:val="22"/>
          <w:u w:val="single"/>
          <w:lang w:val="nb-NO"/>
        </w:rPr>
      </w:pPr>
      <w:r w:rsidRPr="00881567">
        <w:rPr>
          <w:rFonts w:ascii="Bookman Old Style" w:hAnsi="Bookman Old Style"/>
          <w:sz w:val="22"/>
          <w:u w:val="single"/>
          <w:lang w:val="nb-NO"/>
        </w:rPr>
        <w:t>Bacheloroppgaven i ingeniørfag</w:t>
      </w:r>
    </w:p>
    <w:p w14:paraId="24082F49" w14:textId="222BFE91"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Bacheloroppgaven er det avsluttende arbeid</w:t>
      </w:r>
      <w:r w:rsidR="00684624">
        <w:rPr>
          <w:rFonts w:ascii="Bookman Old Style" w:hAnsi="Bookman Old Style"/>
          <w:sz w:val="22"/>
          <w:lang w:val="nb-NO"/>
        </w:rPr>
        <w:t>et</w:t>
      </w:r>
      <w:r w:rsidRPr="00881567">
        <w:rPr>
          <w:rFonts w:ascii="Bookman Old Style" w:hAnsi="Bookman Old Style"/>
          <w:sz w:val="22"/>
          <w:lang w:val="nb-NO"/>
        </w:rPr>
        <w:t xml:space="preserve"> i ingeniørgraden. NTNU følger føringene for bacheloroppgaven gitt i </w:t>
      </w:r>
      <w:r w:rsidR="00E72A0F">
        <w:rPr>
          <w:rFonts w:ascii="Bookman Old Style" w:hAnsi="Bookman Old Style"/>
          <w:sz w:val="22"/>
          <w:lang w:val="nb-NO"/>
        </w:rPr>
        <w:t>N</w:t>
      </w:r>
      <w:r w:rsidRPr="00881567">
        <w:rPr>
          <w:rFonts w:ascii="Bookman Old Style" w:hAnsi="Bookman Old Style"/>
          <w:sz w:val="22"/>
          <w:lang w:val="nb-NO"/>
        </w:rPr>
        <w:t xml:space="preserve">asjonale retningslinjer </w:t>
      </w:r>
      <w:r w:rsidR="00E72A0F">
        <w:rPr>
          <w:rFonts w:ascii="Bookman Old Style" w:hAnsi="Bookman Old Style"/>
          <w:sz w:val="22"/>
          <w:lang w:val="nb-NO"/>
        </w:rPr>
        <w:t xml:space="preserve">for </w:t>
      </w:r>
      <w:r w:rsidR="00E72A0F">
        <w:rPr>
          <w:rFonts w:ascii="Bookman Old Style" w:hAnsi="Bookman Old Style"/>
          <w:sz w:val="22"/>
          <w:lang w:val="nb-NO"/>
        </w:rPr>
        <w:lastRenderedPageBreak/>
        <w:t>ingeniørutdanning (UHR)</w:t>
      </w:r>
      <w:r w:rsidRPr="00881567">
        <w:rPr>
          <w:rFonts w:ascii="Bookman Old Style" w:hAnsi="Bookman Old Style"/>
          <w:sz w:val="22"/>
          <w:lang w:val="nb-NO"/>
        </w:rPr>
        <w:t>. NTNUs</w:t>
      </w:r>
      <w:r w:rsidR="00E72A0F">
        <w:rPr>
          <w:rFonts w:ascii="Bookman Old Style" w:hAnsi="Bookman Old Style"/>
          <w:sz w:val="22"/>
          <w:lang w:val="nb-NO"/>
        </w:rPr>
        <w:t xml:space="preserve"> håndbok </w:t>
      </w:r>
      <w:r w:rsidRPr="00881567">
        <w:rPr>
          <w:rFonts w:ascii="Bookman Old Style" w:hAnsi="Bookman Old Style"/>
          <w:sz w:val="22"/>
          <w:lang w:val="nb-NO"/>
        </w:rPr>
        <w:t xml:space="preserve">for bacheloroppgave i ingeniørfag gir bestemmelsene for gjennomføringen av bacheloroppgaven. </w:t>
      </w:r>
      <w:r w:rsidR="00B01413">
        <w:rPr>
          <w:rFonts w:ascii="Bookman Old Style" w:hAnsi="Bookman Old Style"/>
          <w:sz w:val="22"/>
          <w:lang w:val="nb-NO"/>
        </w:rPr>
        <w:t>Håndboka</w:t>
      </w:r>
      <w:r w:rsidRPr="00881567">
        <w:rPr>
          <w:rFonts w:ascii="Bookman Old Style" w:hAnsi="Bookman Old Style"/>
          <w:sz w:val="22"/>
          <w:lang w:val="nb-NO"/>
        </w:rPr>
        <w:t xml:space="preserve"> vedtas av Forvaltningsutvalget for </w:t>
      </w:r>
      <w:r w:rsidR="00684624">
        <w:rPr>
          <w:rFonts w:ascii="Bookman Old Style" w:hAnsi="Bookman Old Style"/>
          <w:sz w:val="22"/>
          <w:lang w:val="nb-NO"/>
        </w:rPr>
        <w:t>i</w:t>
      </w:r>
      <w:r w:rsidR="00684624" w:rsidRPr="00881567">
        <w:rPr>
          <w:rFonts w:ascii="Bookman Old Style" w:hAnsi="Bookman Old Style"/>
          <w:sz w:val="22"/>
          <w:lang w:val="nb-NO"/>
        </w:rPr>
        <w:t>ngeniørutdanning</w:t>
      </w:r>
      <w:r w:rsidR="00CC17A2">
        <w:rPr>
          <w:rFonts w:ascii="Bookman Old Style" w:hAnsi="Bookman Old Style"/>
          <w:sz w:val="22"/>
          <w:lang w:val="nb-NO"/>
        </w:rPr>
        <w:t>en</w:t>
      </w:r>
      <w:r w:rsidRPr="00881567">
        <w:rPr>
          <w:rFonts w:ascii="Bookman Old Style" w:hAnsi="Bookman Old Style"/>
          <w:sz w:val="22"/>
          <w:lang w:val="nb-NO"/>
        </w:rPr>
        <w:t>.</w:t>
      </w:r>
    </w:p>
    <w:p w14:paraId="5B2C6588" w14:textId="4DAD0E4A" w:rsidR="00811FAA" w:rsidRPr="00881567" w:rsidRDefault="00E72A0F" w:rsidP="005614F9">
      <w:pPr>
        <w:spacing w:after="120" w:line="259" w:lineRule="auto"/>
        <w:outlineLvl w:val="0"/>
        <w:rPr>
          <w:rFonts w:ascii="Bookman Old Style" w:hAnsi="Bookman Old Style"/>
          <w:b/>
          <w:sz w:val="22"/>
          <w:lang w:val="nb-NO"/>
        </w:rPr>
      </w:pPr>
      <w:r>
        <w:rPr>
          <w:rFonts w:ascii="Bookman Old Style" w:hAnsi="Bookman Old Style"/>
          <w:b/>
          <w:sz w:val="22"/>
          <w:lang w:val="nb-NO"/>
        </w:rPr>
        <w:t>K</w:t>
      </w:r>
      <w:r w:rsidR="00811FAA" w:rsidRPr="00881567">
        <w:rPr>
          <w:rFonts w:ascii="Bookman Old Style" w:hAnsi="Bookman Old Style"/>
          <w:b/>
          <w:sz w:val="22"/>
          <w:lang w:val="nb-NO"/>
        </w:rPr>
        <w:t>apittel 5 Vurdering</w:t>
      </w:r>
    </w:p>
    <w:p w14:paraId="513FF96F" w14:textId="77777777" w:rsidR="00811FAA" w:rsidRPr="00881567" w:rsidRDefault="00811FAA" w:rsidP="005614F9">
      <w:pPr>
        <w:spacing w:after="120" w:line="259" w:lineRule="auto"/>
        <w:rPr>
          <w:rFonts w:ascii="Bookman Old Style" w:hAnsi="Bookman Old Style"/>
          <w:sz w:val="22"/>
          <w:u w:val="single"/>
          <w:lang w:val="nb-NO"/>
        </w:rPr>
      </w:pPr>
      <w:r w:rsidRPr="00881567">
        <w:rPr>
          <w:rFonts w:ascii="Bookman Old Style" w:hAnsi="Bookman Old Style"/>
          <w:sz w:val="22"/>
          <w:u w:val="single"/>
          <w:lang w:val="nb-NO"/>
        </w:rPr>
        <w:t>§ 5-6 Vurdering</w:t>
      </w:r>
    </w:p>
    <w:p w14:paraId="1E50E7CD" w14:textId="7390F827"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Vurdering i ingeniørutdanningen bygges opp slik at hver enkelt vurderingsform ivaretar studentens rettssikkerhet. Der flere vurderingsformer benyttes, er dette delvurderinger med delkarakterer</w:t>
      </w:r>
      <w:r w:rsidR="00684624">
        <w:rPr>
          <w:rFonts w:ascii="Bookman Old Style" w:hAnsi="Bookman Old Style"/>
          <w:sz w:val="22"/>
          <w:lang w:val="nb-NO"/>
        </w:rPr>
        <w:t>. D</w:t>
      </w:r>
      <w:r w:rsidRPr="00881567">
        <w:rPr>
          <w:rFonts w:ascii="Bookman Old Style" w:hAnsi="Bookman Old Style"/>
          <w:sz w:val="22"/>
          <w:lang w:val="nb-NO"/>
        </w:rPr>
        <w:t>elvurderingene vektes</w:t>
      </w:r>
      <w:r w:rsidR="00CC17A2">
        <w:rPr>
          <w:rFonts w:ascii="Bookman Old Style" w:hAnsi="Bookman Old Style"/>
          <w:sz w:val="22"/>
          <w:lang w:val="nb-NO"/>
        </w:rPr>
        <w:t xml:space="preserve"> sammen til en sluttkarakter</w:t>
      </w:r>
      <w:r w:rsidRPr="00881567">
        <w:rPr>
          <w:rFonts w:ascii="Bookman Old Style" w:hAnsi="Bookman Old Style"/>
          <w:sz w:val="22"/>
          <w:lang w:val="nb-NO"/>
        </w:rPr>
        <w:t>.</w:t>
      </w:r>
    </w:p>
    <w:p w14:paraId="20D95A19" w14:textId="77777777" w:rsidR="00811FAA" w:rsidRPr="00881567" w:rsidRDefault="00811FAA" w:rsidP="005614F9">
      <w:pPr>
        <w:spacing w:after="120" w:line="259" w:lineRule="auto"/>
        <w:outlineLvl w:val="0"/>
        <w:rPr>
          <w:rFonts w:ascii="Bookman Old Style" w:hAnsi="Bookman Old Style"/>
          <w:sz w:val="22"/>
          <w:u w:val="single"/>
          <w:lang w:val="nb-NO"/>
        </w:rPr>
      </w:pPr>
      <w:r w:rsidRPr="00881567">
        <w:rPr>
          <w:rFonts w:ascii="Bookman Old Style" w:hAnsi="Bookman Old Style"/>
          <w:sz w:val="22"/>
          <w:u w:val="single"/>
          <w:lang w:val="nb-NO"/>
        </w:rPr>
        <w:t>Til (2) Utsatt eksamen for andre vurderingsformer</w:t>
      </w:r>
    </w:p>
    <w:p w14:paraId="4D623484" w14:textId="77777777"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Det kan arrangeres utsatt eksamen for alle vurderingsformer, med unntak av for bacheloroppgaven.</w:t>
      </w:r>
      <w:r w:rsidR="00B423FF">
        <w:rPr>
          <w:rFonts w:ascii="Bookman Old Style" w:hAnsi="Bookman Old Style"/>
          <w:sz w:val="22"/>
          <w:lang w:val="nb-NO"/>
        </w:rPr>
        <w:t xml:space="preserve"> Dette skal fremgå av emnebeskrivelsen.</w:t>
      </w:r>
    </w:p>
    <w:p w14:paraId="4B859813" w14:textId="77777777" w:rsidR="00811FAA" w:rsidRPr="00881567" w:rsidRDefault="00811FAA" w:rsidP="005614F9">
      <w:pPr>
        <w:spacing w:after="120" w:line="259" w:lineRule="auto"/>
        <w:outlineLvl w:val="0"/>
        <w:rPr>
          <w:rFonts w:ascii="Bookman Old Style" w:hAnsi="Bookman Old Style"/>
          <w:sz w:val="22"/>
          <w:u w:val="single"/>
          <w:lang w:val="nb-NO"/>
        </w:rPr>
      </w:pPr>
      <w:r w:rsidRPr="00881567">
        <w:rPr>
          <w:rFonts w:ascii="Bookman Old Style" w:hAnsi="Bookman Old Style"/>
          <w:sz w:val="22"/>
          <w:u w:val="single"/>
          <w:lang w:val="nb-NO"/>
        </w:rPr>
        <w:t>Til (3) Ny vurdering ved ikke bestått</w:t>
      </w:r>
    </w:p>
    <w:p w14:paraId="5F27EEDC" w14:textId="091B1118"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Ved ikke bestått på en eller flere delvurderinger, skal bare den enkelte delvurdering</w:t>
      </w:r>
      <w:r w:rsidR="001D384D">
        <w:rPr>
          <w:rFonts w:ascii="Bookman Old Style" w:hAnsi="Bookman Old Style"/>
          <w:sz w:val="22"/>
          <w:lang w:val="nb-NO"/>
        </w:rPr>
        <w:t>,</w:t>
      </w:r>
      <w:r w:rsidRPr="00881567">
        <w:rPr>
          <w:rFonts w:ascii="Bookman Old Style" w:hAnsi="Bookman Old Style"/>
          <w:sz w:val="22"/>
          <w:lang w:val="nb-NO"/>
        </w:rPr>
        <w:t xml:space="preserve"> som ikke er bestått</w:t>
      </w:r>
      <w:r w:rsidR="001D384D">
        <w:rPr>
          <w:rFonts w:ascii="Bookman Old Style" w:hAnsi="Bookman Old Style"/>
          <w:sz w:val="22"/>
          <w:lang w:val="nb-NO"/>
        </w:rPr>
        <w:t>,</w:t>
      </w:r>
      <w:r w:rsidRPr="00881567">
        <w:rPr>
          <w:rFonts w:ascii="Bookman Old Style" w:hAnsi="Bookman Old Style"/>
          <w:sz w:val="22"/>
          <w:lang w:val="nb-NO"/>
        </w:rPr>
        <w:t xml:space="preserve"> tas opp igjen.</w:t>
      </w:r>
    </w:p>
    <w:p w14:paraId="1A036596" w14:textId="77777777"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Mappevurdering: Ved ikke bestått eller forbedring, må studenten levere hele mappa på ny. Det er kun ved gyldig fravær at mappa kan leveres som utsatt eksamen jf. NTNUs studieforskrift § 5-6 (2).</w:t>
      </w:r>
    </w:p>
    <w:p w14:paraId="0F5CE20B" w14:textId="77777777" w:rsidR="00811FAA" w:rsidRPr="00881567" w:rsidRDefault="00811FAA" w:rsidP="005614F9">
      <w:pPr>
        <w:spacing w:after="120" w:line="259" w:lineRule="auto"/>
        <w:outlineLvl w:val="0"/>
        <w:rPr>
          <w:rFonts w:ascii="Bookman Old Style" w:hAnsi="Bookman Old Style"/>
          <w:sz w:val="22"/>
          <w:u w:val="single"/>
          <w:lang w:val="nb-NO"/>
        </w:rPr>
      </w:pPr>
      <w:r w:rsidRPr="00881567">
        <w:rPr>
          <w:rFonts w:ascii="Bookman Old Style" w:hAnsi="Bookman Old Style"/>
          <w:sz w:val="22"/>
          <w:u w:val="single"/>
          <w:lang w:val="nb-NO"/>
        </w:rPr>
        <w:t>Bacheloroppgaven</w:t>
      </w:r>
    </w:p>
    <w:p w14:paraId="79587C76" w14:textId="77777777"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 xml:space="preserve">Ingeniørutdanningen ved NTNU bruker UHRs karakterbeskrivelser for sensur av bacheloroppgaver i ingeniørfag som retningslinje for arbeidet </w:t>
      </w:r>
      <w:hyperlink r:id="rId7" w:history="1">
        <w:r w:rsidRPr="00E72A0F">
          <w:rPr>
            <w:rStyle w:val="Hyperkobling"/>
            <w:rFonts w:ascii="Bookman Old Style" w:hAnsi="Bookman Old Style"/>
            <w:color w:val="00B0F0"/>
            <w:sz w:val="22"/>
            <w:lang w:val="nb-NO"/>
          </w:rPr>
          <w:t>http://www.uhr.no/ressurser/temasider/karaktersystemet_1/karaktersystem_og_retningslinjer</w:t>
        </w:r>
      </w:hyperlink>
      <w:r w:rsidRPr="00E72A0F">
        <w:rPr>
          <w:rFonts w:ascii="Bookman Old Style" w:hAnsi="Bookman Old Style"/>
          <w:color w:val="00B0F0"/>
          <w:sz w:val="22"/>
          <w:lang w:val="nb-NO"/>
        </w:rPr>
        <w:t xml:space="preserve"> </w:t>
      </w:r>
    </w:p>
    <w:p w14:paraId="52ABAB1C" w14:textId="77777777" w:rsidR="00811FAA" w:rsidRPr="00881567" w:rsidRDefault="00811FAA" w:rsidP="005614F9">
      <w:pPr>
        <w:pStyle w:val="Listeavsnitt"/>
        <w:numPr>
          <w:ilvl w:val="0"/>
          <w:numId w:val="1"/>
        </w:numPr>
        <w:spacing w:after="120" w:line="259" w:lineRule="auto"/>
        <w:rPr>
          <w:rFonts w:ascii="Bookman Old Style" w:hAnsi="Bookman Old Style"/>
          <w:sz w:val="22"/>
          <w:lang w:val="nb-NO"/>
        </w:rPr>
      </w:pPr>
      <w:r w:rsidRPr="00881567">
        <w:rPr>
          <w:rFonts w:ascii="Bookman Old Style" w:hAnsi="Bookman Old Style"/>
          <w:sz w:val="22"/>
          <w:lang w:val="nb-NO"/>
        </w:rPr>
        <w:t xml:space="preserve">Dersom bacheloroppgaven vurderes til </w:t>
      </w:r>
      <w:r>
        <w:rPr>
          <w:rFonts w:ascii="Bookman Old Style" w:hAnsi="Bookman Old Style"/>
          <w:sz w:val="22"/>
          <w:lang w:val="nb-NO"/>
        </w:rPr>
        <w:t>I</w:t>
      </w:r>
      <w:r w:rsidRPr="00881567">
        <w:rPr>
          <w:rFonts w:ascii="Bookman Old Style" w:hAnsi="Bookman Old Style"/>
          <w:sz w:val="22"/>
          <w:lang w:val="nb-NO"/>
        </w:rPr>
        <w:t>kke bestått eller karakter F, må studenten(e) levere ny besvarelse. Forbedring / omarbeidelse er ikke tilstrekkelig. Oppgaven kan presentere det samme temaområde med samme empiri / datagrunnlag.</w:t>
      </w:r>
    </w:p>
    <w:p w14:paraId="1ED02EE9" w14:textId="77777777" w:rsidR="00811FAA" w:rsidRPr="00881567" w:rsidRDefault="00811FAA" w:rsidP="005614F9">
      <w:pPr>
        <w:pStyle w:val="Listeavsnitt"/>
        <w:numPr>
          <w:ilvl w:val="0"/>
          <w:numId w:val="1"/>
        </w:numPr>
        <w:spacing w:after="120" w:line="259" w:lineRule="auto"/>
        <w:rPr>
          <w:rFonts w:ascii="Bookman Old Style" w:hAnsi="Bookman Old Style"/>
          <w:sz w:val="22"/>
          <w:lang w:val="nb-NO"/>
        </w:rPr>
      </w:pPr>
      <w:r w:rsidRPr="00881567">
        <w:rPr>
          <w:rFonts w:ascii="Bookman Old Style" w:hAnsi="Bookman Old Style"/>
          <w:sz w:val="22"/>
          <w:lang w:val="nb-NO"/>
        </w:rPr>
        <w:t>En bacheloroppgave som er vurdert bestått, kan ikke leveres inn til ny vurdering, selv i omarbeidet form.</w:t>
      </w:r>
    </w:p>
    <w:p w14:paraId="33A45D0A" w14:textId="77777777" w:rsidR="00811FAA" w:rsidRDefault="00811FAA" w:rsidP="005614F9">
      <w:pPr>
        <w:spacing w:before="240" w:after="120" w:line="259" w:lineRule="auto"/>
        <w:outlineLvl w:val="0"/>
        <w:rPr>
          <w:rFonts w:ascii="Bookman Old Style" w:hAnsi="Bookman Old Style"/>
          <w:b/>
          <w:sz w:val="22"/>
          <w:lang w:val="nb-NO"/>
        </w:rPr>
      </w:pPr>
      <w:r w:rsidRPr="00881567">
        <w:rPr>
          <w:rFonts w:ascii="Bookman Old Style" w:hAnsi="Bookman Old Style"/>
          <w:b/>
          <w:sz w:val="22"/>
          <w:lang w:val="nb-NO"/>
        </w:rPr>
        <w:t>Kapittel 6 Begrunnelse, klage og fusk</w:t>
      </w:r>
    </w:p>
    <w:p w14:paraId="43920B8B" w14:textId="13FCCFC8" w:rsidR="00811FAA" w:rsidRPr="00881567" w:rsidRDefault="00CC17A2" w:rsidP="005614F9">
      <w:pPr>
        <w:spacing w:after="120" w:line="259" w:lineRule="auto"/>
        <w:rPr>
          <w:rFonts w:ascii="Bookman Old Style" w:hAnsi="Bookman Old Style"/>
          <w:sz w:val="22"/>
          <w:lang w:val="nb-NO"/>
        </w:rPr>
      </w:pPr>
      <w:r w:rsidRPr="0050513C">
        <w:rPr>
          <w:rFonts w:ascii="Bookman Old Style" w:hAnsi="Bookman Old Style"/>
          <w:sz w:val="22"/>
          <w:szCs w:val="22"/>
          <w:lang w:val="nb-NO"/>
        </w:rPr>
        <w:t>For emner som har mappevurdering gjelder klageretten over karaktersetting hele mappa.</w:t>
      </w:r>
      <w:r>
        <w:rPr>
          <w:lang w:val="nb-NO"/>
        </w:rPr>
        <w:t xml:space="preserve"> </w:t>
      </w:r>
      <w:r w:rsidR="00811FAA" w:rsidRPr="00881567">
        <w:rPr>
          <w:rFonts w:ascii="Bookman Old Style" w:hAnsi="Bookman Old Style"/>
          <w:sz w:val="22"/>
          <w:lang w:val="nb-NO"/>
        </w:rPr>
        <w:t>Det er ikke adgang til å klage på karakter på muntlig eller praktisk prøve eller lignende som etter sin art ikke lar seg etterprøve jf uhl § 5-3 femte ledd. Dette bør derfor ikke være en del av mappa.</w:t>
      </w:r>
    </w:p>
    <w:p w14:paraId="54D1B534" w14:textId="77777777" w:rsidR="00811FAA" w:rsidRPr="00881567" w:rsidRDefault="00811FAA" w:rsidP="005614F9">
      <w:pPr>
        <w:spacing w:after="120" w:line="259" w:lineRule="auto"/>
        <w:rPr>
          <w:rFonts w:ascii="Bookman Old Style" w:hAnsi="Bookman Old Style"/>
          <w:sz w:val="22"/>
          <w:lang w:val="nb-NO"/>
        </w:rPr>
      </w:pPr>
      <w:r w:rsidRPr="00881567">
        <w:rPr>
          <w:rFonts w:ascii="Bookman Old Style" w:hAnsi="Bookman Old Style"/>
          <w:sz w:val="22"/>
          <w:lang w:val="nb-NO"/>
        </w:rPr>
        <w:t>Klageretten over formelle feil gjelder hele mappa.</w:t>
      </w:r>
    </w:p>
    <w:p w14:paraId="0C216057" w14:textId="77777777" w:rsidR="00811FAA" w:rsidRPr="00881567" w:rsidRDefault="00811FAA" w:rsidP="005614F9">
      <w:pPr>
        <w:spacing w:before="240" w:after="120" w:line="259" w:lineRule="auto"/>
        <w:outlineLvl w:val="0"/>
        <w:rPr>
          <w:rFonts w:ascii="Bookman Old Style" w:hAnsi="Bookman Old Style"/>
          <w:b/>
          <w:sz w:val="22"/>
          <w:lang w:val="nb-NO"/>
        </w:rPr>
      </w:pPr>
      <w:r w:rsidRPr="00881567">
        <w:rPr>
          <w:rFonts w:ascii="Bookman Old Style" w:hAnsi="Bookman Old Style"/>
          <w:b/>
          <w:sz w:val="22"/>
          <w:lang w:val="nb-NO"/>
        </w:rPr>
        <w:t>Kapittel 7 Vitnemål og karakterutskrift</w:t>
      </w:r>
    </w:p>
    <w:p w14:paraId="777991EA" w14:textId="77777777" w:rsidR="00811FAA" w:rsidRPr="00881567" w:rsidRDefault="00811FAA" w:rsidP="005614F9">
      <w:pPr>
        <w:spacing w:after="120" w:line="259" w:lineRule="auto"/>
        <w:rPr>
          <w:rFonts w:ascii="Bookman Old Style" w:hAnsi="Bookman Old Style"/>
          <w:sz w:val="22"/>
          <w:u w:val="single"/>
          <w:lang w:val="nb-NO"/>
        </w:rPr>
      </w:pPr>
      <w:r w:rsidRPr="00881567">
        <w:rPr>
          <w:rFonts w:ascii="Bookman Old Style" w:hAnsi="Bookman Old Style"/>
          <w:sz w:val="22"/>
          <w:u w:val="single"/>
          <w:lang w:val="nb-NO"/>
        </w:rPr>
        <w:t>§ 7-3 Gjennomsnittskarakter</w:t>
      </w:r>
    </w:p>
    <w:p w14:paraId="0DDFB393" w14:textId="039503BC" w:rsidR="00811FAA" w:rsidRDefault="00811FAA" w:rsidP="005614F9">
      <w:pPr>
        <w:spacing w:line="259" w:lineRule="auto"/>
        <w:rPr>
          <w:rFonts w:ascii="Bookman Old Style" w:hAnsi="Bookman Old Style"/>
          <w:sz w:val="22"/>
          <w:lang w:val="nb-NO"/>
        </w:rPr>
      </w:pPr>
      <w:r w:rsidRPr="00881567">
        <w:rPr>
          <w:rFonts w:ascii="Bookman Old Style" w:hAnsi="Bookman Old Style"/>
          <w:sz w:val="22"/>
          <w:lang w:val="nb-NO"/>
        </w:rPr>
        <w:t>Det gis ikke gjennomsnittskarakter på vitnemålet for treårig ingeniørutdanning.</w:t>
      </w:r>
    </w:p>
    <w:p w14:paraId="06BD0829" w14:textId="43036C82" w:rsidR="005614F9" w:rsidRDefault="005614F9" w:rsidP="005614F9">
      <w:pPr>
        <w:spacing w:after="120"/>
        <w:rPr>
          <w:rFonts w:ascii="Bookman Old Style" w:hAnsi="Bookman Old Style"/>
          <w:sz w:val="22"/>
          <w:lang w:val="nb-NO"/>
        </w:rPr>
      </w:pPr>
    </w:p>
    <w:p w14:paraId="50AEFBB2" w14:textId="0489C653" w:rsidR="005614F9" w:rsidRPr="005614F9" w:rsidRDefault="005614F9" w:rsidP="005614F9">
      <w:pPr>
        <w:spacing w:after="0"/>
        <w:rPr>
          <w:rFonts w:ascii="Bookman Old Style" w:hAnsi="Bookman Old Style"/>
          <w:i/>
          <w:iCs/>
          <w:sz w:val="22"/>
          <w:lang w:val="nb-NO"/>
        </w:rPr>
      </w:pPr>
      <w:r w:rsidRPr="005614F9">
        <w:rPr>
          <w:rFonts w:ascii="Bookman Old Style" w:hAnsi="Bookman Old Style"/>
          <w:i/>
          <w:iCs/>
          <w:sz w:val="22"/>
          <w:lang w:val="nb-NO"/>
        </w:rPr>
        <w:t xml:space="preserve">Kapittel 4 </w:t>
      </w:r>
      <w:r>
        <w:rPr>
          <w:rFonts w:ascii="Bookman Old Style" w:hAnsi="Bookman Old Style"/>
          <w:i/>
          <w:iCs/>
          <w:sz w:val="22"/>
          <w:lang w:val="nb-NO"/>
        </w:rPr>
        <w:t xml:space="preserve">«Progresjon» </w:t>
      </w:r>
      <w:r w:rsidRPr="005614F9">
        <w:rPr>
          <w:rFonts w:ascii="Bookman Old Style" w:hAnsi="Bookman Old Style"/>
          <w:i/>
          <w:iCs/>
          <w:sz w:val="22"/>
          <w:lang w:val="nb-NO"/>
        </w:rPr>
        <w:t xml:space="preserve">endret ved rektorvedtak av </w:t>
      </w:r>
      <w:r w:rsidR="00BB6103">
        <w:rPr>
          <w:rFonts w:ascii="Bookman Old Style" w:hAnsi="Bookman Old Style"/>
          <w:i/>
          <w:iCs/>
          <w:sz w:val="22"/>
          <w:lang w:val="nb-NO"/>
        </w:rPr>
        <w:t>november</w:t>
      </w:r>
      <w:r w:rsidRPr="005614F9">
        <w:rPr>
          <w:rFonts w:ascii="Bookman Old Style" w:hAnsi="Bookman Old Style"/>
          <w:i/>
          <w:iCs/>
          <w:sz w:val="22"/>
          <w:lang w:val="nb-NO"/>
        </w:rPr>
        <w:t xml:space="preserve"> 2022 ihh til vedtak i FUI av 20.12.2021.</w:t>
      </w:r>
    </w:p>
    <w:sectPr w:rsidR="005614F9" w:rsidRPr="005614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8CB7" w14:textId="77777777" w:rsidR="005C1B03" w:rsidRDefault="005C1B03" w:rsidP="005C1B03">
      <w:pPr>
        <w:spacing w:after="0"/>
      </w:pPr>
      <w:r>
        <w:separator/>
      </w:r>
    </w:p>
  </w:endnote>
  <w:endnote w:type="continuationSeparator" w:id="0">
    <w:p w14:paraId="05E440CD" w14:textId="77777777" w:rsidR="005C1B03" w:rsidRDefault="005C1B03" w:rsidP="005C1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43F3" w14:textId="77777777" w:rsidR="005C1B03" w:rsidRDefault="005C1B03" w:rsidP="005C1B03">
      <w:pPr>
        <w:spacing w:after="0"/>
      </w:pPr>
      <w:r>
        <w:separator/>
      </w:r>
    </w:p>
  </w:footnote>
  <w:footnote w:type="continuationSeparator" w:id="0">
    <w:p w14:paraId="4A3662CA" w14:textId="77777777" w:rsidR="005C1B03" w:rsidRDefault="005C1B03" w:rsidP="005C1B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6718"/>
    <w:multiLevelType w:val="hybridMultilevel"/>
    <w:tmpl w:val="5F9442A4"/>
    <w:lvl w:ilvl="0" w:tplc="30C0B710">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num w:numId="1" w16cid:durableId="183922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AA"/>
    <w:rsid w:val="00095EAC"/>
    <w:rsid w:val="0013226D"/>
    <w:rsid w:val="00183E88"/>
    <w:rsid w:val="001D384D"/>
    <w:rsid w:val="00292260"/>
    <w:rsid w:val="002947FF"/>
    <w:rsid w:val="002A5F39"/>
    <w:rsid w:val="00314BE1"/>
    <w:rsid w:val="004947AC"/>
    <w:rsid w:val="0050513C"/>
    <w:rsid w:val="00522080"/>
    <w:rsid w:val="005614F9"/>
    <w:rsid w:val="005C1B03"/>
    <w:rsid w:val="005F081A"/>
    <w:rsid w:val="00684624"/>
    <w:rsid w:val="007E0AC0"/>
    <w:rsid w:val="00811FAA"/>
    <w:rsid w:val="00820AC6"/>
    <w:rsid w:val="0086640D"/>
    <w:rsid w:val="008901CF"/>
    <w:rsid w:val="009470C3"/>
    <w:rsid w:val="009C12DD"/>
    <w:rsid w:val="00B01413"/>
    <w:rsid w:val="00B423FF"/>
    <w:rsid w:val="00BB6103"/>
    <w:rsid w:val="00C542CC"/>
    <w:rsid w:val="00CA12B1"/>
    <w:rsid w:val="00CC17A2"/>
    <w:rsid w:val="00D645DD"/>
    <w:rsid w:val="00E72A0F"/>
    <w:rsid w:val="00F41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A0FC1"/>
  <w15:chartTrackingRefBased/>
  <w15:docId w15:val="{02B449EA-3AB6-41A9-9408-1F3E9F0A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FAA"/>
    <w:pPr>
      <w:spacing w:after="60" w:line="240" w:lineRule="auto"/>
      <w:ind w:left="85" w:right="85"/>
    </w:pPr>
    <w:rPr>
      <w:rFonts w:ascii="Arial" w:eastAsia="Times New Roman" w:hAnsi="Arial" w:cs="Times New Roman"/>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11FAA"/>
    <w:rPr>
      <w:color w:val="0563C1" w:themeColor="hyperlink"/>
      <w:u w:val="single"/>
    </w:rPr>
  </w:style>
  <w:style w:type="paragraph" w:styleId="Listeavsnitt">
    <w:name w:val="List Paragraph"/>
    <w:basedOn w:val="Normal"/>
    <w:uiPriority w:val="34"/>
    <w:qFormat/>
    <w:rsid w:val="00811FAA"/>
    <w:pPr>
      <w:ind w:left="720"/>
      <w:contextualSpacing/>
    </w:pPr>
  </w:style>
  <w:style w:type="paragraph" w:styleId="Bobletekst">
    <w:name w:val="Balloon Text"/>
    <w:basedOn w:val="Normal"/>
    <w:link w:val="BobletekstTegn"/>
    <w:uiPriority w:val="99"/>
    <w:semiHidden/>
    <w:unhideWhenUsed/>
    <w:rsid w:val="00811FAA"/>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1FAA"/>
    <w:rPr>
      <w:rFonts w:ascii="Segoe UI" w:eastAsia="Times New Roman" w:hAnsi="Segoe UI" w:cs="Segoe UI"/>
      <w:sz w:val="18"/>
      <w:szCs w:val="18"/>
      <w:lang w:val="en-GB"/>
    </w:rPr>
  </w:style>
  <w:style w:type="character" w:styleId="Merknadsreferanse">
    <w:name w:val="annotation reference"/>
    <w:basedOn w:val="Standardskriftforavsnitt"/>
    <w:uiPriority w:val="99"/>
    <w:semiHidden/>
    <w:unhideWhenUsed/>
    <w:rsid w:val="00292260"/>
    <w:rPr>
      <w:sz w:val="18"/>
      <w:szCs w:val="18"/>
    </w:rPr>
  </w:style>
  <w:style w:type="paragraph" w:styleId="Merknadstekst">
    <w:name w:val="annotation text"/>
    <w:basedOn w:val="Normal"/>
    <w:link w:val="MerknadstekstTegn"/>
    <w:uiPriority w:val="99"/>
    <w:semiHidden/>
    <w:unhideWhenUsed/>
    <w:rsid w:val="00292260"/>
  </w:style>
  <w:style w:type="character" w:customStyle="1" w:styleId="MerknadstekstTegn">
    <w:name w:val="Merknadstekst Tegn"/>
    <w:basedOn w:val="Standardskriftforavsnitt"/>
    <w:link w:val="Merknadstekst"/>
    <w:uiPriority w:val="99"/>
    <w:semiHidden/>
    <w:rsid w:val="00292260"/>
    <w:rPr>
      <w:rFonts w:ascii="Arial" w:eastAsia="Times New Roman" w:hAnsi="Arial" w:cs="Times New Roman"/>
      <w:sz w:val="24"/>
      <w:szCs w:val="24"/>
      <w:lang w:val="en-GB"/>
    </w:rPr>
  </w:style>
  <w:style w:type="paragraph" w:styleId="Kommentaremne">
    <w:name w:val="annotation subject"/>
    <w:basedOn w:val="Merknadstekst"/>
    <w:next w:val="Merknadstekst"/>
    <w:link w:val="KommentaremneTegn"/>
    <w:uiPriority w:val="99"/>
    <w:semiHidden/>
    <w:unhideWhenUsed/>
    <w:rsid w:val="00292260"/>
    <w:rPr>
      <w:b/>
      <w:bCs/>
      <w:sz w:val="20"/>
      <w:szCs w:val="20"/>
    </w:rPr>
  </w:style>
  <w:style w:type="character" w:customStyle="1" w:styleId="KommentaremneTegn">
    <w:name w:val="Kommentaremne Tegn"/>
    <w:basedOn w:val="MerknadstekstTegn"/>
    <w:link w:val="Kommentaremne"/>
    <w:uiPriority w:val="99"/>
    <w:semiHidden/>
    <w:rsid w:val="00292260"/>
    <w:rPr>
      <w:rFonts w:ascii="Arial" w:eastAsia="Times New Roman" w:hAnsi="Arial" w:cs="Times New Roman"/>
      <w:b/>
      <w:bCs/>
      <w:sz w:val="20"/>
      <w:szCs w:val="20"/>
      <w:lang w:val="en-GB"/>
    </w:rPr>
  </w:style>
  <w:style w:type="character" w:styleId="Fulgthyperkobling">
    <w:name w:val="FollowedHyperlink"/>
    <w:basedOn w:val="Standardskriftforavsnitt"/>
    <w:uiPriority w:val="99"/>
    <w:semiHidden/>
    <w:unhideWhenUsed/>
    <w:rsid w:val="00684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r.no/ressurser/temasider/karaktersystemet_1/karaktersystem_og_retningslinj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3941</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Olve Iversen Hølaas</dc:creator>
  <cp:keywords/>
  <dc:description/>
  <cp:lastModifiedBy>Olve Iversen Hølaas</cp:lastModifiedBy>
  <cp:revision>5</cp:revision>
  <cp:lastPrinted>2017-08-16T07:02:00Z</cp:lastPrinted>
  <dcterms:created xsi:type="dcterms:W3CDTF">2022-11-23T13:06:00Z</dcterms:created>
  <dcterms:modified xsi:type="dcterms:W3CDTF">2022-11-23T13:47:00Z</dcterms:modified>
</cp:coreProperties>
</file>