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C764" w14:textId="7B0FC7F3" w:rsidR="00752661" w:rsidRPr="000246D8" w:rsidRDefault="00752661" w:rsidP="00752661">
      <w:pPr>
        <w:shd w:val="clear" w:color="auto" w:fill="FFFFFF"/>
        <w:spacing w:after="100" w:afterAutospacing="1" w:line="240" w:lineRule="auto"/>
        <w:outlineLvl w:val="1"/>
        <w:rPr>
          <w:rFonts w:ascii="Open Sans" w:eastAsia="Times New Roman" w:hAnsi="Open Sans" w:cs="Open Sans"/>
          <w:i/>
          <w:iCs/>
          <w:color w:val="272833"/>
          <w:sz w:val="24"/>
          <w:szCs w:val="24"/>
          <w:lang w:val="en-GB" w:eastAsia="nb-NO"/>
        </w:rPr>
      </w:pPr>
      <w:r>
        <w:rPr>
          <w:rFonts w:ascii="Open Sans" w:eastAsia="Times New Roman" w:hAnsi="Open Sans" w:cs="Open Sans"/>
          <w:b/>
          <w:bCs/>
          <w:color w:val="272833"/>
          <w:sz w:val="36"/>
          <w:szCs w:val="36"/>
          <w:lang w:val="en-GB" w:eastAsia="nb-NO"/>
        </w:rPr>
        <w:t>Staff r</w:t>
      </w:r>
      <w:r w:rsidRPr="00752661">
        <w:rPr>
          <w:rFonts w:ascii="Open Sans" w:eastAsia="Times New Roman" w:hAnsi="Open Sans" w:cs="Open Sans"/>
          <w:b/>
          <w:bCs/>
          <w:color w:val="272833"/>
          <w:sz w:val="36"/>
          <w:szCs w:val="36"/>
          <w:lang w:val="en-GB" w:eastAsia="nb-NO"/>
        </w:rPr>
        <w:t xml:space="preserve">egulations </w:t>
      </w:r>
      <w:r>
        <w:rPr>
          <w:rFonts w:ascii="Open Sans" w:eastAsia="Times New Roman" w:hAnsi="Open Sans" w:cs="Open Sans"/>
          <w:b/>
          <w:bCs/>
          <w:color w:val="272833"/>
          <w:sz w:val="36"/>
          <w:szCs w:val="36"/>
          <w:lang w:val="en-GB" w:eastAsia="nb-NO"/>
        </w:rPr>
        <w:t xml:space="preserve">for </w:t>
      </w:r>
      <w:r w:rsidR="000246D8">
        <w:rPr>
          <w:rFonts w:ascii="Open Sans" w:eastAsia="Times New Roman" w:hAnsi="Open Sans" w:cs="Open Sans"/>
          <w:b/>
          <w:bCs/>
          <w:color w:val="272833"/>
          <w:sz w:val="36"/>
          <w:szCs w:val="36"/>
          <w:lang w:val="en-GB" w:eastAsia="nb-NO"/>
        </w:rPr>
        <w:t>teaching and research</w:t>
      </w:r>
      <w:r>
        <w:rPr>
          <w:rFonts w:ascii="Open Sans" w:eastAsia="Times New Roman" w:hAnsi="Open Sans" w:cs="Open Sans"/>
          <w:b/>
          <w:bCs/>
          <w:color w:val="272833"/>
          <w:sz w:val="36"/>
          <w:szCs w:val="36"/>
          <w:lang w:val="en-GB" w:eastAsia="nb-NO"/>
        </w:rPr>
        <w:t xml:space="preserve"> pos</w:t>
      </w:r>
      <w:r w:rsidR="000246D8">
        <w:rPr>
          <w:rFonts w:ascii="Open Sans" w:eastAsia="Times New Roman" w:hAnsi="Open Sans" w:cs="Open Sans"/>
          <w:b/>
          <w:bCs/>
          <w:color w:val="272833"/>
          <w:sz w:val="36"/>
          <w:szCs w:val="36"/>
          <w:lang w:val="en-GB" w:eastAsia="nb-NO"/>
        </w:rPr>
        <w:t xml:space="preserve">ts </w:t>
      </w:r>
      <w:r w:rsidR="000246D8">
        <w:rPr>
          <w:rFonts w:ascii="Open Sans" w:eastAsia="Times New Roman" w:hAnsi="Open Sans" w:cs="Open Sans"/>
          <w:b/>
          <w:bCs/>
          <w:color w:val="272833"/>
          <w:sz w:val="36"/>
          <w:szCs w:val="36"/>
          <w:lang w:val="en-GB" w:eastAsia="nb-NO"/>
        </w:rPr>
        <w:br/>
      </w:r>
      <w:r w:rsidR="000246D8">
        <w:rPr>
          <w:rFonts w:ascii="Open Sans" w:eastAsia="Times New Roman" w:hAnsi="Open Sans" w:cs="Open Sans"/>
          <w:b/>
          <w:bCs/>
          <w:color w:val="272833"/>
          <w:sz w:val="36"/>
          <w:szCs w:val="36"/>
          <w:lang w:val="en-GB" w:eastAsia="nb-NO"/>
        </w:rPr>
        <w:br/>
      </w:r>
      <w:r w:rsidRPr="000246D8">
        <w:rPr>
          <w:rFonts w:ascii="Open Sans" w:eastAsia="Times New Roman" w:hAnsi="Open Sans" w:cs="Open Sans"/>
          <w:i/>
          <w:iCs/>
          <w:color w:val="272833"/>
          <w:sz w:val="24"/>
          <w:szCs w:val="24"/>
          <w:lang w:val="en-GB" w:eastAsia="nb-NO"/>
        </w:rPr>
        <w:t xml:space="preserve">Staff regulations including local procedural rules for </w:t>
      </w:r>
      <w:r w:rsidR="000246D8" w:rsidRPr="000246D8">
        <w:rPr>
          <w:rFonts w:ascii="Open Sans" w:eastAsia="Times New Roman" w:hAnsi="Open Sans" w:cs="Open Sans"/>
          <w:i/>
          <w:iCs/>
          <w:color w:val="272833"/>
          <w:sz w:val="24"/>
          <w:szCs w:val="24"/>
          <w:lang w:val="en-GB" w:eastAsia="nb-NO"/>
        </w:rPr>
        <w:t>teaching and research posts</w:t>
      </w:r>
      <w:r w:rsidRPr="000246D8">
        <w:rPr>
          <w:rFonts w:ascii="Open Sans" w:eastAsia="Times New Roman" w:hAnsi="Open Sans" w:cs="Open Sans"/>
          <w:i/>
          <w:iCs/>
          <w:color w:val="272833"/>
          <w:sz w:val="24"/>
          <w:szCs w:val="24"/>
          <w:lang w:val="en-GB" w:eastAsia="nb-NO"/>
        </w:rPr>
        <w:t xml:space="preserve"> at the Norwegian University of Science and Technology (NTNU)</w:t>
      </w:r>
    </w:p>
    <w:p w14:paraId="77E25A8E" w14:textId="3B55C0D4" w:rsidR="00752661" w:rsidRPr="00143AA8" w:rsidRDefault="00752661" w:rsidP="00752661">
      <w:pPr>
        <w:shd w:val="clear" w:color="auto" w:fill="FFFFFF"/>
        <w:spacing w:after="100" w:afterAutospacing="1" w:line="240" w:lineRule="auto"/>
        <w:outlineLvl w:val="1"/>
        <w:rPr>
          <w:rFonts w:ascii="Open Sans" w:eastAsia="Times New Roman" w:hAnsi="Open Sans" w:cs="Open Sans"/>
          <w:i/>
          <w:iCs/>
          <w:color w:val="272833"/>
          <w:sz w:val="24"/>
          <w:szCs w:val="24"/>
          <w:lang w:val="en-GB" w:eastAsia="nb-NO"/>
        </w:rPr>
      </w:pPr>
      <w:r w:rsidRPr="00143AA8">
        <w:rPr>
          <w:rFonts w:ascii="Open Sans" w:eastAsia="Times New Roman" w:hAnsi="Open Sans" w:cs="Open Sans"/>
          <w:i/>
          <w:iCs/>
          <w:color w:val="272833"/>
          <w:sz w:val="24"/>
          <w:szCs w:val="24"/>
          <w:lang w:val="en-GB" w:eastAsia="nb-NO"/>
        </w:rPr>
        <w:t>Negotiated on 20 June 2019 and revised</w:t>
      </w:r>
      <w:r w:rsidR="00E92DCB" w:rsidRPr="00143AA8">
        <w:rPr>
          <w:rFonts w:ascii="Open Sans" w:eastAsia="Times New Roman" w:hAnsi="Open Sans" w:cs="Open Sans"/>
          <w:i/>
          <w:iCs/>
          <w:color w:val="272833"/>
          <w:sz w:val="24"/>
          <w:szCs w:val="24"/>
          <w:lang w:val="en-GB" w:eastAsia="nb-NO"/>
        </w:rPr>
        <w:t xml:space="preserve"> on 28 May 2021. The Central cooperation committee (</w:t>
      </w:r>
      <w:r w:rsidR="00143AA8" w:rsidRPr="00143AA8">
        <w:rPr>
          <w:rFonts w:ascii="Open Sans" w:eastAsia="Times New Roman" w:hAnsi="Open Sans" w:cs="Open Sans"/>
          <w:i/>
          <w:iCs/>
          <w:color w:val="272833"/>
          <w:sz w:val="24"/>
          <w:szCs w:val="24"/>
          <w:lang w:val="en-GB" w:eastAsia="nb-NO"/>
        </w:rPr>
        <w:t xml:space="preserve">IDF </w:t>
      </w:r>
      <w:r w:rsidR="00E92DCB" w:rsidRPr="00143AA8">
        <w:rPr>
          <w:rFonts w:ascii="Open Sans" w:eastAsia="Times New Roman" w:hAnsi="Open Sans" w:cs="Open Sans"/>
          <w:i/>
          <w:iCs/>
          <w:color w:val="272833"/>
          <w:sz w:val="24"/>
          <w:szCs w:val="24"/>
          <w:lang w:val="en-GB" w:eastAsia="nb-NO"/>
        </w:rPr>
        <w:t xml:space="preserve">SESAM) later approved minor </w:t>
      </w:r>
      <w:r w:rsidRPr="00143AA8">
        <w:rPr>
          <w:rFonts w:ascii="Open Sans" w:eastAsia="Times New Roman" w:hAnsi="Open Sans" w:cs="Open Sans"/>
          <w:i/>
          <w:iCs/>
          <w:color w:val="272833"/>
          <w:sz w:val="24"/>
          <w:szCs w:val="24"/>
          <w:lang w:val="en-GB" w:eastAsia="nb-NO"/>
        </w:rPr>
        <w:t xml:space="preserve">revisions </w:t>
      </w:r>
      <w:r w:rsidR="00E92DCB" w:rsidRPr="00143AA8">
        <w:rPr>
          <w:rFonts w:ascii="Open Sans" w:eastAsia="Times New Roman" w:hAnsi="Open Sans" w:cs="Open Sans"/>
          <w:i/>
          <w:iCs/>
          <w:color w:val="272833"/>
          <w:sz w:val="24"/>
          <w:szCs w:val="24"/>
          <w:lang w:val="en-GB" w:eastAsia="nb-NO"/>
        </w:rPr>
        <w:t>in</w:t>
      </w:r>
      <w:r w:rsidRPr="00143AA8">
        <w:rPr>
          <w:rFonts w:ascii="Open Sans" w:eastAsia="Times New Roman" w:hAnsi="Open Sans" w:cs="Open Sans"/>
          <w:i/>
          <w:iCs/>
          <w:color w:val="272833"/>
          <w:sz w:val="24"/>
          <w:szCs w:val="24"/>
          <w:lang w:val="en-GB" w:eastAsia="nb-NO"/>
        </w:rPr>
        <w:t xml:space="preserve"> section </w:t>
      </w:r>
      <w:r w:rsidR="00E92DCB" w:rsidRPr="00143AA8">
        <w:rPr>
          <w:rFonts w:ascii="Open Sans" w:eastAsia="Times New Roman" w:hAnsi="Open Sans" w:cs="Open Sans"/>
          <w:i/>
          <w:iCs/>
          <w:color w:val="272833"/>
          <w:sz w:val="24"/>
          <w:szCs w:val="24"/>
          <w:lang w:val="en-GB" w:eastAsia="nb-NO"/>
        </w:rPr>
        <w:t>7.2 (</w:t>
      </w:r>
      <w:r w:rsidRPr="00143AA8">
        <w:rPr>
          <w:rFonts w:ascii="Open Sans" w:eastAsia="Times New Roman" w:hAnsi="Open Sans" w:cs="Open Sans"/>
          <w:i/>
          <w:iCs/>
          <w:color w:val="272833"/>
          <w:sz w:val="24"/>
          <w:szCs w:val="24"/>
          <w:lang w:val="en-GB" w:eastAsia="nb-NO"/>
        </w:rPr>
        <w:t>15 November 2022</w:t>
      </w:r>
      <w:r w:rsidR="00E92DCB" w:rsidRPr="00143AA8">
        <w:rPr>
          <w:rFonts w:ascii="Open Sans" w:eastAsia="Times New Roman" w:hAnsi="Open Sans" w:cs="Open Sans"/>
          <w:i/>
          <w:iCs/>
          <w:color w:val="272833"/>
          <w:sz w:val="24"/>
          <w:szCs w:val="24"/>
          <w:lang w:val="en-GB" w:eastAsia="nb-NO"/>
        </w:rPr>
        <w:t>)</w:t>
      </w:r>
      <w:r w:rsidRPr="00143AA8">
        <w:rPr>
          <w:rFonts w:ascii="Open Sans" w:eastAsia="Times New Roman" w:hAnsi="Open Sans" w:cs="Open Sans"/>
          <w:i/>
          <w:iCs/>
          <w:color w:val="272833"/>
          <w:sz w:val="24"/>
          <w:szCs w:val="24"/>
          <w:lang w:val="en-GB" w:eastAsia="nb-NO"/>
        </w:rPr>
        <w:t xml:space="preserve"> and </w:t>
      </w:r>
      <w:r w:rsidR="00E92DCB" w:rsidRPr="00143AA8">
        <w:rPr>
          <w:rFonts w:ascii="Open Sans" w:eastAsia="Times New Roman" w:hAnsi="Open Sans" w:cs="Open Sans"/>
          <w:i/>
          <w:iCs/>
          <w:color w:val="272833"/>
          <w:sz w:val="24"/>
          <w:szCs w:val="24"/>
          <w:lang w:val="en-GB" w:eastAsia="nb-NO"/>
        </w:rPr>
        <w:t xml:space="preserve">in </w:t>
      </w:r>
      <w:r w:rsidRPr="00143AA8">
        <w:rPr>
          <w:rFonts w:ascii="Open Sans" w:eastAsia="Times New Roman" w:hAnsi="Open Sans" w:cs="Open Sans"/>
          <w:i/>
          <w:iCs/>
          <w:color w:val="272833"/>
          <w:sz w:val="24"/>
          <w:szCs w:val="24"/>
          <w:lang w:val="en-GB" w:eastAsia="nb-NO"/>
        </w:rPr>
        <w:t xml:space="preserve">section 5 </w:t>
      </w:r>
      <w:r w:rsidR="00E92DCB" w:rsidRPr="00143AA8">
        <w:rPr>
          <w:rFonts w:ascii="Open Sans" w:eastAsia="Times New Roman" w:hAnsi="Open Sans" w:cs="Open Sans"/>
          <w:i/>
          <w:iCs/>
          <w:color w:val="272833"/>
          <w:sz w:val="24"/>
          <w:szCs w:val="24"/>
          <w:lang w:val="en-GB" w:eastAsia="nb-NO"/>
        </w:rPr>
        <w:t>(</w:t>
      </w:r>
      <w:r w:rsidRPr="00143AA8">
        <w:rPr>
          <w:rFonts w:ascii="Open Sans" w:eastAsia="Times New Roman" w:hAnsi="Open Sans" w:cs="Open Sans"/>
          <w:i/>
          <w:iCs/>
          <w:color w:val="272833"/>
          <w:sz w:val="24"/>
          <w:szCs w:val="24"/>
          <w:lang w:val="en-GB" w:eastAsia="nb-NO"/>
        </w:rPr>
        <w:t>20 January 2023</w:t>
      </w:r>
      <w:r w:rsidR="00E92DCB" w:rsidRPr="00143AA8">
        <w:rPr>
          <w:rFonts w:ascii="Open Sans" w:eastAsia="Times New Roman" w:hAnsi="Open Sans" w:cs="Open Sans"/>
          <w:i/>
          <w:iCs/>
          <w:color w:val="272833"/>
          <w:sz w:val="24"/>
          <w:szCs w:val="24"/>
          <w:lang w:val="en-GB" w:eastAsia="nb-NO"/>
        </w:rPr>
        <w:t>).</w:t>
      </w:r>
    </w:p>
    <w:p w14:paraId="734B759D" w14:textId="1A3E29D1" w:rsidR="00752661" w:rsidRPr="00752661" w:rsidRDefault="00752661" w:rsidP="00752661">
      <w:pPr>
        <w:shd w:val="clear" w:color="auto" w:fill="FFFFFF"/>
        <w:spacing w:after="100" w:afterAutospacing="1" w:line="240" w:lineRule="auto"/>
        <w:outlineLvl w:val="1"/>
        <w:rPr>
          <w:rFonts w:ascii="Open Sans" w:eastAsia="Times New Roman" w:hAnsi="Open Sans" w:cs="Open Sans"/>
          <w:b/>
          <w:bCs/>
          <w:color w:val="272833"/>
          <w:sz w:val="36"/>
          <w:szCs w:val="36"/>
          <w:lang w:val="en-GB" w:eastAsia="nb-NO"/>
        </w:rPr>
      </w:pPr>
      <w:r w:rsidRPr="00752661">
        <w:rPr>
          <w:rFonts w:ascii="Open Sans" w:eastAsia="Times New Roman" w:hAnsi="Open Sans" w:cs="Open Sans"/>
          <w:b/>
          <w:bCs/>
          <w:color w:val="272833"/>
          <w:sz w:val="36"/>
          <w:szCs w:val="36"/>
          <w:lang w:val="en-GB" w:eastAsia="nb-NO"/>
        </w:rPr>
        <w:t>Part I General</w:t>
      </w:r>
    </w:p>
    <w:p w14:paraId="30EC058B" w14:textId="032AE2CA" w:rsidR="00752661" w:rsidRPr="00752661" w:rsidRDefault="00752661"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sidRPr="00752661">
        <w:rPr>
          <w:rFonts w:ascii="Open Sans" w:eastAsia="Times New Roman" w:hAnsi="Open Sans" w:cs="Open Sans"/>
          <w:b/>
          <w:bCs/>
          <w:color w:val="272833"/>
          <w:sz w:val="27"/>
          <w:szCs w:val="27"/>
          <w:lang w:val="en-GB" w:eastAsia="nb-NO"/>
        </w:rPr>
        <w:t>1.</w:t>
      </w:r>
      <w:r w:rsidR="002D6CF2">
        <w:rPr>
          <w:rFonts w:ascii="Open Sans" w:eastAsia="Times New Roman" w:hAnsi="Open Sans" w:cs="Open Sans"/>
          <w:b/>
          <w:bCs/>
          <w:color w:val="272833"/>
          <w:sz w:val="27"/>
          <w:szCs w:val="27"/>
          <w:lang w:val="en-GB" w:eastAsia="nb-NO"/>
        </w:rPr>
        <w:t xml:space="preserve"> </w:t>
      </w:r>
      <w:r w:rsidRPr="00752661">
        <w:rPr>
          <w:rFonts w:ascii="Open Sans" w:eastAsia="Times New Roman" w:hAnsi="Open Sans" w:cs="Open Sans"/>
          <w:b/>
          <w:bCs/>
          <w:color w:val="272833"/>
          <w:sz w:val="27"/>
          <w:szCs w:val="27"/>
          <w:lang w:val="en-GB" w:eastAsia="nb-NO"/>
        </w:rPr>
        <w:t>Definitions, general information about the appointing authority, etc.</w:t>
      </w:r>
    </w:p>
    <w:p w14:paraId="699D628F" w14:textId="3F9FD0B1" w:rsid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regulations apply to appointment to positions at NTNU that are subject to</w:t>
      </w:r>
      <w:r w:rsidR="008C413B">
        <w:rPr>
          <w:rFonts w:ascii="Open Sans" w:eastAsia="Times New Roman" w:hAnsi="Open Sans" w:cs="Open Sans"/>
          <w:color w:val="272833"/>
          <w:sz w:val="24"/>
          <w:szCs w:val="24"/>
          <w:lang w:val="en-GB" w:eastAsia="nb-NO"/>
        </w:rPr>
        <w:t xml:space="preserve"> the Public Employees Act (</w:t>
      </w:r>
      <w:r w:rsidR="006B2845">
        <w:rPr>
          <w:rFonts w:ascii="Open Sans" w:eastAsia="Times New Roman" w:hAnsi="Open Sans" w:cs="Open Sans"/>
          <w:color w:val="272833"/>
          <w:sz w:val="24"/>
          <w:szCs w:val="24"/>
          <w:lang w:val="en-GB" w:eastAsia="nb-NO"/>
        </w:rPr>
        <w:t xml:space="preserve">in Norwegian only: </w:t>
      </w:r>
      <w:proofErr w:type="spellStart"/>
      <w:r w:rsidRPr="00752661">
        <w:rPr>
          <w:rFonts w:ascii="Open Sans" w:eastAsia="Times New Roman" w:hAnsi="Open Sans" w:cs="Open Sans"/>
          <w:color w:val="0B5FFF"/>
          <w:sz w:val="24"/>
          <w:szCs w:val="24"/>
          <w:u w:val="single"/>
          <w:lang w:val="en-GB" w:eastAsia="nb-NO"/>
        </w:rPr>
        <w:t>Statsansatteloven</w:t>
      </w:r>
      <w:proofErr w:type="spellEnd"/>
      <w:r w:rsidRPr="00752661">
        <w:rPr>
          <w:rFonts w:ascii="Open Sans" w:eastAsia="Times New Roman" w:hAnsi="Open Sans" w:cs="Open Sans"/>
          <w:color w:val="0B5FFF"/>
          <w:sz w:val="24"/>
          <w:szCs w:val="24"/>
          <w:u w:val="single"/>
          <w:lang w:val="en-GB" w:eastAsia="nb-NO"/>
        </w:rPr>
        <w:t xml:space="preserve">, abbreviated </w:t>
      </w:r>
      <w:proofErr w:type="spellStart"/>
      <w:r w:rsidRPr="00752661">
        <w:rPr>
          <w:rFonts w:ascii="Open Sans" w:eastAsia="Times New Roman" w:hAnsi="Open Sans" w:cs="Open Sans"/>
          <w:color w:val="0B5FFF"/>
          <w:sz w:val="24"/>
          <w:szCs w:val="24"/>
          <w:u w:val="single"/>
          <w:lang w:val="en-GB" w:eastAsia="nb-NO"/>
        </w:rPr>
        <w:t>sal</w:t>
      </w:r>
      <w:proofErr w:type="spellEnd"/>
      <w:r w:rsidRPr="00752661">
        <w:rPr>
          <w:rFonts w:ascii="Open Sans" w:eastAsia="Times New Roman" w:hAnsi="Open Sans" w:cs="Open Sans"/>
          <w:color w:val="0B5FFF"/>
          <w:sz w:val="24"/>
          <w:szCs w:val="24"/>
          <w:u w:val="single"/>
          <w:lang w:val="en-GB" w:eastAsia="nb-NO"/>
        </w:rPr>
        <w:t>. in Norwegian)</w:t>
      </w:r>
      <w:r w:rsidRPr="00752661">
        <w:rPr>
          <w:rFonts w:ascii="Open Sans" w:eastAsia="Times New Roman" w:hAnsi="Open Sans" w:cs="Open Sans"/>
          <w:color w:val="272833"/>
          <w:sz w:val="24"/>
          <w:szCs w:val="24"/>
          <w:lang w:val="en-GB" w:eastAsia="nb-NO"/>
        </w:rPr>
        <w:t>, unless specific regulation has been laid down in or is pursuant to</w:t>
      </w:r>
      <w:r w:rsidR="008C413B">
        <w:rPr>
          <w:rFonts w:ascii="Open Sans" w:eastAsia="Times New Roman" w:hAnsi="Open Sans" w:cs="Open Sans"/>
          <w:color w:val="272833"/>
          <w:sz w:val="24"/>
          <w:szCs w:val="24"/>
          <w:lang w:val="en-GB" w:eastAsia="nb-NO"/>
        </w:rPr>
        <w:t xml:space="preserve"> the</w:t>
      </w:r>
      <w:r w:rsidRPr="00752661">
        <w:rPr>
          <w:rFonts w:ascii="Open Sans" w:eastAsia="Times New Roman" w:hAnsi="Open Sans" w:cs="Open Sans"/>
          <w:color w:val="272833"/>
          <w:sz w:val="24"/>
          <w:szCs w:val="24"/>
          <w:lang w:val="en-GB" w:eastAsia="nb-NO"/>
        </w:rPr>
        <w:t> </w:t>
      </w:r>
      <w:hyperlink r:id="rId7" w:history="1">
        <w:r w:rsidR="00B03691">
          <w:rPr>
            <w:rFonts w:ascii="Open Sans" w:eastAsia="Times New Roman" w:hAnsi="Open Sans" w:cs="Open Sans"/>
            <w:color w:val="0B5FFF"/>
            <w:sz w:val="24"/>
            <w:szCs w:val="24"/>
            <w:u w:val="single"/>
            <w:lang w:val="en-GB" w:eastAsia="nb-NO"/>
          </w:rPr>
          <w:t>Act relating to u</w:t>
        </w:r>
        <w:r w:rsidRPr="00752661">
          <w:rPr>
            <w:rFonts w:ascii="Open Sans" w:eastAsia="Times New Roman" w:hAnsi="Open Sans" w:cs="Open Sans"/>
            <w:color w:val="0B5FFF"/>
            <w:sz w:val="24"/>
            <w:szCs w:val="24"/>
            <w:u w:val="single"/>
            <w:lang w:val="en-GB" w:eastAsia="nb-NO"/>
          </w:rPr>
          <w:t xml:space="preserve">niversities and </w:t>
        </w:r>
        <w:r w:rsidR="00B03691">
          <w:rPr>
            <w:rFonts w:ascii="Open Sans" w:eastAsia="Times New Roman" w:hAnsi="Open Sans" w:cs="Open Sans"/>
            <w:color w:val="0B5FFF"/>
            <w:sz w:val="24"/>
            <w:szCs w:val="24"/>
            <w:u w:val="single"/>
            <w:lang w:val="en-GB" w:eastAsia="nb-NO"/>
          </w:rPr>
          <w:t>u</w:t>
        </w:r>
        <w:r w:rsidRPr="00752661">
          <w:rPr>
            <w:rFonts w:ascii="Open Sans" w:eastAsia="Times New Roman" w:hAnsi="Open Sans" w:cs="Open Sans"/>
            <w:color w:val="0B5FFF"/>
            <w:sz w:val="24"/>
            <w:szCs w:val="24"/>
            <w:u w:val="single"/>
            <w:lang w:val="en-GB" w:eastAsia="nb-NO"/>
          </w:rPr>
          <w:t>nive</w:t>
        </w:r>
        <w:r w:rsidRPr="00752661">
          <w:rPr>
            <w:rFonts w:ascii="Open Sans" w:eastAsia="Times New Roman" w:hAnsi="Open Sans" w:cs="Open Sans"/>
            <w:color w:val="0B5FFF"/>
            <w:sz w:val="24"/>
            <w:szCs w:val="24"/>
            <w:u w:val="single"/>
            <w:lang w:val="en-GB" w:eastAsia="nb-NO"/>
          </w:rPr>
          <w:t>r</w:t>
        </w:r>
        <w:r w:rsidRPr="00752661">
          <w:rPr>
            <w:rFonts w:ascii="Open Sans" w:eastAsia="Times New Roman" w:hAnsi="Open Sans" w:cs="Open Sans"/>
            <w:color w:val="0B5FFF"/>
            <w:sz w:val="24"/>
            <w:szCs w:val="24"/>
            <w:u w:val="single"/>
            <w:lang w:val="en-GB" w:eastAsia="nb-NO"/>
          </w:rPr>
          <w:t xml:space="preserve">sity </w:t>
        </w:r>
        <w:r w:rsidR="00B03691">
          <w:rPr>
            <w:rFonts w:ascii="Open Sans" w:eastAsia="Times New Roman" w:hAnsi="Open Sans" w:cs="Open Sans"/>
            <w:color w:val="0B5FFF"/>
            <w:sz w:val="24"/>
            <w:szCs w:val="24"/>
            <w:u w:val="single"/>
            <w:lang w:val="en-GB" w:eastAsia="nb-NO"/>
          </w:rPr>
          <w:t>c</w:t>
        </w:r>
        <w:r w:rsidRPr="00752661">
          <w:rPr>
            <w:rFonts w:ascii="Open Sans" w:eastAsia="Times New Roman" w:hAnsi="Open Sans" w:cs="Open Sans"/>
            <w:color w:val="0B5FFF"/>
            <w:sz w:val="24"/>
            <w:szCs w:val="24"/>
            <w:u w:val="single"/>
            <w:lang w:val="en-GB" w:eastAsia="nb-NO"/>
          </w:rPr>
          <w:t>olleges</w:t>
        </w:r>
      </w:hyperlink>
      <w:r w:rsidR="002D6CF2">
        <w:rPr>
          <w:rFonts w:ascii="Open Sans" w:eastAsia="Times New Roman" w:hAnsi="Open Sans" w:cs="Open Sans"/>
          <w:color w:val="272833"/>
          <w:sz w:val="24"/>
          <w:szCs w:val="24"/>
          <w:lang w:val="en-GB" w:eastAsia="nb-NO"/>
        </w:rPr>
        <w:t xml:space="preserve"> (</w:t>
      </w:r>
      <w:proofErr w:type="spellStart"/>
      <w:r w:rsidR="002D6CF2">
        <w:rPr>
          <w:rFonts w:ascii="Open Sans" w:eastAsia="Times New Roman" w:hAnsi="Open Sans" w:cs="Open Sans"/>
          <w:color w:val="272833"/>
          <w:sz w:val="24"/>
          <w:szCs w:val="24"/>
          <w:lang w:val="en-GB" w:eastAsia="nb-NO"/>
        </w:rPr>
        <w:t>Lov</w:t>
      </w:r>
      <w:proofErr w:type="spellEnd"/>
      <w:r w:rsidR="002D6CF2">
        <w:rPr>
          <w:rFonts w:ascii="Open Sans" w:eastAsia="Times New Roman" w:hAnsi="Open Sans" w:cs="Open Sans"/>
          <w:color w:val="272833"/>
          <w:sz w:val="24"/>
          <w:szCs w:val="24"/>
          <w:lang w:val="en-GB" w:eastAsia="nb-NO"/>
        </w:rPr>
        <w:t xml:space="preserve"> om </w:t>
      </w:r>
      <w:proofErr w:type="spellStart"/>
      <w:r w:rsidR="002D6CF2">
        <w:rPr>
          <w:rFonts w:ascii="Open Sans" w:eastAsia="Times New Roman" w:hAnsi="Open Sans" w:cs="Open Sans"/>
          <w:color w:val="272833"/>
          <w:sz w:val="24"/>
          <w:szCs w:val="24"/>
          <w:lang w:val="en-GB" w:eastAsia="nb-NO"/>
        </w:rPr>
        <w:t>universiteter</w:t>
      </w:r>
      <w:proofErr w:type="spellEnd"/>
      <w:r w:rsidR="002D6CF2">
        <w:rPr>
          <w:rFonts w:ascii="Open Sans" w:eastAsia="Times New Roman" w:hAnsi="Open Sans" w:cs="Open Sans"/>
          <w:color w:val="272833"/>
          <w:sz w:val="24"/>
          <w:szCs w:val="24"/>
          <w:lang w:val="en-GB" w:eastAsia="nb-NO"/>
        </w:rPr>
        <w:t xml:space="preserve"> </w:t>
      </w:r>
      <w:proofErr w:type="spellStart"/>
      <w:r w:rsidR="002D6CF2">
        <w:rPr>
          <w:rFonts w:ascii="Open Sans" w:eastAsia="Times New Roman" w:hAnsi="Open Sans" w:cs="Open Sans"/>
          <w:color w:val="272833"/>
          <w:sz w:val="24"/>
          <w:szCs w:val="24"/>
          <w:lang w:val="en-GB" w:eastAsia="nb-NO"/>
        </w:rPr>
        <w:t>og</w:t>
      </w:r>
      <w:proofErr w:type="spellEnd"/>
      <w:r w:rsidR="002D6CF2">
        <w:rPr>
          <w:rFonts w:ascii="Open Sans" w:eastAsia="Times New Roman" w:hAnsi="Open Sans" w:cs="Open Sans"/>
          <w:color w:val="272833"/>
          <w:sz w:val="24"/>
          <w:szCs w:val="24"/>
          <w:lang w:val="en-GB" w:eastAsia="nb-NO"/>
        </w:rPr>
        <w:t xml:space="preserve"> </w:t>
      </w:r>
      <w:proofErr w:type="spellStart"/>
      <w:r w:rsidR="002D6CF2">
        <w:rPr>
          <w:rFonts w:ascii="Open Sans" w:eastAsia="Times New Roman" w:hAnsi="Open Sans" w:cs="Open Sans"/>
          <w:color w:val="272833"/>
          <w:sz w:val="24"/>
          <w:szCs w:val="24"/>
          <w:lang w:val="en-GB" w:eastAsia="nb-NO"/>
        </w:rPr>
        <w:t>høgskoler</w:t>
      </w:r>
      <w:proofErr w:type="spellEnd"/>
      <w:r w:rsidR="002D6CF2">
        <w:rPr>
          <w:rFonts w:ascii="Open Sans" w:eastAsia="Times New Roman" w:hAnsi="Open Sans" w:cs="Open Sans"/>
          <w:color w:val="272833"/>
          <w:sz w:val="24"/>
          <w:szCs w:val="24"/>
          <w:lang w:val="en-GB" w:eastAsia="nb-NO"/>
        </w:rPr>
        <w:t xml:space="preserve">, abbreviated </w:t>
      </w:r>
      <w:proofErr w:type="spellStart"/>
      <w:r w:rsidR="002D6CF2">
        <w:rPr>
          <w:rFonts w:ascii="Open Sans" w:eastAsia="Times New Roman" w:hAnsi="Open Sans" w:cs="Open Sans"/>
          <w:color w:val="272833"/>
          <w:sz w:val="24"/>
          <w:szCs w:val="24"/>
          <w:lang w:val="en-GB" w:eastAsia="nb-NO"/>
        </w:rPr>
        <w:t>uhl</w:t>
      </w:r>
      <w:proofErr w:type="spellEnd"/>
      <w:r w:rsidR="002D6CF2">
        <w:rPr>
          <w:rFonts w:ascii="Open Sans" w:eastAsia="Times New Roman" w:hAnsi="Open Sans" w:cs="Open Sans"/>
          <w:color w:val="272833"/>
          <w:sz w:val="24"/>
          <w:szCs w:val="24"/>
          <w:lang w:val="en-GB" w:eastAsia="nb-NO"/>
        </w:rPr>
        <w:t xml:space="preserve"> in Norwegian).</w:t>
      </w:r>
      <w:r w:rsidRPr="00752661">
        <w:rPr>
          <w:rFonts w:ascii="Open Sans" w:eastAsia="Times New Roman" w:hAnsi="Open Sans" w:cs="Open Sans"/>
          <w:color w:val="272833"/>
          <w:sz w:val="24"/>
          <w:szCs w:val="24"/>
          <w:lang w:val="en-GB" w:eastAsia="nb-NO"/>
        </w:rPr>
        <w:t xml:space="preserve"> Provisions regarding the nominating and appointment authority for teaching and research positions (pay scale 17.510), researcher training and other academic trainee positions (pay scale 17.515) and research positions (pay scale 90.400) are determined by the Board of NTNU.</w:t>
      </w:r>
    </w:p>
    <w:p w14:paraId="40063AAC" w14:textId="51A7270E" w:rsidR="008C413B" w:rsidRDefault="00F6399D"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The main rule at NTNU shall be p</w:t>
      </w:r>
      <w:r w:rsidR="008C413B">
        <w:rPr>
          <w:rFonts w:ascii="Open Sans" w:eastAsia="Times New Roman" w:hAnsi="Open Sans" w:cs="Open Sans"/>
          <w:color w:val="272833"/>
          <w:sz w:val="24"/>
          <w:szCs w:val="24"/>
          <w:lang w:val="en-GB" w:eastAsia="nb-NO"/>
        </w:rPr>
        <w:t>ermanent employment</w:t>
      </w:r>
      <w:r>
        <w:rPr>
          <w:rFonts w:ascii="Open Sans" w:eastAsia="Times New Roman" w:hAnsi="Open Sans" w:cs="Open Sans"/>
          <w:color w:val="272833"/>
          <w:sz w:val="24"/>
          <w:szCs w:val="24"/>
          <w:lang w:val="en-GB" w:eastAsia="nb-NO"/>
        </w:rPr>
        <w:t xml:space="preserve">, </w:t>
      </w:r>
      <w:r w:rsidR="006B2845">
        <w:rPr>
          <w:rFonts w:ascii="Open Sans" w:eastAsia="Times New Roman" w:hAnsi="Open Sans" w:cs="Open Sans"/>
          <w:color w:val="272833"/>
          <w:sz w:val="24"/>
          <w:szCs w:val="24"/>
          <w:lang w:val="en-GB" w:eastAsia="nb-NO"/>
        </w:rPr>
        <w:t>see</w:t>
      </w:r>
      <w:r>
        <w:rPr>
          <w:rFonts w:ascii="Open Sans" w:eastAsia="Times New Roman" w:hAnsi="Open Sans" w:cs="Open Sans"/>
          <w:color w:val="272833"/>
          <w:sz w:val="24"/>
          <w:szCs w:val="24"/>
          <w:lang w:val="en-GB" w:eastAsia="nb-NO"/>
        </w:rPr>
        <w:t xml:space="preserve"> </w:t>
      </w:r>
      <w:r w:rsidR="006B2845">
        <w:rPr>
          <w:rFonts w:ascii="Open Sans" w:eastAsia="Times New Roman" w:hAnsi="Open Sans" w:cs="Open Sans"/>
          <w:color w:val="272833"/>
          <w:sz w:val="24"/>
          <w:szCs w:val="24"/>
          <w:lang w:val="en-GB" w:eastAsia="nb-NO"/>
        </w:rPr>
        <w:t>Public Employees Act</w:t>
      </w:r>
      <w:r w:rsidR="002A064B">
        <w:rPr>
          <w:rFonts w:ascii="Open Sans" w:eastAsia="Times New Roman" w:hAnsi="Open Sans" w:cs="Open Sans"/>
          <w:color w:val="272833"/>
          <w:sz w:val="24"/>
          <w:szCs w:val="24"/>
          <w:lang w:val="en-GB" w:eastAsia="nb-NO"/>
        </w:rPr>
        <w:t xml:space="preserve"> Section 9.1</w:t>
      </w:r>
      <w:r w:rsidR="006B2845">
        <w:rPr>
          <w:rFonts w:ascii="Open Sans" w:eastAsia="Times New Roman" w:hAnsi="Open Sans" w:cs="Open Sans"/>
          <w:color w:val="272833"/>
          <w:sz w:val="24"/>
          <w:szCs w:val="24"/>
          <w:lang w:val="en-GB" w:eastAsia="nb-NO"/>
        </w:rPr>
        <w:t xml:space="preserve"> (</w:t>
      </w:r>
      <w:r w:rsidR="001F2BBF">
        <w:rPr>
          <w:rFonts w:ascii="Open Sans" w:eastAsia="Times New Roman" w:hAnsi="Open Sans" w:cs="Open Sans"/>
          <w:color w:val="272833"/>
          <w:sz w:val="24"/>
          <w:szCs w:val="24"/>
          <w:lang w:val="en-GB" w:eastAsia="nb-NO"/>
        </w:rPr>
        <w:t xml:space="preserve">in Norwegian: </w:t>
      </w:r>
      <w:hyperlink r:id="rId8" w:history="1">
        <w:proofErr w:type="spellStart"/>
        <w:r w:rsidR="006B2845" w:rsidRPr="001F2BBF">
          <w:rPr>
            <w:rStyle w:val="Hyperkobling"/>
            <w:rFonts w:ascii="Open Sans" w:eastAsia="Times New Roman" w:hAnsi="Open Sans" w:cs="Open Sans"/>
            <w:sz w:val="24"/>
            <w:szCs w:val="24"/>
            <w:lang w:val="en-GB" w:eastAsia="nb-NO"/>
          </w:rPr>
          <w:t>Statsansatteloven</w:t>
        </w:r>
        <w:proofErr w:type="spellEnd"/>
        <w:r w:rsidR="006B2845" w:rsidRPr="001F2BBF">
          <w:rPr>
            <w:rStyle w:val="Hyperkobling"/>
            <w:rFonts w:ascii="Open Sans" w:eastAsia="Times New Roman" w:hAnsi="Open Sans" w:cs="Open Sans"/>
            <w:sz w:val="24"/>
            <w:szCs w:val="24"/>
            <w:lang w:val="en-GB" w:eastAsia="nb-NO"/>
          </w:rPr>
          <w:t xml:space="preserve"> §</w:t>
        </w:r>
        <w:r w:rsidRPr="001F2BBF">
          <w:rPr>
            <w:rStyle w:val="Hyperkobling"/>
            <w:rFonts w:ascii="Open Sans" w:eastAsia="Times New Roman" w:hAnsi="Open Sans" w:cs="Open Sans"/>
            <w:sz w:val="24"/>
            <w:szCs w:val="24"/>
            <w:lang w:val="en-GB" w:eastAsia="nb-NO"/>
          </w:rPr>
          <w:t xml:space="preserve"> 9</w:t>
        </w:r>
        <w:r w:rsidR="006B2845" w:rsidRPr="001F2BBF">
          <w:rPr>
            <w:rStyle w:val="Hyperkobling"/>
            <w:rFonts w:ascii="Open Sans" w:eastAsia="Times New Roman" w:hAnsi="Open Sans" w:cs="Open Sans"/>
            <w:sz w:val="24"/>
            <w:szCs w:val="24"/>
            <w:lang w:val="en-GB" w:eastAsia="nb-NO"/>
          </w:rPr>
          <w:t>.1</w:t>
        </w:r>
      </w:hyperlink>
      <w:r w:rsidR="006B2845">
        <w:rPr>
          <w:rFonts w:ascii="Open Sans" w:eastAsia="Times New Roman" w:hAnsi="Open Sans" w:cs="Open Sans"/>
          <w:color w:val="272833"/>
          <w:sz w:val="24"/>
          <w:szCs w:val="24"/>
          <w:lang w:val="en-GB" w:eastAsia="nb-NO"/>
        </w:rPr>
        <w:t>)</w:t>
      </w:r>
      <w:r>
        <w:rPr>
          <w:rFonts w:ascii="Open Sans" w:eastAsia="Times New Roman" w:hAnsi="Open Sans" w:cs="Open Sans"/>
          <w:color w:val="272833"/>
          <w:sz w:val="24"/>
          <w:szCs w:val="24"/>
          <w:lang w:val="en-GB" w:eastAsia="nb-NO"/>
        </w:rPr>
        <w:t>.</w:t>
      </w:r>
    </w:p>
    <w:p w14:paraId="46DE1608" w14:textId="339080D3" w:rsidR="00F6399D" w:rsidRPr="00752661" w:rsidRDefault="00F6399D"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The main rule at NTNU is that all positions are advertised publicly.</w:t>
      </w:r>
    </w:p>
    <w:p w14:paraId="4F0B2F62" w14:textId="77777777" w:rsidR="00752661" w:rsidRPr="00752661" w:rsidRDefault="00752661"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sidRPr="00752661">
        <w:rPr>
          <w:rFonts w:ascii="Open Sans" w:eastAsia="Times New Roman" w:hAnsi="Open Sans" w:cs="Open Sans"/>
          <w:b/>
          <w:bCs/>
          <w:color w:val="272833"/>
          <w:sz w:val="27"/>
          <w:szCs w:val="27"/>
          <w:lang w:val="en-GB" w:eastAsia="nb-NO"/>
        </w:rPr>
        <w:t>2. Exemptions from the regulations</w:t>
      </w:r>
    </w:p>
    <w:p w14:paraId="7714ADAC" w14:textId="77777777" w:rsidR="00F6399D"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2.1</w:t>
      </w:r>
      <w:r w:rsidRPr="00752661">
        <w:rPr>
          <w:rFonts w:ascii="Open Sans" w:eastAsia="Times New Roman" w:hAnsi="Open Sans" w:cs="Open Sans"/>
          <w:color w:val="272833"/>
          <w:sz w:val="24"/>
          <w:szCs w:val="24"/>
          <w:lang w:val="en-GB" w:eastAsia="nb-NO"/>
        </w:rPr>
        <w:t xml:space="preserve"> Exemptions may be made from sections 3 to 6 for appointments of up to twelve months. </w:t>
      </w:r>
    </w:p>
    <w:p w14:paraId="3E074806" w14:textId="6966D65B" w:rsidR="00F6399D"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exemptions are conditional on legal grounds for temporary employment. In these appointment cases, the requirements for public advertisement, nomination</w:t>
      </w:r>
      <w:r w:rsidR="009C7196">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and appointment do not apply</w:t>
      </w:r>
      <w:r w:rsidR="002A064B">
        <w:rPr>
          <w:rFonts w:ascii="Open Sans" w:eastAsia="Times New Roman" w:hAnsi="Open Sans" w:cs="Open Sans"/>
          <w:color w:val="272833"/>
          <w:sz w:val="24"/>
          <w:szCs w:val="24"/>
          <w:lang w:val="en-GB" w:eastAsia="nb-NO"/>
        </w:rPr>
        <w:t xml:space="preserve"> (</w:t>
      </w:r>
      <w:r w:rsidR="001F2BBF">
        <w:rPr>
          <w:rFonts w:ascii="Open Sans" w:eastAsia="Times New Roman" w:hAnsi="Open Sans" w:cs="Open Sans"/>
          <w:color w:val="272833"/>
          <w:sz w:val="24"/>
          <w:szCs w:val="24"/>
          <w:lang w:val="en-GB" w:eastAsia="nb-NO"/>
        </w:rPr>
        <w:t xml:space="preserve">in Norwegian: </w:t>
      </w:r>
      <w:hyperlink r:id="rId9" w:history="1">
        <w:proofErr w:type="spellStart"/>
        <w:r w:rsidR="002A064B" w:rsidRPr="001F2BBF">
          <w:rPr>
            <w:rStyle w:val="Hyperkobling"/>
            <w:rFonts w:ascii="Open Sans" w:eastAsia="Times New Roman" w:hAnsi="Open Sans" w:cs="Open Sans"/>
            <w:sz w:val="24"/>
            <w:szCs w:val="24"/>
            <w:lang w:val="en-GB" w:eastAsia="nb-NO"/>
          </w:rPr>
          <w:t>Statsansatteloven</w:t>
        </w:r>
        <w:proofErr w:type="spellEnd"/>
        <w:r w:rsidR="00F6399D" w:rsidRPr="001F2BBF">
          <w:rPr>
            <w:rStyle w:val="Hyperkobling"/>
            <w:rFonts w:ascii="Open Sans" w:eastAsia="Times New Roman" w:hAnsi="Open Sans" w:cs="Open Sans"/>
            <w:sz w:val="24"/>
            <w:szCs w:val="24"/>
            <w:lang w:val="en-GB" w:eastAsia="nb-NO"/>
          </w:rPr>
          <w:t xml:space="preserve"> § 7</w:t>
        </w:r>
        <w:r w:rsidR="002A064B" w:rsidRPr="001F2BBF">
          <w:rPr>
            <w:rStyle w:val="Hyperkobling"/>
            <w:rFonts w:ascii="Open Sans" w:eastAsia="Times New Roman" w:hAnsi="Open Sans" w:cs="Open Sans"/>
            <w:sz w:val="24"/>
            <w:szCs w:val="24"/>
            <w:lang w:val="en-GB" w:eastAsia="nb-NO"/>
          </w:rPr>
          <w:t>.1</w:t>
        </w:r>
      </w:hyperlink>
      <w:r w:rsidR="002A064B">
        <w:rPr>
          <w:rFonts w:ascii="Open Sans" w:eastAsia="Times New Roman" w:hAnsi="Open Sans" w:cs="Open Sans"/>
          <w:color w:val="272833"/>
          <w:sz w:val="24"/>
          <w:szCs w:val="24"/>
          <w:lang w:val="en-GB" w:eastAsia="nb-NO"/>
        </w:rPr>
        <w:t>).</w:t>
      </w:r>
      <w:r w:rsidR="00F6399D">
        <w:rPr>
          <w:rFonts w:ascii="Open Sans" w:eastAsia="Times New Roman" w:hAnsi="Open Sans" w:cs="Open Sans"/>
          <w:color w:val="272833"/>
          <w:sz w:val="24"/>
          <w:szCs w:val="24"/>
          <w:lang w:val="en-GB" w:eastAsia="nb-NO"/>
        </w:rPr>
        <w:t xml:space="preserve"> </w:t>
      </w:r>
    </w:p>
    <w:p w14:paraId="34AC562F" w14:textId="318509EE" w:rsidR="009C7196" w:rsidRDefault="009C7196"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9C7196">
        <w:rPr>
          <w:rFonts w:ascii="Open Sans" w:eastAsia="Times New Roman" w:hAnsi="Open Sans" w:cs="Open Sans"/>
          <w:color w:val="272833"/>
          <w:sz w:val="24"/>
          <w:szCs w:val="24"/>
          <w:lang w:val="en-GB" w:eastAsia="nb-NO"/>
        </w:rPr>
        <w:t>As part of fulfilling the goals of the state's inclusion initiative, with the aim of offering candidates who meet criteria such as gaps in CV and disability employment for up to 1 year</w:t>
      </w:r>
      <w:r>
        <w:rPr>
          <w:rFonts w:ascii="Open Sans" w:eastAsia="Times New Roman" w:hAnsi="Open Sans" w:cs="Open Sans"/>
          <w:color w:val="272833"/>
          <w:sz w:val="24"/>
          <w:szCs w:val="24"/>
          <w:lang w:val="en-GB" w:eastAsia="nb-NO"/>
        </w:rPr>
        <w:t xml:space="preserve"> [1]</w:t>
      </w:r>
      <w:r w:rsidRPr="009C7196">
        <w:rPr>
          <w:rFonts w:ascii="Open Sans" w:eastAsia="Times New Roman" w:hAnsi="Open Sans" w:cs="Open Sans"/>
          <w:color w:val="272833"/>
          <w:sz w:val="24"/>
          <w:szCs w:val="24"/>
          <w:lang w:val="en-GB" w:eastAsia="nb-NO"/>
        </w:rPr>
        <w:t>, these rules are exempted.</w:t>
      </w:r>
      <w:r>
        <w:rPr>
          <w:rFonts w:ascii="Open Sans" w:eastAsia="Times New Roman" w:hAnsi="Open Sans" w:cs="Open Sans"/>
          <w:color w:val="272833"/>
          <w:sz w:val="24"/>
          <w:szCs w:val="24"/>
          <w:lang w:val="en-GB" w:eastAsia="nb-NO"/>
        </w:rPr>
        <w:t xml:space="preserve"> </w:t>
      </w:r>
    </w:p>
    <w:p w14:paraId="7B259A6A" w14:textId="75C57F2A"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lastRenderedPageBreak/>
        <w:t>In such cases, decisions on appointment may be made by the head of the faculty or unit at the corresponding organizational level, or the person authorized by the head.</w:t>
      </w:r>
    </w:p>
    <w:p w14:paraId="6CA1D036"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parties presuppose that this takes place only in exceptional cases, and when there are reasonable grounds to believe that the employment relationship will not be extended.</w:t>
      </w:r>
    </w:p>
    <w:p w14:paraId="16BDA3A0" w14:textId="15E27C40"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Taking account of the </w:t>
      </w:r>
      <w:r w:rsidR="009C7196" w:rsidRPr="00752661">
        <w:rPr>
          <w:rFonts w:ascii="Open Sans" w:eastAsia="Times New Roman" w:hAnsi="Open Sans" w:cs="Open Sans"/>
          <w:color w:val="272833"/>
          <w:sz w:val="24"/>
          <w:szCs w:val="24"/>
          <w:lang w:val="en-GB" w:eastAsia="nb-NO"/>
        </w:rPr>
        <w:t>qualification’s</w:t>
      </w:r>
      <w:r w:rsidRPr="00752661">
        <w:rPr>
          <w:rFonts w:ascii="Open Sans" w:eastAsia="Times New Roman" w:hAnsi="Open Sans" w:cs="Open Sans"/>
          <w:color w:val="272833"/>
          <w:sz w:val="24"/>
          <w:szCs w:val="24"/>
          <w:lang w:val="en-GB" w:eastAsia="nb-NO"/>
        </w:rPr>
        <w:t xml:space="preserve"> principle, appointments of up to 12 months must be advertised where the ordinary appointment process can be carried out without significant disadvantage to the institution, and it has been possible to anticipate the need.</w:t>
      </w:r>
    </w:p>
    <w:p w14:paraId="043AFC48" w14:textId="604F5343"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Use of appointments without public advertisement, including </w:t>
      </w:r>
      <w:r w:rsidR="009C7196">
        <w:rPr>
          <w:rFonts w:ascii="Open Sans" w:eastAsia="Times New Roman" w:hAnsi="Open Sans" w:cs="Open Sans"/>
          <w:color w:val="272833"/>
          <w:sz w:val="24"/>
          <w:szCs w:val="24"/>
          <w:lang w:val="en-GB" w:eastAsia="nb-NO"/>
        </w:rPr>
        <w:t xml:space="preserve">the </w:t>
      </w:r>
      <w:r w:rsidRPr="00752661">
        <w:rPr>
          <w:rFonts w:ascii="Open Sans" w:eastAsia="Times New Roman" w:hAnsi="Open Sans" w:cs="Open Sans"/>
          <w:color w:val="272833"/>
          <w:sz w:val="24"/>
          <w:szCs w:val="24"/>
          <w:lang w:val="en-GB" w:eastAsia="nb-NO"/>
        </w:rPr>
        <w:t xml:space="preserve">justification for this, must be reported quarterly to </w:t>
      </w:r>
      <w:r w:rsidR="00143AA8">
        <w:rPr>
          <w:rFonts w:ascii="Open Sans" w:eastAsia="Times New Roman" w:hAnsi="Open Sans" w:cs="Open Sans"/>
          <w:color w:val="272833"/>
          <w:sz w:val="24"/>
          <w:szCs w:val="24"/>
          <w:lang w:val="en-GB" w:eastAsia="nb-NO"/>
        </w:rPr>
        <w:t xml:space="preserve">IDF </w:t>
      </w:r>
      <w:r w:rsidRPr="00752661">
        <w:rPr>
          <w:rFonts w:ascii="Open Sans" w:eastAsia="Times New Roman" w:hAnsi="Open Sans" w:cs="Open Sans"/>
          <w:color w:val="272833"/>
          <w:sz w:val="24"/>
          <w:szCs w:val="24"/>
          <w:lang w:val="en-GB" w:eastAsia="nb-NO"/>
        </w:rPr>
        <w:t>LOSAM.</w:t>
      </w:r>
    </w:p>
    <w:p w14:paraId="65ED10C0" w14:textId="3BEBAEF5"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2.2</w:t>
      </w:r>
      <w:r w:rsidRPr="00752661">
        <w:rPr>
          <w:rFonts w:ascii="Open Sans" w:eastAsia="Times New Roman" w:hAnsi="Open Sans" w:cs="Open Sans"/>
          <w:color w:val="272833"/>
          <w:sz w:val="24"/>
          <w:szCs w:val="24"/>
          <w:lang w:val="en-GB" w:eastAsia="nb-NO"/>
        </w:rPr>
        <w:t> An appointment or extension of the employment relationship that will extend beyond one year (see 2.1 above) must be handled according to the Staff Regulations</w:t>
      </w:r>
      <w:r w:rsidR="009C7196">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w:t>
      </w:r>
      <w:r w:rsidR="009C7196">
        <w:rPr>
          <w:rFonts w:ascii="Open Sans" w:eastAsia="Times New Roman" w:hAnsi="Open Sans" w:cs="Open Sans"/>
          <w:color w:val="272833"/>
          <w:sz w:val="24"/>
          <w:szCs w:val="24"/>
          <w:lang w:val="en-GB" w:eastAsia="nb-NO"/>
        </w:rPr>
        <w:t xml:space="preserve">rules pertaining to </w:t>
      </w:r>
      <w:r w:rsidRPr="00752661">
        <w:rPr>
          <w:rFonts w:ascii="Open Sans" w:eastAsia="Times New Roman" w:hAnsi="Open Sans" w:cs="Open Sans"/>
          <w:color w:val="272833"/>
          <w:sz w:val="24"/>
          <w:szCs w:val="24"/>
          <w:lang w:val="en-GB" w:eastAsia="nb-NO"/>
        </w:rPr>
        <w:t>advertisement, nomination</w:t>
      </w:r>
      <w:r w:rsidR="009C7196">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and appointment.</w:t>
      </w:r>
    </w:p>
    <w:p w14:paraId="52A8713D" w14:textId="2943E502" w:rsidR="00752661" w:rsidRPr="00752661" w:rsidRDefault="00752661" w:rsidP="00752661">
      <w:pPr>
        <w:shd w:val="clear" w:color="auto" w:fill="FFFFFF"/>
        <w:spacing w:after="100" w:afterAutospacing="1" w:line="240" w:lineRule="auto"/>
        <w:outlineLvl w:val="1"/>
        <w:rPr>
          <w:rFonts w:ascii="Open Sans" w:eastAsia="Times New Roman" w:hAnsi="Open Sans" w:cs="Open Sans"/>
          <w:b/>
          <w:bCs/>
          <w:color w:val="272833"/>
          <w:sz w:val="36"/>
          <w:szCs w:val="36"/>
          <w:lang w:val="en-GB" w:eastAsia="nb-NO"/>
        </w:rPr>
      </w:pPr>
      <w:r w:rsidRPr="00752661">
        <w:rPr>
          <w:rFonts w:ascii="Open Sans" w:eastAsia="Times New Roman" w:hAnsi="Open Sans" w:cs="Open Sans"/>
          <w:b/>
          <w:bCs/>
          <w:color w:val="272833"/>
          <w:sz w:val="36"/>
          <w:szCs w:val="36"/>
          <w:lang w:val="en-GB" w:eastAsia="nb-NO"/>
        </w:rPr>
        <w:t xml:space="preserve">Part II Advertisement, </w:t>
      </w:r>
      <w:r w:rsidR="00823CA6">
        <w:rPr>
          <w:rFonts w:ascii="Open Sans" w:eastAsia="Times New Roman" w:hAnsi="Open Sans" w:cs="Open Sans"/>
          <w:b/>
          <w:bCs/>
          <w:color w:val="272833"/>
          <w:sz w:val="36"/>
          <w:szCs w:val="36"/>
          <w:lang w:val="en-GB" w:eastAsia="nb-NO"/>
        </w:rPr>
        <w:t>assessment</w:t>
      </w:r>
      <w:r w:rsidR="009C7196">
        <w:rPr>
          <w:rFonts w:ascii="Open Sans" w:eastAsia="Times New Roman" w:hAnsi="Open Sans" w:cs="Open Sans"/>
          <w:b/>
          <w:bCs/>
          <w:color w:val="272833"/>
          <w:sz w:val="36"/>
          <w:szCs w:val="36"/>
          <w:lang w:val="en-GB" w:eastAsia="nb-NO"/>
        </w:rPr>
        <w:t>,</w:t>
      </w:r>
      <w:r w:rsidRPr="00752661">
        <w:rPr>
          <w:rFonts w:ascii="Open Sans" w:eastAsia="Times New Roman" w:hAnsi="Open Sans" w:cs="Open Sans"/>
          <w:b/>
          <w:bCs/>
          <w:color w:val="272833"/>
          <w:sz w:val="36"/>
          <w:szCs w:val="36"/>
          <w:lang w:val="en-GB" w:eastAsia="nb-NO"/>
        </w:rPr>
        <w:t xml:space="preserve"> and proposal for appointment</w:t>
      </w:r>
    </w:p>
    <w:p w14:paraId="230D02AF" w14:textId="68C107BE" w:rsidR="00752661" w:rsidRPr="00752661" w:rsidRDefault="00752661"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sidRPr="00752661">
        <w:rPr>
          <w:rFonts w:ascii="Open Sans" w:eastAsia="Times New Roman" w:hAnsi="Open Sans" w:cs="Open Sans"/>
          <w:b/>
          <w:bCs/>
          <w:color w:val="272833"/>
          <w:sz w:val="27"/>
          <w:szCs w:val="27"/>
          <w:lang w:val="en-GB" w:eastAsia="nb-NO"/>
        </w:rPr>
        <w:t>3.</w:t>
      </w:r>
      <w:r w:rsidR="009C7196">
        <w:rPr>
          <w:rFonts w:ascii="Open Sans" w:eastAsia="Times New Roman" w:hAnsi="Open Sans" w:cs="Open Sans"/>
          <w:b/>
          <w:bCs/>
          <w:color w:val="272833"/>
          <w:sz w:val="27"/>
          <w:szCs w:val="27"/>
          <w:lang w:val="en-GB" w:eastAsia="nb-NO"/>
        </w:rPr>
        <w:t xml:space="preserve"> </w:t>
      </w:r>
      <w:r w:rsidRPr="00752661">
        <w:rPr>
          <w:rFonts w:ascii="Open Sans" w:eastAsia="Times New Roman" w:hAnsi="Open Sans" w:cs="Open Sans"/>
          <w:b/>
          <w:bCs/>
          <w:color w:val="272833"/>
          <w:sz w:val="27"/>
          <w:szCs w:val="27"/>
          <w:lang w:val="en-GB" w:eastAsia="nb-NO"/>
        </w:rPr>
        <w:t>Advertisement of positions</w:t>
      </w:r>
    </w:p>
    <w:p w14:paraId="452CBF07" w14:textId="48B8C97F"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3.1</w:t>
      </w:r>
      <w:r w:rsidRPr="00752661">
        <w:rPr>
          <w:rFonts w:ascii="Open Sans" w:eastAsia="Times New Roman" w:hAnsi="Open Sans" w:cs="Open Sans"/>
          <w:color w:val="272833"/>
          <w:sz w:val="24"/>
          <w:szCs w:val="24"/>
          <w:lang w:val="en-GB" w:eastAsia="nb-NO"/>
        </w:rPr>
        <w:t xml:space="preserve"> Job vacancies, except for those specified in </w:t>
      </w:r>
      <w:r w:rsidR="000E4E21">
        <w:rPr>
          <w:rFonts w:ascii="Open Sans" w:eastAsia="Times New Roman" w:hAnsi="Open Sans" w:cs="Open Sans"/>
          <w:color w:val="272833"/>
          <w:sz w:val="24"/>
          <w:szCs w:val="24"/>
          <w:lang w:val="en-GB" w:eastAsia="nb-NO"/>
        </w:rPr>
        <w:t>s</w:t>
      </w:r>
      <w:r w:rsidRPr="00752661">
        <w:rPr>
          <w:rFonts w:ascii="Open Sans" w:eastAsia="Times New Roman" w:hAnsi="Open Sans" w:cs="Open Sans"/>
          <w:color w:val="272833"/>
          <w:sz w:val="24"/>
          <w:szCs w:val="24"/>
          <w:lang w:val="en-GB" w:eastAsia="nb-NO"/>
        </w:rPr>
        <w:t>ection 2.1 of the Staff Regulations, must be advertised publicly; see</w:t>
      </w:r>
      <w:r w:rsidR="00143AA8">
        <w:rPr>
          <w:rFonts w:ascii="Open Sans" w:eastAsia="Times New Roman" w:hAnsi="Open Sans" w:cs="Open Sans"/>
          <w:color w:val="272833"/>
          <w:sz w:val="24"/>
          <w:szCs w:val="24"/>
          <w:lang w:val="en-GB" w:eastAsia="nb-NO"/>
        </w:rPr>
        <w:t xml:space="preserve"> </w:t>
      </w:r>
      <w:r w:rsidR="002A064B">
        <w:rPr>
          <w:rFonts w:ascii="Open Sans" w:eastAsia="Times New Roman" w:hAnsi="Open Sans" w:cs="Open Sans"/>
          <w:color w:val="272833"/>
          <w:sz w:val="24"/>
          <w:szCs w:val="24"/>
          <w:lang w:val="en-GB" w:eastAsia="nb-NO"/>
        </w:rPr>
        <w:t>Public Employees Act</w:t>
      </w:r>
      <w:r w:rsidR="00143AA8">
        <w:rPr>
          <w:rFonts w:ascii="Open Sans" w:eastAsia="Times New Roman" w:hAnsi="Open Sans" w:cs="Open Sans"/>
          <w:color w:val="272833"/>
          <w:sz w:val="24"/>
          <w:szCs w:val="24"/>
          <w:lang w:val="en-GB" w:eastAsia="nb-NO"/>
        </w:rPr>
        <w:t xml:space="preserve"> </w:t>
      </w:r>
      <w:r w:rsidR="002A064B">
        <w:rPr>
          <w:rFonts w:ascii="Open Sans" w:eastAsia="Times New Roman" w:hAnsi="Open Sans" w:cs="Open Sans"/>
          <w:color w:val="272833"/>
          <w:sz w:val="24"/>
          <w:szCs w:val="24"/>
          <w:lang w:val="en-GB" w:eastAsia="nb-NO"/>
        </w:rPr>
        <w:t>Section 4.1 (</w:t>
      </w:r>
      <w:r w:rsidR="001F2BBF">
        <w:rPr>
          <w:rFonts w:ascii="Open Sans" w:eastAsia="Times New Roman" w:hAnsi="Open Sans" w:cs="Open Sans"/>
          <w:color w:val="272833"/>
          <w:sz w:val="24"/>
          <w:szCs w:val="24"/>
          <w:lang w:val="en-GB" w:eastAsia="nb-NO"/>
        </w:rPr>
        <w:t xml:space="preserve">in Norwegian: </w:t>
      </w:r>
      <w:hyperlink r:id="rId10" w:history="1">
        <w:proofErr w:type="spellStart"/>
        <w:r w:rsidR="002A064B" w:rsidRPr="001F2BBF">
          <w:rPr>
            <w:rStyle w:val="Hyperkobling"/>
            <w:rFonts w:ascii="Open Sans" w:eastAsia="Times New Roman" w:hAnsi="Open Sans" w:cs="Open Sans"/>
            <w:sz w:val="24"/>
            <w:szCs w:val="24"/>
            <w:lang w:val="en-GB" w:eastAsia="nb-NO"/>
          </w:rPr>
          <w:t>Statsansatteloven</w:t>
        </w:r>
        <w:proofErr w:type="spellEnd"/>
        <w:r w:rsidR="002A064B" w:rsidRPr="001F2BBF">
          <w:rPr>
            <w:rStyle w:val="Hyperkobling"/>
            <w:rFonts w:ascii="Open Sans" w:eastAsia="Times New Roman" w:hAnsi="Open Sans" w:cs="Open Sans"/>
            <w:sz w:val="24"/>
            <w:szCs w:val="24"/>
            <w:lang w:val="en-GB" w:eastAsia="nb-NO"/>
          </w:rPr>
          <w:t xml:space="preserve"> </w:t>
        </w:r>
        <w:r w:rsidR="00143AA8" w:rsidRPr="001F2BBF">
          <w:rPr>
            <w:rStyle w:val="Hyperkobling"/>
            <w:rFonts w:ascii="Open Sans" w:eastAsia="Times New Roman" w:hAnsi="Open Sans" w:cs="Open Sans"/>
            <w:sz w:val="24"/>
            <w:szCs w:val="24"/>
            <w:lang w:val="en-GB" w:eastAsia="nb-NO"/>
          </w:rPr>
          <w:t>§ 4</w:t>
        </w:r>
        <w:r w:rsidR="002A064B" w:rsidRPr="001F2BBF">
          <w:rPr>
            <w:rStyle w:val="Hyperkobling"/>
            <w:rFonts w:ascii="Open Sans" w:eastAsia="Times New Roman" w:hAnsi="Open Sans" w:cs="Open Sans"/>
            <w:sz w:val="24"/>
            <w:szCs w:val="24"/>
            <w:lang w:val="en-GB" w:eastAsia="nb-NO"/>
          </w:rPr>
          <w:t>.1</w:t>
        </w:r>
      </w:hyperlink>
      <w:r w:rsidR="002A064B">
        <w:rPr>
          <w:rFonts w:ascii="Open Sans" w:eastAsia="Times New Roman" w:hAnsi="Open Sans" w:cs="Open Sans"/>
          <w:color w:val="272833"/>
          <w:sz w:val="24"/>
          <w:szCs w:val="24"/>
          <w:lang w:val="en-GB" w:eastAsia="nb-NO"/>
        </w:rPr>
        <w:t>).</w:t>
      </w:r>
      <w:r w:rsidR="00143AA8">
        <w:rPr>
          <w:rFonts w:ascii="Open Sans" w:eastAsia="Times New Roman" w:hAnsi="Open Sans" w:cs="Open Sans"/>
          <w:color w:val="272833"/>
          <w:sz w:val="24"/>
          <w:szCs w:val="24"/>
          <w:lang w:val="en-GB" w:eastAsia="nb-NO"/>
        </w:rPr>
        <w:t xml:space="preserve"> [2]</w:t>
      </w:r>
    </w:p>
    <w:p w14:paraId="60A94602" w14:textId="000D6BA5"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Public advertisement currently takes place through nav.no. In other respects, advertisement takes place in the manner considered most appropriate under the government regulations in effect at any given time. The position must also be advertised internally through NTNU’s intranet</w:t>
      </w:r>
      <w:r w:rsidR="00143AA8">
        <w:rPr>
          <w:rFonts w:ascii="Open Sans" w:eastAsia="Times New Roman" w:hAnsi="Open Sans" w:cs="Open Sans"/>
          <w:color w:val="272833"/>
          <w:sz w:val="24"/>
          <w:szCs w:val="24"/>
          <w:lang w:val="en-GB" w:eastAsia="nb-NO"/>
        </w:rPr>
        <w:t>, see</w:t>
      </w:r>
      <w:r w:rsidR="00A56B52">
        <w:rPr>
          <w:rFonts w:ascii="Open Sans" w:eastAsia="Times New Roman" w:hAnsi="Open Sans" w:cs="Open Sans"/>
          <w:color w:val="272833"/>
          <w:sz w:val="24"/>
          <w:szCs w:val="24"/>
          <w:lang w:val="en-GB" w:eastAsia="nb-NO"/>
        </w:rPr>
        <w:t xml:space="preserve"> section 14.1 of the </w:t>
      </w:r>
      <w:r w:rsidR="00143AA8">
        <w:rPr>
          <w:rFonts w:ascii="Open Sans" w:eastAsia="Times New Roman" w:hAnsi="Open Sans" w:cs="Open Sans"/>
          <w:color w:val="272833"/>
          <w:sz w:val="24"/>
          <w:szCs w:val="24"/>
          <w:lang w:val="en-GB" w:eastAsia="nb-NO"/>
        </w:rPr>
        <w:t xml:space="preserve"> </w:t>
      </w:r>
      <w:hyperlink r:id="rId11" w:history="1">
        <w:r w:rsidR="00FE060A">
          <w:rPr>
            <w:rStyle w:val="Hyperkobling"/>
            <w:rFonts w:ascii="Open Sans" w:eastAsia="Times New Roman" w:hAnsi="Open Sans" w:cs="Open Sans"/>
            <w:sz w:val="24"/>
            <w:szCs w:val="24"/>
            <w:lang w:val="en-GB" w:eastAsia="nb-NO"/>
          </w:rPr>
          <w:t>W</w:t>
        </w:r>
        <w:r w:rsidR="00143AA8" w:rsidRPr="00143AA8">
          <w:rPr>
            <w:rStyle w:val="Hyperkobling"/>
            <w:rFonts w:ascii="Open Sans" w:eastAsia="Times New Roman" w:hAnsi="Open Sans" w:cs="Open Sans"/>
            <w:sz w:val="24"/>
            <w:szCs w:val="24"/>
            <w:lang w:val="en-GB" w:eastAsia="nb-NO"/>
          </w:rPr>
          <w:t>orking Environment Act</w:t>
        </w:r>
      </w:hyperlink>
      <w:r w:rsidRPr="00752661">
        <w:rPr>
          <w:rFonts w:ascii="Open Sans" w:eastAsia="Times New Roman" w:hAnsi="Open Sans" w:cs="Open Sans"/>
          <w:color w:val="272833"/>
          <w:sz w:val="24"/>
          <w:szCs w:val="24"/>
          <w:lang w:val="en-GB" w:eastAsia="nb-NO"/>
        </w:rPr>
        <w:t>. The deadline for applications must be at least two weeks from the advertisement date.</w:t>
      </w:r>
    </w:p>
    <w:p w14:paraId="58EFAC18"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3.2</w:t>
      </w:r>
      <w:r w:rsidRPr="00752661">
        <w:rPr>
          <w:rFonts w:ascii="Open Sans" w:eastAsia="Times New Roman" w:hAnsi="Open Sans" w:cs="Open Sans"/>
          <w:color w:val="272833"/>
          <w:sz w:val="24"/>
          <w:szCs w:val="24"/>
          <w:lang w:val="en-GB" w:eastAsia="nb-NO"/>
        </w:rPr>
        <w:t xml:space="preserve"> Public advertisement is to be waived where the position can be filled by a redundant employee or a part-time employee with the right to increase their working hours, or </w:t>
      </w:r>
      <w:proofErr w:type="gramStart"/>
      <w:r w:rsidRPr="00752661">
        <w:rPr>
          <w:rFonts w:ascii="Open Sans" w:eastAsia="Times New Roman" w:hAnsi="Open Sans" w:cs="Open Sans"/>
          <w:color w:val="272833"/>
          <w:sz w:val="24"/>
          <w:szCs w:val="24"/>
          <w:lang w:val="en-GB" w:eastAsia="nb-NO"/>
        </w:rPr>
        <w:t>as a result of</w:t>
      </w:r>
      <w:proofErr w:type="gramEnd"/>
      <w:r w:rsidRPr="00752661">
        <w:rPr>
          <w:rFonts w:ascii="Open Sans" w:eastAsia="Times New Roman" w:hAnsi="Open Sans" w:cs="Open Sans"/>
          <w:color w:val="272833"/>
          <w:sz w:val="24"/>
          <w:szCs w:val="24"/>
          <w:lang w:val="en-GB" w:eastAsia="nb-NO"/>
        </w:rPr>
        <w:t xml:space="preserve"> Inclusive Working Life (IA) initiatives.</w:t>
      </w:r>
    </w:p>
    <w:p w14:paraId="00220DE1" w14:textId="77777777" w:rsidR="00143AA8" w:rsidRPr="00752661" w:rsidRDefault="00143AA8" w:rsidP="00143AA8">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3.</w:t>
      </w:r>
      <w:r>
        <w:rPr>
          <w:rFonts w:ascii="Open Sans" w:eastAsia="Times New Roman" w:hAnsi="Open Sans" w:cs="Open Sans"/>
          <w:b/>
          <w:bCs/>
          <w:color w:val="272833"/>
          <w:sz w:val="24"/>
          <w:szCs w:val="24"/>
          <w:lang w:val="en-GB" w:eastAsia="nb-NO"/>
        </w:rPr>
        <w:t>3</w:t>
      </w:r>
      <w:r w:rsidRPr="00752661">
        <w:rPr>
          <w:rFonts w:ascii="Open Sans" w:eastAsia="Times New Roman" w:hAnsi="Open Sans" w:cs="Open Sans"/>
          <w:color w:val="272833"/>
          <w:sz w:val="24"/>
          <w:szCs w:val="24"/>
          <w:lang w:val="en-GB" w:eastAsia="nb-NO"/>
        </w:rPr>
        <w:t xml:space="preserve"> If no qualified applicants have responded, or if it is relevant to depart from significant aspects of the qualification requirements, the position must be advertised again. The same applies if a disproportionately long time has elapsed </w:t>
      </w:r>
      <w:r w:rsidRPr="00752661">
        <w:rPr>
          <w:rFonts w:ascii="Open Sans" w:eastAsia="Times New Roman" w:hAnsi="Open Sans" w:cs="Open Sans"/>
          <w:color w:val="272833"/>
          <w:sz w:val="24"/>
          <w:szCs w:val="24"/>
          <w:lang w:val="en-GB" w:eastAsia="nb-NO"/>
        </w:rPr>
        <w:lastRenderedPageBreak/>
        <w:t>since the position was advertised or if conditions related to the position have changed significantly.</w:t>
      </w:r>
    </w:p>
    <w:p w14:paraId="357B1408" w14:textId="77777777" w:rsidR="00143AA8" w:rsidRPr="00752661" w:rsidRDefault="00143AA8" w:rsidP="00143AA8">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All applicants must be notified if the position is to be advertised again. The nominating authority decides on re-advertisement.</w:t>
      </w:r>
    </w:p>
    <w:p w14:paraId="349DF9E3" w14:textId="7AE999D6"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3.</w:t>
      </w:r>
      <w:r w:rsidR="00143AA8">
        <w:rPr>
          <w:rFonts w:ascii="Open Sans" w:eastAsia="Times New Roman" w:hAnsi="Open Sans" w:cs="Open Sans"/>
          <w:b/>
          <w:bCs/>
          <w:color w:val="272833"/>
          <w:sz w:val="24"/>
          <w:szCs w:val="24"/>
          <w:lang w:val="en-GB" w:eastAsia="nb-NO"/>
        </w:rPr>
        <w:t>4</w:t>
      </w:r>
      <w:r w:rsidRPr="00752661">
        <w:rPr>
          <w:rFonts w:ascii="Open Sans" w:eastAsia="Times New Roman" w:hAnsi="Open Sans" w:cs="Open Sans"/>
          <w:color w:val="272833"/>
          <w:sz w:val="24"/>
          <w:szCs w:val="24"/>
          <w:lang w:val="en-GB" w:eastAsia="nb-NO"/>
        </w:rPr>
        <w:t> Before advertisement of the position, union representatives for the organizations associated with the faculty/department (</w:t>
      </w:r>
      <w:r w:rsidR="00143AA8">
        <w:rPr>
          <w:rFonts w:ascii="Open Sans" w:eastAsia="Times New Roman" w:hAnsi="Open Sans" w:cs="Open Sans"/>
          <w:color w:val="272833"/>
          <w:sz w:val="24"/>
          <w:szCs w:val="24"/>
          <w:lang w:val="en-GB" w:eastAsia="nb-NO"/>
        </w:rPr>
        <w:t xml:space="preserve">IDF </w:t>
      </w:r>
      <w:r w:rsidRPr="00752661">
        <w:rPr>
          <w:rFonts w:ascii="Open Sans" w:eastAsia="Times New Roman" w:hAnsi="Open Sans" w:cs="Open Sans"/>
          <w:color w:val="272833"/>
          <w:sz w:val="24"/>
          <w:szCs w:val="24"/>
          <w:lang w:val="en-GB" w:eastAsia="nb-NO"/>
        </w:rPr>
        <w:t xml:space="preserve">LOSAM) must be informed of the advertisement text. The union representatives may require </w:t>
      </w:r>
      <w:r w:rsidR="00143AA8">
        <w:rPr>
          <w:rFonts w:ascii="Open Sans" w:eastAsia="Times New Roman" w:hAnsi="Open Sans" w:cs="Open Sans"/>
          <w:color w:val="272833"/>
          <w:sz w:val="24"/>
          <w:szCs w:val="24"/>
          <w:lang w:val="en-GB" w:eastAsia="nb-NO"/>
        </w:rPr>
        <w:t xml:space="preserve">a </w:t>
      </w:r>
      <w:r w:rsidRPr="00752661">
        <w:rPr>
          <w:rFonts w:ascii="Open Sans" w:eastAsia="Times New Roman" w:hAnsi="Open Sans" w:cs="Open Sans"/>
          <w:color w:val="272833"/>
          <w:sz w:val="24"/>
          <w:szCs w:val="24"/>
          <w:lang w:val="en-GB" w:eastAsia="nb-NO"/>
        </w:rPr>
        <w:t xml:space="preserve">discussion of the salary placement (see </w:t>
      </w:r>
      <w:r w:rsidR="00E23261">
        <w:rPr>
          <w:rFonts w:ascii="Open Sans" w:eastAsia="Times New Roman" w:hAnsi="Open Sans" w:cs="Open Sans"/>
          <w:color w:val="272833"/>
          <w:sz w:val="24"/>
          <w:szCs w:val="24"/>
          <w:lang w:val="en-GB" w:eastAsia="nb-NO"/>
        </w:rPr>
        <w:t>s</w:t>
      </w:r>
      <w:r w:rsidRPr="00752661">
        <w:rPr>
          <w:rFonts w:ascii="Open Sans" w:eastAsia="Times New Roman" w:hAnsi="Open Sans" w:cs="Open Sans"/>
          <w:color w:val="272833"/>
          <w:sz w:val="24"/>
          <w:szCs w:val="24"/>
          <w:lang w:val="en-GB" w:eastAsia="nb-NO"/>
        </w:rPr>
        <w:t xml:space="preserve">ection 2.5.5 </w:t>
      </w:r>
      <w:r w:rsidR="00E23261">
        <w:rPr>
          <w:rFonts w:ascii="Open Sans" w:eastAsia="Times New Roman" w:hAnsi="Open Sans" w:cs="Open Sans"/>
          <w:color w:val="272833"/>
          <w:sz w:val="24"/>
          <w:szCs w:val="24"/>
          <w:lang w:val="en-GB" w:eastAsia="nb-NO"/>
        </w:rPr>
        <w:t>n</w:t>
      </w:r>
      <w:r w:rsidRPr="00752661">
        <w:rPr>
          <w:rFonts w:ascii="Open Sans" w:eastAsia="Times New Roman" w:hAnsi="Open Sans" w:cs="Open Sans"/>
          <w:color w:val="272833"/>
          <w:sz w:val="24"/>
          <w:szCs w:val="24"/>
          <w:lang w:val="en-GB" w:eastAsia="nb-NO"/>
        </w:rPr>
        <w:t>o. 1 of the Basic Collective Agreement)</w:t>
      </w:r>
      <w:r w:rsidR="00143AA8">
        <w:rPr>
          <w:rFonts w:ascii="Open Sans" w:eastAsia="Times New Roman" w:hAnsi="Open Sans" w:cs="Open Sans"/>
          <w:color w:val="272833"/>
          <w:sz w:val="24"/>
          <w:szCs w:val="24"/>
          <w:lang w:val="en-GB" w:eastAsia="nb-NO"/>
        </w:rPr>
        <w:t xml:space="preserve">. </w:t>
      </w:r>
      <w:r w:rsidRPr="00752661">
        <w:rPr>
          <w:rFonts w:ascii="Open Sans" w:eastAsia="Times New Roman" w:hAnsi="Open Sans" w:cs="Open Sans"/>
          <w:color w:val="272833"/>
          <w:sz w:val="24"/>
          <w:szCs w:val="24"/>
          <w:lang w:val="en-GB" w:eastAsia="nb-NO"/>
        </w:rPr>
        <w:t>Through participation, the staff at the unit in question must have information and be given the opportunity for participation regarding the text of the advertisement; see</w:t>
      </w:r>
      <w:r w:rsidR="001F2BBF">
        <w:rPr>
          <w:rFonts w:ascii="Open Sans" w:eastAsia="Times New Roman" w:hAnsi="Open Sans" w:cs="Open Sans"/>
          <w:color w:val="272833"/>
          <w:sz w:val="24"/>
          <w:szCs w:val="24"/>
          <w:lang w:val="en-GB" w:eastAsia="nb-NO"/>
        </w:rPr>
        <w:t xml:space="preserve"> section 9.6 of the NTNU adjustment agreement </w:t>
      </w:r>
      <w:r w:rsidRPr="00752661">
        <w:rPr>
          <w:rFonts w:ascii="Open Sans" w:eastAsia="Times New Roman" w:hAnsi="Open Sans" w:cs="Open Sans"/>
          <w:color w:val="272833"/>
          <w:sz w:val="24"/>
          <w:szCs w:val="24"/>
          <w:lang w:val="en-GB" w:eastAsia="nb-NO"/>
        </w:rPr>
        <w:t xml:space="preserve">to the basic agreement for the civil service </w:t>
      </w:r>
      <w:r w:rsidR="001F2BBF">
        <w:rPr>
          <w:rFonts w:ascii="Open Sans" w:eastAsia="Times New Roman" w:hAnsi="Open Sans" w:cs="Open Sans"/>
          <w:color w:val="272833"/>
          <w:sz w:val="24"/>
          <w:szCs w:val="24"/>
          <w:lang w:val="en-GB" w:eastAsia="nb-NO"/>
        </w:rPr>
        <w:t xml:space="preserve">(in Norwegian: </w:t>
      </w:r>
      <w:hyperlink r:id="rId12" w:history="1">
        <w:r w:rsidR="001F2BBF" w:rsidRPr="001F2BBF">
          <w:rPr>
            <w:rStyle w:val="Hyperkobling"/>
            <w:rFonts w:ascii="Open Sans" w:eastAsia="Times New Roman" w:hAnsi="Open Sans" w:cs="Open Sans"/>
            <w:sz w:val="24"/>
            <w:szCs w:val="24"/>
            <w:lang w:val="en-GB" w:eastAsia="nb-NO"/>
          </w:rPr>
          <w:t>NTNU</w:t>
        </w:r>
        <w:r w:rsidR="00880430">
          <w:rPr>
            <w:rStyle w:val="Hyperkobling"/>
            <w:rFonts w:ascii="Open Sans" w:eastAsia="Times New Roman" w:hAnsi="Open Sans" w:cs="Open Sans"/>
            <w:sz w:val="24"/>
            <w:szCs w:val="24"/>
            <w:lang w:val="en-GB" w:eastAsia="nb-NO"/>
          </w:rPr>
          <w:t>s</w:t>
        </w:r>
        <w:r w:rsidR="001F2BBF" w:rsidRPr="001F2BBF">
          <w:rPr>
            <w:rStyle w:val="Hyperkobling"/>
            <w:rFonts w:ascii="Open Sans" w:eastAsia="Times New Roman" w:hAnsi="Open Sans" w:cs="Open Sans"/>
            <w:sz w:val="24"/>
            <w:szCs w:val="24"/>
            <w:lang w:val="en-GB" w:eastAsia="nb-NO"/>
          </w:rPr>
          <w:t xml:space="preserve"> </w:t>
        </w:r>
        <w:proofErr w:type="spellStart"/>
        <w:r w:rsidR="00880430">
          <w:rPr>
            <w:rStyle w:val="Hyperkobling"/>
            <w:rFonts w:ascii="Open Sans" w:eastAsia="Times New Roman" w:hAnsi="Open Sans" w:cs="Open Sans"/>
            <w:sz w:val="24"/>
            <w:szCs w:val="24"/>
            <w:lang w:val="en-GB" w:eastAsia="nb-NO"/>
          </w:rPr>
          <w:t>t</w:t>
        </w:r>
        <w:r w:rsidRPr="001F2BBF">
          <w:rPr>
            <w:rStyle w:val="Hyperkobling"/>
            <w:rFonts w:ascii="Open Sans" w:eastAsia="Times New Roman" w:hAnsi="Open Sans" w:cs="Open Sans"/>
            <w:sz w:val="24"/>
            <w:szCs w:val="24"/>
            <w:lang w:val="en-GB" w:eastAsia="nb-NO"/>
          </w:rPr>
          <w:t>ilpasningsavtale</w:t>
        </w:r>
        <w:proofErr w:type="spellEnd"/>
        <w:r w:rsidRPr="001F2BBF">
          <w:rPr>
            <w:rStyle w:val="Hyperkobling"/>
            <w:rFonts w:ascii="Open Sans" w:eastAsia="Times New Roman" w:hAnsi="Open Sans" w:cs="Open Sans"/>
            <w:sz w:val="24"/>
            <w:szCs w:val="24"/>
            <w:lang w:val="en-GB" w:eastAsia="nb-NO"/>
          </w:rPr>
          <w:t xml:space="preserve"> </w:t>
        </w:r>
        <w:proofErr w:type="spellStart"/>
        <w:r w:rsidRPr="001F2BBF">
          <w:rPr>
            <w:rStyle w:val="Hyperkobling"/>
            <w:rFonts w:ascii="Open Sans" w:eastAsia="Times New Roman" w:hAnsi="Open Sans" w:cs="Open Sans"/>
            <w:sz w:val="24"/>
            <w:szCs w:val="24"/>
            <w:lang w:val="en-GB" w:eastAsia="nb-NO"/>
          </w:rPr>
          <w:t>til</w:t>
        </w:r>
        <w:proofErr w:type="spellEnd"/>
        <w:r w:rsidRPr="001F2BBF">
          <w:rPr>
            <w:rStyle w:val="Hyperkobling"/>
            <w:rFonts w:ascii="Open Sans" w:eastAsia="Times New Roman" w:hAnsi="Open Sans" w:cs="Open Sans"/>
            <w:sz w:val="24"/>
            <w:szCs w:val="24"/>
            <w:lang w:val="en-GB" w:eastAsia="nb-NO"/>
          </w:rPr>
          <w:t xml:space="preserve"> </w:t>
        </w:r>
        <w:proofErr w:type="spellStart"/>
        <w:r w:rsidRPr="001F2BBF">
          <w:rPr>
            <w:rStyle w:val="Hyperkobling"/>
            <w:rFonts w:ascii="Open Sans" w:eastAsia="Times New Roman" w:hAnsi="Open Sans" w:cs="Open Sans"/>
            <w:sz w:val="24"/>
            <w:szCs w:val="24"/>
            <w:lang w:val="en-GB" w:eastAsia="nb-NO"/>
          </w:rPr>
          <w:t>Hovedavtale</w:t>
        </w:r>
        <w:r w:rsidR="00880430">
          <w:rPr>
            <w:rStyle w:val="Hyperkobling"/>
            <w:rFonts w:ascii="Open Sans" w:eastAsia="Times New Roman" w:hAnsi="Open Sans" w:cs="Open Sans"/>
            <w:sz w:val="24"/>
            <w:szCs w:val="24"/>
            <w:lang w:val="en-GB" w:eastAsia="nb-NO"/>
          </w:rPr>
          <w:t>n</w:t>
        </w:r>
        <w:proofErr w:type="spellEnd"/>
        <w:r w:rsidR="00880430">
          <w:rPr>
            <w:rStyle w:val="Hyperkobling"/>
            <w:rFonts w:ascii="Open Sans" w:eastAsia="Times New Roman" w:hAnsi="Open Sans" w:cs="Open Sans"/>
            <w:sz w:val="24"/>
            <w:szCs w:val="24"/>
            <w:lang w:val="en-GB" w:eastAsia="nb-NO"/>
          </w:rPr>
          <w:t xml:space="preserve"> i Staten</w:t>
        </w:r>
      </w:hyperlink>
      <w:r w:rsidRPr="00752661">
        <w:rPr>
          <w:rFonts w:ascii="Open Sans" w:eastAsia="Times New Roman" w:hAnsi="Open Sans" w:cs="Open Sans"/>
          <w:color w:val="272833"/>
          <w:sz w:val="24"/>
          <w:szCs w:val="24"/>
          <w:lang w:val="en-GB" w:eastAsia="nb-NO"/>
        </w:rPr>
        <w:t>].</w:t>
      </w:r>
    </w:p>
    <w:p w14:paraId="2B8855A1" w14:textId="15164DA1" w:rsid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3.</w:t>
      </w:r>
      <w:r w:rsidR="00E23261">
        <w:rPr>
          <w:rFonts w:ascii="Open Sans" w:eastAsia="Times New Roman" w:hAnsi="Open Sans" w:cs="Open Sans"/>
          <w:b/>
          <w:bCs/>
          <w:color w:val="272833"/>
          <w:sz w:val="24"/>
          <w:szCs w:val="24"/>
          <w:lang w:val="en-GB" w:eastAsia="nb-NO"/>
        </w:rPr>
        <w:t>5</w:t>
      </w:r>
      <w:r w:rsidRPr="00752661">
        <w:rPr>
          <w:rFonts w:ascii="Open Sans" w:eastAsia="Times New Roman" w:hAnsi="Open Sans" w:cs="Open Sans"/>
          <w:color w:val="272833"/>
          <w:sz w:val="24"/>
          <w:szCs w:val="24"/>
          <w:lang w:val="en-GB" w:eastAsia="nb-NO"/>
        </w:rPr>
        <w:t xml:space="preserve"> The advertisement text is approved by the head of the </w:t>
      </w:r>
      <w:r w:rsidR="00E23261">
        <w:rPr>
          <w:rFonts w:ascii="Open Sans" w:eastAsia="Times New Roman" w:hAnsi="Open Sans" w:cs="Open Sans"/>
          <w:color w:val="272833"/>
          <w:sz w:val="24"/>
          <w:szCs w:val="24"/>
          <w:lang w:val="en-GB" w:eastAsia="nb-NO"/>
        </w:rPr>
        <w:t>appointment</w:t>
      </w:r>
      <w:r w:rsidR="00141602">
        <w:rPr>
          <w:rFonts w:ascii="Open Sans" w:eastAsia="Times New Roman" w:hAnsi="Open Sans" w:cs="Open Sans"/>
          <w:color w:val="272833"/>
          <w:sz w:val="24"/>
          <w:szCs w:val="24"/>
          <w:lang w:val="en-GB" w:eastAsia="nb-NO"/>
        </w:rPr>
        <w:t>s</w:t>
      </w:r>
      <w:r w:rsidR="00E23261">
        <w:rPr>
          <w:rFonts w:ascii="Open Sans" w:eastAsia="Times New Roman" w:hAnsi="Open Sans" w:cs="Open Sans"/>
          <w:color w:val="272833"/>
          <w:sz w:val="24"/>
          <w:szCs w:val="24"/>
          <w:lang w:val="en-GB" w:eastAsia="nb-NO"/>
        </w:rPr>
        <w:t xml:space="preserve"> committee (see section 5.2)</w:t>
      </w:r>
      <w:r w:rsidRPr="00752661">
        <w:rPr>
          <w:rFonts w:ascii="Open Sans" w:eastAsia="Times New Roman" w:hAnsi="Open Sans" w:cs="Open Sans"/>
          <w:color w:val="272833"/>
          <w:sz w:val="24"/>
          <w:szCs w:val="24"/>
          <w:lang w:val="en-GB" w:eastAsia="nb-NO"/>
        </w:rPr>
        <w:t xml:space="preserve">. Advertisement texts must comply with the guidelines/templates in effect at NTNU </w:t>
      </w:r>
      <w:proofErr w:type="gramStart"/>
      <w:r w:rsidRPr="00752661">
        <w:rPr>
          <w:rFonts w:ascii="Open Sans" w:eastAsia="Times New Roman" w:hAnsi="Open Sans" w:cs="Open Sans"/>
          <w:color w:val="272833"/>
          <w:sz w:val="24"/>
          <w:szCs w:val="24"/>
          <w:lang w:val="en-GB" w:eastAsia="nb-NO"/>
        </w:rPr>
        <w:t>with regard to</w:t>
      </w:r>
      <w:proofErr w:type="gramEnd"/>
      <w:r w:rsidRPr="00752661">
        <w:rPr>
          <w:rFonts w:ascii="Open Sans" w:eastAsia="Times New Roman" w:hAnsi="Open Sans" w:cs="Open Sans"/>
          <w:color w:val="272833"/>
          <w:sz w:val="24"/>
          <w:szCs w:val="24"/>
          <w:lang w:val="en-GB" w:eastAsia="nb-NO"/>
        </w:rPr>
        <w:t xml:space="preserve"> structure and content.</w:t>
      </w:r>
    </w:p>
    <w:p w14:paraId="3CB20F80" w14:textId="40FE0A79" w:rsidR="00141602" w:rsidRPr="00752661" w:rsidRDefault="00141602" w:rsidP="00141602">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For </w:t>
      </w:r>
      <w:r w:rsidR="00AD33EA">
        <w:rPr>
          <w:rFonts w:ascii="Open Sans" w:eastAsia="Times New Roman" w:hAnsi="Open Sans" w:cs="Open Sans"/>
          <w:color w:val="272833"/>
          <w:sz w:val="24"/>
          <w:szCs w:val="24"/>
          <w:lang w:val="en-GB" w:eastAsia="nb-NO"/>
        </w:rPr>
        <w:t>teaching and research posts</w:t>
      </w:r>
      <w:r w:rsidRPr="00752661">
        <w:rPr>
          <w:rFonts w:ascii="Open Sans" w:eastAsia="Times New Roman" w:hAnsi="Open Sans" w:cs="Open Sans"/>
          <w:color w:val="272833"/>
          <w:sz w:val="24"/>
          <w:szCs w:val="24"/>
          <w:lang w:val="en-GB" w:eastAsia="nb-NO"/>
        </w:rPr>
        <w:t>, researcher training</w:t>
      </w:r>
      <w:r w:rsidR="00CD44E5">
        <w:rPr>
          <w:rFonts w:ascii="Open Sans" w:eastAsia="Times New Roman" w:hAnsi="Open Sans" w:cs="Open Sans"/>
          <w:color w:val="272833"/>
          <w:sz w:val="24"/>
          <w:szCs w:val="24"/>
          <w:lang w:val="en-GB" w:eastAsia="nb-NO"/>
        </w:rPr>
        <w:t xml:space="preserve"> positions</w:t>
      </w:r>
      <w:r w:rsidR="00FE060A">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and research</w:t>
      </w:r>
      <w:r w:rsidR="00AD33EA">
        <w:rPr>
          <w:rFonts w:ascii="Open Sans" w:eastAsia="Times New Roman" w:hAnsi="Open Sans" w:cs="Open Sans"/>
          <w:color w:val="272833"/>
          <w:sz w:val="24"/>
          <w:szCs w:val="24"/>
          <w:lang w:val="en-GB" w:eastAsia="nb-NO"/>
        </w:rPr>
        <w:t>er</w:t>
      </w:r>
      <w:r w:rsidRPr="00752661">
        <w:rPr>
          <w:rFonts w:ascii="Open Sans" w:eastAsia="Times New Roman" w:hAnsi="Open Sans" w:cs="Open Sans"/>
          <w:color w:val="272833"/>
          <w:sz w:val="24"/>
          <w:szCs w:val="24"/>
          <w:lang w:val="en-GB" w:eastAsia="nb-NO"/>
        </w:rPr>
        <w:t xml:space="preserve"> positions associated with centres or programmes, or that are associated with interdisciplinary activities in any other way, the faculties </w:t>
      </w:r>
      <w:r w:rsidR="00857986">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museum that </w:t>
      </w:r>
      <w:r w:rsidR="00857986">
        <w:rPr>
          <w:rFonts w:ascii="Open Sans" w:eastAsia="Times New Roman" w:hAnsi="Open Sans" w:cs="Open Sans"/>
          <w:color w:val="272833"/>
          <w:sz w:val="24"/>
          <w:szCs w:val="24"/>
          <w:lang w:val="en-GB" w:eastAsia="nb-NO"/>
        </w:rPr>
        <w:t>is</w:t>
      </w:r>
      <w:r w:rsidRPr="00752661">
        <w:rPr>
          <w:rFonts w:ascii="Open Sans" w:eastAsia="Times New Roman" w:hAnsi="Open Sans" w:cs="Open Sans"/>
          <w:color w:val="272833"/>
          <w:sz w:val="24"/>
          <w:szCs w:val="24"/>
          <w:lang w:val="en-GB" w:eastAsia="nb-NO"/>
        </w:rPr>
        <w:t xml:space="preserve"> academically involved must have the opportunity to comment on proposals for the advertisement text before it is approved. The chair of the appointments committee at the host faculty/museum approves the advertisement text.</w:t>
      </w:r>
    </w:p>
    <w:p w14:paraId="2849C500" w14:textId="59ACEF59"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3.</w:t>
      </w:r>
      <w:r w:rsidR="00E23261">
        <w:rPr>
          <w:rFonts w:ascii="Open Sans" w:eastAsia="Times New Roman" w:hAnsi="Open Sans" w:cs="Open Sans"/>
          <w:b/>
          <w:bCs/>
          <w:color w:val="272833"/>
          <w:sz w:val="24"/>
          <w:szCs w:val="24"/>
          <w:lang w:val="en-GB" w:eastAsia="nb-NO"/>
        </w:rPr>
        <w:t>6</w:t>
      </w:r>
      <w:r w:rsidRPr="00752661">
        <w:rPr>
          <w:rFonts w:ascii="Open Sans" w:eastAsia="Times New Roman" w:hAnsi="Open Sans" w:cs="Open Sans"/>
          <w:color w:val="272833"/>
          <w:sz w:val="24"/>
          <w:szCs w:val="24"/>
          <w:lang w:val="en-GB" w:eastAsia="nb-NO"/>
        </w:rPr>
        <w:t> Exceptions to public advertisement: In exceptional cases, the appointment</w:t>
      </w:r>
      <w:r w:rsidR="00141602">
        <w:rPr>
          <w:rFonts w:ascii="Open Sans" w:eastAsia="Times New Roman" w:hAnsi="Open Sans" w:cs="Open Sans"/>
          <w:color w:val="272833"/>
          <w:sz w:val="24"/>
          <w:szCs w:val="24"/>
          <w:lang w:val="en-GB" w:eastAsia="nb-NO"/>
        </w:rPr>
        <w:t>s</w:t>
      </w:r>
      <w:r w:rsidRPr="00752661">
        <w:rPr>
          <w:rFonts w:ascii="Open Sans" w:eastAsia="Times New Roman" w:hAnsi="Open Sans" w:cs="Open Sans"/>
          <w:color w:val="272833"/>
          <w:sz w:val="24"/>
          <w:szCs w:val="24"/>
          <w:lang w:val="en-GB" w:eastAsia="nb-NO"/>
        </w:rPr>
        <w:t xml:space="preserve"> committee may make appointments without preceding advertisement when there are special reasons for this. Special reasons for departing from the requirement for advertisement apply when:</w:t>
      </w:r>
    </w:p>
    <w:p w14:paraId="31175DBA" w14:textId="49AEAE22" w:rsidR="00752661" w:rsidRPr="00752661" w:rsidRDefault="00752661" w:rsidP="001171A1">
      <w:pPr>
        <w:numPr>
          <w:ilvl w:val="0"/>
          <w:numId w:val="16"/>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there are especially strong reasons to fill the position as quickly as possible</w:t>
      </w:r>
      <w:r w:rsidR="00141602">
        <w:rPr>
          <w:rFonts w:ascii="Open Sans" w:eastAsia="Times New Roman" w:hAnsi="Open Sans" w:cs="Open Sans"/>
          <w:color w:val="272833"/>
          <w:sz w:val="24"/>
          <w:szCs w:val="24"/>
          <w:lang w:val="en-GB" w:eastAsia="nb-NO"/>
        </w:rPr>
        <w:t xml:space="preserve"> </w:t>
      </w:r>
      <w:proofErr w:type="gramStart"/>
      <w:r w:rsidR="00141602" w:rsidRPr="00752661">
        <w:rPr>
          <w:rFonts w:ascii="Open Sans" w:eastAsia="Times New Roman" w:hAnsi="Open Sans" w:cs="Open Sans"/>
          <w:color w:val="272833"/>
          <w:sz w:val="24"/>
          <w:szCs w:val="24"/>
          <w:lang w:val="en-GB" w:eastAsia="nb-NO"/>
        </w:rPr>
        <w:t>in order to</w:t>
      </w:r>
      <w:proofErr w:type="gramEnd"/>
      <w:r w:rsidR="00141602" w:rsidRPr="00752661">
        <w:rPr>
          <w:rFonts w:ascii="Open Sans" w:eastAsia="Times New Roman" w:hAnsi="Open Sans" w:cs="Open Sans"/>
          <w:color w:val="272833"/>
          <w:sz w:val="24"/>
          <w:szCs w:val="24"/>
          <w:lang w:val="en-GB" w:eastAsia="nb-NO"/>
        </w:rPr>
        <w:t xml:space="preserve"> achieve strategic objectives,</w:t>
      </w:r>
    </w:p>
    <w:p w14:paraId="68738268" w14:textId="77777777" w:rsidR="00752661" w:rsidRPr="00752661" w:rsidRDefault="00752661" w:rsidP="001171A1">
      <w:pPr>
        <w:numPr>
          <w:ilvl w:val="0"/>
          <w:numId w:val="16"/>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in exceptional cases, it is desirable to recruit a particular individual,</w:t>
      </w:r>
    </w:p>
    <w:p w14:paraId="325EC7D1" w14:textId="77777777" w:rsidR="00752661" w:rsidRPr="00752661" w:rsidRDefault="00752661" w:rsidP="001171A1">
      <w:pPr>
        <w:numPr>
          <w:ilvl w:val="0"/>
          <w:numId w:val="16"/>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position has been advertised several times with no response from applicants who satisfy the competence requirements for the position, or</w:t>
      </w:r>
    </w:p>
    <w:p w14:paraId="79247650" w14:textId="77777777" w:rsidR="00752661" w:rsidRPr="00752661" w:rsidRDefault="00752661" w:rsidP="001171A1">
      <w:pPr>
        <w:numPr>
          <w:ilvl w:val="0"/>
          <w:numId w:val="16"/>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this is necessary </w:t>
      </w:r>
      <w:proofErr w:type="gramStart"/>
      <w:r w:rsidRPr="00752661">
        <w:rPr>
          <w:rFonts w:ascii="Open Sans" w:eastAsia="Times New Roman" w:hAnsi="Open Sans" w:cs="Open Sans"/>
          <w:color w:val="272833"/>
          <w:sz w:val="24"/>
          <w:szCs w:val="24"/>
          <w:lang w:val="en-GB" w:eastAsia="nb-NO"/>
        </w:rPr>
        <w:t>in order to</w:t>
      </w:r>
      <w:proofErr w:type="gramEnd"/>
      <w:r w:rsidRPr="00752661">
        <w:rPr>
          <w:rFonts w:ascii="Open Sans" w:eastAsia="Times New Roman" w:hAnsi="Open Sans" w:cs="Open Sans"/>
          <w:color w:val="272833"/>
          <w:sz w:val="24"/>
          <w:szCs w:val="24"/>
          <w:lang w:val="en-GB" w:eastAsia="nb-NO"/>
        </w:rPr>
        <w:t xml:space="preserve"> recruit qualified women.</w:t>
      </w:r>
    </w:p>
    <w:p w14:paraId="06DBCFA8"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It must be possible to document that the person appointed satisfies the competence requirements for the position.</w:t>
      </w:r>
    </w:p>
    <w:p w14:paraId="39BA056C" w14:textId="3E1BC639"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lastRenderedPageBreak/>
        <w:t>If more than one member of the appointments committee objects to this, the position is however to be advertised publicly </w:t>
      </w:r>
      <w:hyperlink r:id="rId13" w:history="1">
        <w:r w:rsidRPr="00752661">
          <w:rPr>
            <w:rFonts w:ascii="Open Sans" w:eastAsia="Times New Roman" w:hAnsi="Open Sans" w:cs="Open Sans"/>
            <w:color w:val="0B5FFF"/>
            <w:sz w:val="24"/>
            <w:szCs w:val="24"/>
            <w:u w:val="single"/>
            <w:lang w:val="en-GB" w:eastAsia="nb-NO"/>
          </w:rPr>
          <w:t xml:space="preserve">(see </w:t>
        </w:r>
        <w:r w:rsidR="00141602">
          <w:rPr>
            <w:rFonts w:ascii="Open Sans" w:eastAsia="Times New Roman" w:hAnsi="Open Sans" w:cs="Open Sans"/>
            <w:color w:val="0B5FFF"/>
            <w:sz w:val="24"/>
            <w:szCs w:val="24"/>
            <w:u w:val="single"/>
            <w:lang w:val="en-GB" w:eastAsia="nb-NO"/>
          </w:rPr>
          <w:t>s</w:t>
        </w:r>
        <w:r w:rsidRPr="00752661">
          <w:rPr>
            <w:rFonts w:ascii="Open Sans" w:eastAsia="Times New Roman" w:hAnsi="Open Sans" w:cs="Open Sans"/>
            <w:color w:val="0B5FFF"/>
            <w:sz w:val="24"/>
            <w:szCs w:val="24"/>
            <w:u w:val="single"/>
            <w:lang w:val="en-GB" w:eastAsia="nb-NO"/>
          </w:rPr>
          <w:t xml:space="preserve">ection 6-3 </w:t>
        </w:r>
        <w:r w:rsidRPr="00752661">
          <w:rPr>
            <w:rFonts w:ascii="Open Sans" w:eastAsia="Times New Roman" w:hAnsi="Open Sans" w:cs="Open Sans"/>
            <w:color w:val="0B5FFF"/>
            <w:sz w:val="24"/>
            <w:szCs w:val="24"/>
            <w:u w:val="single"/>
            <w:lang w:val="en-GB" w:eastAsia="nb-NO"/>
          </w:rPr>
          <w:t>(</w:t>
        </w:r>
        <w:r w:rsidRPr="00752661">
          <w:rPr>
            <w:rFonts w:ascii="Open Sans" w:eastAsia="Times New Roman" w:hAnsi="Open Sans" w:cs="Open Sans"/>
            <w:color w:val="0B5FFF"/>
            <w:sz w:val="24"/>
            <w:szCs w:val="24"/>
            <w:u w:val="single"/>
            <w:lang w:val="en-GB" w:eastAsia="nb-NO"/>
          </w:rPr>
          <w:t>4) of the Universities and Coll</w:t>
        </w:r>
        <w:r w:rsidRPr="00752661">
          <w:rPr>
            <w:rFonts w:ascii="Open Sans" w:eastAsia="Times New Roman" w:hAnsi="Open Sans" w:cs="Open Sans"/>
            <w:color w:val="0B5FFF"/>
            <w:sz w:val="24"/>
            <w:szCs w:val="24"/>
            <w:u w:val="single"/>
            <w:lang w:val="en-GB" w:eastAsia="nb-NO"/>
          </w:rPr>
          <w:t>e</w:t>
        </w:r>
        <w:r w:rsidRPr="00752661">
          <w:rPr>
            <w:rFonts w:ascii="Open Sans" w:eastAsia="Times New Roman" w:hAnsi="Open Sans" w:cs="Open Sans"/>
            <w:color w:val="0B5FFF"/>
            <w:sz w:val="24"/>
            <w:szCs w:val="24"/>
            <w:u w:val="single"/>
            <w:lang w:val="en-GB" w:eastAsia="nb-NO"/>
          </w:rPr>
          <w:t>ges Act)</w:t>
        </w:r>
      </w:hyperlink>
      <w:r w:rsidRPr="00752661">
        <w:rPr>
          <w:rFonts w:ascii="Open Sans" w:eastAsia="Times New Roman" w:hAnsi="Open Sans" w:cs="Open Sans"/>
          <w:color w:val="272833"/>
          <w:sz w:val="24"/>
          <w:szCs w:val="24"/>
          <w:lang w:val="en-GB" w:eastAsia="nb-NO"/>
        </w:rPr>
        <w:t>.</w:t>
      </w:r>
    </w:p>
    <w:p w14:paraId="306ECC37" w14:textId="52AD1E81"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Similarly, advertisement of job vacancies may be waived for appointments to externally funded positions</w:t>
      </w:r>
      <w:r w:rsidR="00880430">
        <w:rPr>
          <w:rFonts w:ascii="Open Sans" w:eastAsia="Times New Roman" w:hAnsi="Open Sans" w:cs="Open Sans"/>
          <w:color w:val="272833"/>
          <w:sz w:val="24"/>
          <w:szCs w:val="24"/>
          <w:lang w:val="en-GB" w:eastAsia="nb-NO"/>
        </w:rPr>
        <w:t xml:space="preserve"> (see section 3 (3) of the Regulations concerning the Public Employee Act (in Norwegian: </w:t>
      </w:r>
      <w:hyperlink r:id="rId14" w:history="1">
        <w:proofErr w:type="spellStart"/>
        <w:r w:rsidR="00880430" w:rsidRPr="00880430">
          <w:rPr>
            <w:rStyle w:val="Hyperkobling"/>
            <w:rFonts w:ascii="Open Sans" w:eastAsia="Times New Roman" w:hAnsi="Open Sans" w:cs="Open Sans"/>
            <w:sz w:val="24"/>
            <w:szCs w:val="24"/>
            <w:lang w:val="en-GB" w:eastAsia="nb-NO"/>
          </w:rPr>
          <w:t>Forskrift</w:t>
        </w:r>
        <w:proofErr w:type="spellEnd"/>
        <w:r w:rsidR="00880430" w:rsidRPr="00880430">
          <w:rPr>
            <w:rStyle w:val="Hyperkobling"/>
            <w:rFonts w:ascii="Open Sans" w:eastAsia="Times New Roman" w:hAnsi="Open Sans" w:cs="Open Sans"/>
            <w:sz w:val="24"/>
            <w:szCs w:val="24"/>
            <w:lang w:val="en-GB" w:eastAsia="nb-NO"/>
          </w:rPr>
          <w:t xml:space="preserve"> </w:t>
        </w:r>
        <w:proofErr w:type="spellStart"/>
        <w:r w:rsidR="00880430" w:rsidRPr="00880430">
          <w:rPr>
            <w:rStyle w:val="Hyperkobling"/>
            <w:rFonts w:ascii="Open Sans" w:eastAsia="Times New Roman" w:hAnsi="Open Sans" w:cs="Open Sans"/>
            <w:sz w:val="24"/>
            <w:szCs w:val="24"/>
            <w:lang w:val="en-GB" w:eastAsia="nb-NO"/>
          </w:rPr>
          <w:t>til</w:t>
        </w:r>
        <w:proofErr w:type="spellEnd"/>
        <w:r w:rsidR="00880430" w:rsidRPr="00880430">
          <w:rPr>
            <w:rStyle w:val="Hyperkobling"/>
            <w:rFonts w:ascii="Open Sans" w:eastAsia="Times New Roman" w:hAnsi="Open Sans" w:cs="Open Sans"/>
            <w:sz w:val="24"/>
            <w:szCs w:val="24"/>
            <w:lang w:val="en-GB" w:eastAsia="nb-NO"/>
          </w:rPr>
          <w:t xml:space="preserve"> </w:t>
        </w:r>
        <w:proofErr w:type="spellStart"/>
        <w:r w:rsidR="00880430" w:rsidRPr="00880430">
          <w:rPr>
            <w:rStyle w:val="Hyperkobling"/>
            <w:rFonts w:ascii="Open Sans" w:eastAsia="Times New Roman" w:hAnsi="Open Sans" w:cs="Open Sans"/>
            <w:sz w:val="24"/>
            <w:szCs w:val="24"/>
            <w:lang w:val="en-GB" w:eastAsia="nb-NO"/>
          </w:rPr>
          <w:t>statsansatteloven</w:t>
        </w:r>
        <w:proofErr w:type="spellEnd"/>
      </w:hyperlink>
      <w:r w:rsidR="00880430">
        <w:rPr>
          <w:rFonts w:ascii="Open Sans" w:eastAsia="Times New Roman" w:hAnsi="Open Sans" w:cs="Open Sans"/>
          <w:color w:val="272833"/>
          <w:sz w:val="24"/>
          <w:szCs w:val="24"/>
          <w:lang w:val="en-GB" w:eastAsia="nb-NO"/>
        </w:rPr>
        <w:t xml:space="preserve"> § 3 (3)</w:t>
      </w:r>
      <w:r w:rsidR="005A3C2D">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w:t>
      </w:r>
    </w:p>
    <w:p w14:paraId="75B5E786" w14:textId="6E5AA5EC" w:rsidR="00752661" w:rsidRPr="00752661" w:rsidRDefault="00752661"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sidRPr="00752661">
        <w:rPr>
          <w:rFonts w:ascii="Open Sans" w:eastAsia="Times New Roman" w:hAnsi="Open Sans" w:cs="Open Sans"/>
          <w:b/>
          <w:bCs/>
          <w:color w:val="272833"/>
          <w:sz w:val="27"/>
          <w:szCs w:val="27"/>
          <w:lang w:val="en-GB" w:eastAsia="nb-NO"/>
        </w:rPr>
        <w:t xml:space="preserve">4. Nomination for </w:t>
      </w:r>
      <w:r w:rsidR="00AD33EA">
        <w:rPr>
          <w:rFonts w:ascii="Open Sans" w:eastAsia="Times New Roman" w:hAnsi="Open Sans" w:cs="Open Sans"/>
          <w:b/>
          <w:bCs/>
          <w:color w:val="272833"/>
          <w:sz w:val="27"/>
          <w:szCs w:val="27"/>
          <w:lang w:val="en-GB" w:eastAsia="nb-NO"/>
        </w:rPr>
        <w:t>teaching and research posts</w:t>
      </w:r>
    </w:p>
    <w:p w14:paraId="5E7FF730"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4.1</w:t>
      </w:r>
      <w:r w:rsidRPr="00752661">
        <w:rPr>
          <w:rFonts w:ascii="Open Sans" w:eastAsia="Times New Roman" w:hAnsi="Open Sans" w:cs="Open Sans"/>
          <w:color w:val="272833"/>
          <w:sz w:val="24"/>
          <w:szCs w:val="24"/>
          <w:lang w:val="en-GB" w:eastAsia="nb-NO"/>
        </w:rPr>
        <w:t> </w:t>
      </w:r>
      <w:r w:rsidRPr="00752661">
        <w:rPr>
          <w:rFonts w:ascii="Open Sans" w:eastAsia="Times New Roman" w:hAnsi="Open Sans" w:cs="Open Sans"/>
          <w:b/>
          <w:bCs/>
          <w:color w:val="272833"/>
          <w:sz w:val="24"/>
          <w:szCs w:val="24"/>
          <w:lang w:val="en-GB" w:eastAsia="nb-NO"/>
        </w:rPr>
        <w:t>Nominating authority</w:t>
      </w:r>
    </w:p>
    <w:p w14:paraId="5A7EAE8D" w14:textId="75CF966A" w:rsidR="00857986"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For the </w:t>
      </w:r>
      <w:r w:rsidR="00AD33EA">
        <w:rPr>
          <w:rFonts w:ascii="Open Sans" w:eastAsia="Times New Roman" w:hAnsi="Open Sans" w:cs="Open Sans"/>
          <w:color w:val="272833"/>
          <w:sz w:val="24"/>
          <w:szCs w:val="24"/>
          <w:lang w:val="en-GB" w:eastAsia="nb-NO"/>
        </w:rPr>
        <w:t>f</w:t>
      </w:r>
      <w:r w:rsidRPr="00752661">
        <w:rPr>
          <w:rFonts w:ascii="Open Sans" w:eastAsia="Times New Roman" w:hAnsi="Open Sans" w:cs="Open Sans"/>
          <w:color w:val="272833"/>
          <w:sz w:val="24"/>
          <w:szCs w:val="24"/>
          <w:lang w:val="en-GB" w:eastAsia="nb-NO"/>
        </w:rPr>
        <w:t xml:space="preserve">aculties and the NTNU University Museum (VM), the </w:t>
      </w:r>
      <w:r w:rsidR="00AD33EA">
        <w:rPr>
          <w:rFonts w:ascii="Open Sans" w:eastAsia="Times New Roman" w:hAnsi="Open Sans" w:cs="Open Sans"/>
          <w:color w:val="272833"/>
          <w:sz w:val="24"/>
          <w:szCs w:val="24"/>
          <w:lang w:val="en-GB" w:eastAsia="nb-NO"/>
        </w:rPr>
        <w:t>h</w:t>
      </w:r>
      <w:r w:rsidR="00CF25AC">
        <w:rPr>
          <w:rFonts w:ascii="Open Sans" w:eastAsia="Times New Roman" w:hAnsi="Open Sans" w:cs="Open Sans"/>
          <w:color w:val="272833"/>
          <w:sz w:val="24"/>
          <w:szCs w:val="24"/>
          <w:lang w:val="en-GB" w:eastAsia="nb-NO"/>
        </w:rPr>
        <w:t>ead of department</w:t>
      </w:r>
      <w:r w:rsidRPr="00752661">
        <w:rPr>
          <w:rFonts w:ascii="Open Sans" w:eastAsia="Times New Roman" w:hAnsi="Open Sans" w:cs="Open Sans"/>
          <w:color w:val="272833"/>
          <w:sz w:val="24"/>
          <w:szCs w:val="24"/>
          <w:lang w:val="en-GB" w:eastAsia="nb-NO"/>
        </w:rPr>
        <w:t xml:space="preserve"> is the nominating authority. </w:t>
      </w:r>
    </w:p>
    <w:p w14:paraId="3FAEF586" w14:textId="0041414D" w:rsidR="00857986"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In cases of doubt, the Board itself decides who is the immediate superior and who is the nominating authority for the position in question</w:t>
      </w:r>
      <w:r w:rsidR="00857986">
        <w:rPr>
          <w:rFonts w:ascii="Open Sans" w:eastAsia="Times New Roman" w:hAnsi="Open Sans" w:cs="Open Sans"/>
          <w:color w:val="272833"/>
          <w:sz w:val="24"/>
          <w:szCs w:val="24"/>
          <w:lang w:val="en-GB" w:eastAsia="nb-NO"/>
        </w:rPr>
        <w:t xml:space="preserve">, see </w:t>
      </w:r>
      <w:hyperlink r:id="rId15" w:history="1">
        <w:r w:rsidR="005A3C2D" w:rsidRPr="005A3C2D">
          <w:rPr>
            <w:rStyle w:val="Hyperkobling"/>
            <w:rFonts w:ascii="Open Sans" w:eastAsia="Times New Roman" w:hAnsi="Open Sans" w:cs="Open Sans"/>
            <w:sz w:val="24"/>
            <w:szCs w:val="24"/>
            <w:lang w:val="en-GB" w:eastAsia="nb-NO"/>
          </w:rPr>
          <w:t xml:space="preserve">Universities and Colleges Act Section </w:t>
        </w:r>
        <w:r w:rsidR="00857986" w:rsidRPr="005A3C2D">
          <w:rPr>
            <w:rStyle w:val="Hyperkobling"/>
            <w:rFonts w:ascii="Open Sans" w:eastAsia="Times New Roman" w:hAnsi="Open Sans" w:cs="Open Sans"/>
            <w:sz w:val="24"/>
            <w:szCs w:val="24"/>
            <w:lang w:val="en-GB" w:eastAsia="nb-NO"/>
          </w:rPr>
          <w:t>6-3</w:t>
        </w:r>
        <w:r w:rsidR="005A3C2D" w:rsidRPr="005A3C2D">
          <w:rPr>
            <w:rStyle w:val="Hyperkobling"/>
            <w:rFonts w:ascii="Open Sans" w:eastAsia="Times New Roman" w:hAnsi="Open Sans" w:cs="Open Sans"/>
            <w:sz w:val="24"/>
            <w:szCs w:val="24"/>
            <w:lang w:val="en-GB" w:eastAsia="nb-NO"/>
          </w:rPr>
          <w:t xml:space="preserve"> (5</w:t>
        </w:r>
      </w:hyperlink>
      <w:r w:rsidR="005A3C2D">
        <w:rPr>
          <w:rFonts w:ascii="Open Sans" w:eastAsia="Times New Roman" w:hAnsi="Open Sans" w:cs="Open Sans"/>
          <w:color w:val="272833"/>
          <w:sz w:val="24"/>
          <w:szCs w:val="24"/>
          <w:lang w:val="en-GB" w:eastAsia="nb-NO"/>
        </w:rPr>
        <w:t>)</w:t>
      </w:r>
      <w:r w:rsidR="00857986">
        <w:rPr>
          <w:rFonts w:ascii="Open Sans" w:eastAsia="Times New Roman" w:hAnsi="Open Sans" w:cs="Open Sans"/>
          <w:color w:val="272833"/>
          <w:sz w:val="24"/>
          <w:szCs w:val="24"/>
          <w:lang w:val="en-GB" w:eastAsia="nb-NO"/>
        </w:rPr>
        <w:t>.</w:t>
      </w:r>
    </w:p>
    <w:p w14:paraId="6E3AE1D9" w14:textId="401AABDC" w:rsidR="00752661" w:rsidRPr="00752661" w:rsidRDefault="00857986"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 xml:space="preserve">The nominating authority appoints a </w:t>
      </w:r>
      <w:r w:rsidR="00752661" w:rsidRPr="00752661">
        <w:rPr>
          <w:rFonts w:ascii="Open Sans" w:eastAsia="Times New Roman" w:hAnsi="Open Sans" w:cs="Open Sans"/>
          <w:color w:val="272833"/>
          <w:sz w:val="24"/>
          <w:szCs w:val="24"/>
          <w:lang w:val="en-GB" w:eastAsia="nb-NO"/>
        </w:rPr>
        <w:t xml:space="preserve">recruitment group </w:t>
      </w:r>
      <w:r>
        <w:rPr>
          <w:rFonts w:ascii="Open Sans" w:eastAsia="Times New Roman" w:hAnsi="Open Sans" w:cs="Open Sans"/>
          <w:color w:val="272833"/>
          <w:sz w:val="24"/>
          <w:szCs w:val="24"/>
          <w:lang w:val="en-GB" w:eastAsia="nb-NO"/>
        </w:rPr>
        <w:t>to act</w:t>
      </w:r>
      <w:r w:rsidR="00752661" w:rsidRPr="00752661">
        <w:rPr>
          <w:rFonts w:ascii="Open Sans" w:eastAsia="Times New Roman" w:hAnsi="Open Sans" w:cs="Open Sans"/>
          <w:color w:val="272833"/>
          <w:sz w:val="24"/>
          <w:szCs w:val="24"/>
          <w:lang w:val="en-GB" w:eastAsia="nb-NO"/>
        </w:rPr>
        <w:t xml:space="preserve"> as the advisory group to the nominating authority.</w:t>
      </w:r>
      <w:r>
        <w:rPr>
          <w:rFonts w:ascii="Open Sans" w:eastAsia="Times New Roman" w:hAnsi="Open Sans" w:cs="Open Sans"/>
          <w:color w:val="272833"/>
          <w:sz w:val="24"/>
          <w:szCs w:val="24"/>
          <w:lang w:val="en-GB" w:eastAsia="nb-NO"/>
        </w:rPr>
        <w:t xml:space="preserve"> The group is normally composed of the </w:t>
      </w:r>
      <w:r w:rsidR="00960970">
        <w:rPr>
          <w:rFonts w:ascii="Open Sans" w:eastAsia="Times New Roman" w:hAnsi="Open Sans" w:cs="Open Sans"/>
          <w:color w:val="272833"/>
          <w:sz w:val="24"/>
          <w:szCs w:val="24"/>
          <w:lang w:val="en-GB" w:eastAsia="nb-NO"/>
        </w:rPr>
        <w:t>h</w:t>
      </w:r>
      <w:r w:rsidR="00CF25AC">
        <w:rPr>
          <w:rFonts w:ascii="Open Sans" w:eastAsia="Times New Roman" w:hAnsi="Open Sans" w:cs="Open Sans"/>
          <w:color w:val="272833"/>
          <w:sz w:val="24"/>
          <w:szCs w:val="24"/>
          <w:lang w:val="en-GB" w:eastAsia="nb-NO"/>
        </w:rPr>
        <w:t>ead of department</w:t>
      </w:r>
      <w:r>
        <w:rPr>
          <w:rFonts w:ascii="Open Sans" w:eastAsia="Times New Roman" w:hAnsi="Open Sans" w:cs="Open Sans"/>
          <w:color w:val="272833"/>
          <w:sz w:val="24"/>
          <w:szCs w:val="24"/>
          <w:lang w:val="en-GB" w:eastAsia="nb-NO"/>
        </w:rPr>
        <w:t xml:space="preserve">, the head of the research group, the educational </w:t>
      </w:r>
      <w:r w:rsidR="00960970">
        <w:rPr>
          <w:rFonts w:ascii="Open Sans" w:eastAsia="Times New Roman" w:hAnsi="Open Sans" w:cs="Open Sans"/>
          <w:color w:val="272833"/>
          <w:sz w:val="24"/>
          <w:szCs w:val="24"/>
          <w:lang w:val="en-GB" w:eastAsia="nb-NO"/>
        </w:rPr>
        <w:t xml:space="preserve">and learning </w:t>
      </w:r>
      <w:r>
        <w:rPr>
          <w:rFonts w:ascii="Open Sans" w:eastAsia="Times New Roman" w:hAnsi="Open Sans" w:cs="Open Sans"/>
          <w:color w:val="272833"/>
          <w:sz w:val="24"/>
          <w:szCs w:val="24"/>
          <w:lang w:val="en-GB" w:eastAsia="nb-NO"/>
        </w:rPr>
        <w:t xml:space="preserve">coordinator, a student representative appointed by the relevant student body, and </w:t>
      </w:r>
      <w:r w:rsidR="00960970">
        <w:rPr>
          <w:rFonts w:ascii="Open Sans" w:eastAsia="Times New Roman" w:hAnsi="Open Sans" w:cs="Open Sans"/>
          <w:color w:val="272833"/>
          <w:sz w:val="24"/>
          <w:szCs w:val="24"/>
          <w:lang w:val="en-GB" w:eastAsia="nb-NO"/>
        </w:rPr>
        <w:t xml:space="preserve">an </w:t>
      </w:r>
      <w:r>
        <w:rPr>
          <w:rFonts w:ascii="Open Sans" w:eastAsia="Times New Roman" w:hAnsi="Open Sans" w:cs="Open Sans"/>
          <w:color w:val="272833"/>
          <w:sz w:val="24"/>
          <w:szCs w:val="24"/>
          <w:lang w:val="en-GB" w:eastAsia="nb-NO"/>
        </w:rPr>
        <w:t xml:space="preserve">HR </w:t>
      </w:r>
      <w:r w:rsidR="00960970">
        <w:rPr>
          <w:rFonts w:ascii="Open Sans" w:eastAsia="Times New Roman" w:hAnsi="Open Sans" w:cs="Open Sans"/>
          <w:color w:val="272833"/>
          <w:sz w:val="24"/>
          <w:szCs w:val="24"/>
          <w:lang w:val="en-GB" w:eastAsia="nb-NO"/>
        </w:rPr>
        <w:t>recruiter</w:t>
      </w:r>
      <w:r>
        <w:rPr>
          <w:rFonts w:ascii="Open Sans" w:eastAsia="Times New Roman" w:hAnsi="Open Sans" w:cs="Open Sans"/>
          <w:color w:val="272833"/>
          <w:sz w:val="24"/>
          <w:szCs w:val="24"/>
          <w:lang w:val="en-GB" w:eastAsia="nb-NO"/>
        </w:rPr>
        <w:t xml:space="preserve">. Both genders must be represented in the recruitment group. </w:t>
      </w:r>
    </w:p>
    <w:p w14:paraId="63F733DF"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4.2</w:t>
      </w:r>
      <w:r w:rsidRPr="00752661">
        <w:rPr>
          <w:rFonts w:ascii="Open Sans" w:eastAsia="Times New Roman" w:hAnsi="Open Sans" w:cs="Open Sans"/>
          <w:color w:val="272833"/>
          <w:sz w:val="24"/>
          <w:szCs w:val="24"/>
          <w:lang w:val="en-GB" w:eastAsia="nb-NO"/>
        </w:rPr>
        <w:t> </w:t>
      </w:r>
      <w:r w:rsidRPr="00752661">
        <w:rPr>
          <w:rFonts w:ascii="Open Sans" w:eastAsia="Times New Roman" w:hAnsi="Open Sans" w:cs="Open Sans"/>
          <w:b/>
          <w:bCs/>
          <w:color w:val="272833"/>
          <w:sz w:val="24"/>
          <w:szCs w:val="24"/>
          <w:lang w:val="en-GB" w:eastAsia="nb-NO"/>
        </w:rPr>
        <w:t>Content of the nomination</w:t>
      </w:r>
    </w:p>
    <w:p w14:paraId="1D8DDD89"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nomination is based on the description of the position, the applications, the report from the experts, any comments from the applicants, and statements from the recruitment group.</w:t>
      </w:r>
    </w:p>
    <w:p w14:paraId="66789D58" w14:textId="6380AE75"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To enable a moderate gender quota system, the assessment shall make it clear whether the qualifications of the applicants in question are approximately equivalent if there are applicants of both genders. In addition, the nomination must be submitted to the unit’s gender equality adviser before the case is forwarded to the appointing body (see the provisions on gender equality in the </w:t>
      </w:r>
      <w:r w:rsidR="005A339F">
        <w:rPr>
          <w:rFonts w:ascii="Open Sans" w:eastAsia="Times New Roman" w:hAnsi="Open Sans" w:cs="Open Sans"/>
          <w:color w:val="272833"/>
          <w:sz w:val="24"/>
          <w:szCs w:val="24"/>
          <w:lang w:val="en-GB" w:eastAsia="nb-NO"/>
        </w:rPr>
        <w:t xml:space="preserve">NTNU </w:t>
      </w:r>
      <w:r w:rsidRPr="00752661">
        <w:rPr>
          <w:rFonts w:ascii="Open Sans" w:eastAsia="Times New Roman" w:hAnsi="Open Sans" w:cs="Open Sans"/>
          <w:color w:val="272833"/>
          <w:sz w:val="24"/>
          <w:szCs w:val="24"/>
          <w:lang w:val="en-GB" w:eastAsia="nb-NO"/>
        </w:rPr>
        <w:t>adjustment agreement</w:t>
      </w:r>
      <w:r w:rsidR="005A339F">
        <w:rPr>
          <w:rFonts w:ascii="Open Sans" w:eastAsia="Times New Roman" w:hAnsi="Open Sans" w:cs="Open Sans"/>
          <w:color w:val="272833"/>
          <w:sz w:val="24"/>
          <w:szCs w:val="24"/>
          <w:lang w:val="en-GB" w:eastAsia="nb-NO"/>
        </w:rPr>
        <w:t xml:space="preserve"> </w:t>
      </w:r>
      <w:r w:rsidRPr="00752661">
        <w:rPr>
          <w:rFonts w:ascii="Open Sans" w:eastAsia="Times New Roman" w:hAnsi="Open Sans" w:cs="Open Sans"/>
          <w:color w:val="272833"/>
          <w:sz w:val="24"/>
          <w:szCs w:val="24"/>
          <w:lang w:val="en-GB" w:eastAsia="nb-NO"/>
        </w:rPr>
        <w:t>regarding moderate gender quotas in practice and the organization of equal opportunity initiatives).</w:t>
      </w:r>
    </w:p>
    <w:p w14:paraId="7218E52E" w14:textId="77777777" w:rsidR="00AD33EA" w:rsidRDefault="00AD33EA">
      <w:pPr>
        <w:rPr>
          <w:rFonts w:ascii="Open Sans" w:eastAsia="Times New Roman" w:hAnsi="Open Sans" w:cs="Open Sans"/>
          <w:b/>
          <w:bCs/>
          <w:color w:val="272833"/>
          <w:sz w:val="24"/>
          <w:szCs w:val="24"/>
          <w:lang w:val="en-GB" w:eastAsia="nb-NO"/>
        </w:rPr>
      </w:pPr>
      <w:r>
        <w:rPr>
          <w:rFonts w:ascii="Open Sans" w:eastAsia="Times New Roman" w:hAnsi="Open Sans" w:cs="Open Sans"/>
          <w:b/>
          <w:bCs/>
          <w:color w:val="272833"/>
          <w:sz w:val="24"/>
          <w:szCs w:val="24"/>
          <w:lang w:val="en-GB" w:eastAsia="nb-NO"/>
        </w:rPr>
        <w:br w:type="page"/>
      </w:r>
    </w:p>
    <w:p w14:paraId="3C392B3C" w14:textId="3BFCF391"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lastRenderedPageBreak/>
        <w:t>4.3 Processing of applications</w:t>
      </w:r>
    </w:p>
    <w:p w14:paraId="783C76B5"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A public list of applicants must be made available to the applicants as soon as possible after the deadline for applications. An extended list of applicants must be made available to the applicants who request this.</w:t>
      </w:r>
    </w:p>
    <w:p w14:paraId="42A2FCC2" w14:textId="1B0A7064"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If any of the applicants </w:t>
      </w:r>
      <w:r w:rsidR="005A339F">
        <w:rPr>
          <w:rFonts w:ascii="Open Sans" w:eastAsia="Times New Roman" w:hAnsi="Open Sans" w:cs="Open Sans"/>
          <w:color w:val="272833"/>
          <w:sz w:val="24"/>
          <w:szCs w:val="24"/>
          <w:lang w:val="en-GB" w:eastAsia="nb-NO"/>
        </w:rPr>
        <w:t>ask</w:t>
      </w:r>
      <w:r w:rsidRPr="00752661">
        <w:rPr>
          <w:rFonts w:ascii="Open Sans" w:eastAsia="Times New Roman" w:hAnsi="Open Sans" w:cs="Open Sans"/>
          <w:color w:val="272833"/>
          <w:sz w:val="24"/>
          <w:szCs w:val="24"/>
          <w:lang w:val="en-GB" w:eastAsia="nb-NO"/>
        </w:rPr>
        <w:t xml:space="preserve"> to be excluded from the public list of applicants, this request shall be considered. If the request cannot be fulfilled, the applicant must be informed immediately</w:t>
      </w:r>
      <w:r w:rsidR="005A339F">
        <w:rPr>
          <w:rFonts w:ascii="Open Sans" w:eastAsia="Times New Roman" w:hAnsi="Open Sans" w:cs="Open Sans"/>
          <w:color w:val="272833"/>
          <w:sz w:val="24"/>
          <w:szCs w:val="24"/>
          <w:lang w:val="en-GB" w:eastAsia="nb-NO"/>
        </w:rPr>
        <w:t xml:space="preserve"> </w:t>
      </w:r>
      <w:r w:rsidRPr="00752661">
        <w:rPr>
          <w:rFonts w:ascii="Open Sans" w:eastAsia="Times New Roman" w:hAnsi="Open Sans" w:cs="Open Sans"/>
          <w:color w:val="272833"/>
          <w:sz w:val="24"/>
          <w:szCs w:val="24"/>
          <w:lang w:val="en-GB" w:eastAsia="nb-NO"/>
        </w:rPr>
        <w:t>[3]. In principle, NTNU employees who apply for other positions at NTNU cannot be exempted from public disclosure.</w:t>
      </w:r>
    </w:p>
    <w:p w14:paraId="01C773D3" w14:textId="206FC542"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In the evaluation, emphasis must be placed on the interest that the public has in access to the case, especially if a higher position is involved. Considerations related to recruitment and </w:t>
      </w:r>
      <w:r w:rsidR="005A339F">
        <w:rPr>
          <w:rFonts w:ascii="Open Sans" w:eastAsia="Times New Roman" w:hAnsi="Open Sans" w:cs="Open Sans"/>
          <w:color w:val="272833"/>
          <w:sz w:val="24"/>
          <w:szCs w:val="24"/>
          <w:lang w:val="en-GB" w:eastAsia="nb-NO"/>
        </w:rPr>
        <w:t xml:space="preserve">the </w:t>
      </w:r>
      <w:r w:rsidRPr="00752661">
        <w:rPr>
          <w:rFonts w:ascii="Open Sans" w:eastAsia="Times New Roman" w:hAnsi="Open Sans" w:cs="Open Sans"/>
          <w:color w:val="272833"/>
          <w:sz w:val="24"/>
          <w:szCs w:val="24"/>
          <w:lang w:val="en-GB" w:eastAsia="nb-NO"/>
        </w:rPr>
        <w:t xml:space="preserve">protection of personal privacy must also be </w:t>
      </w:r>
      <w:proofErr w:type="gramStart"/>
      <w:r w:rsidRPr="00752661">
        <w:rPr>
          <w:rFonts w:ascii="Open Sans" w:eastAsia="Times New Roman" w:hAnsi="Open Sans" w:cs="Open Sans"/>
          <w:color w:val="272833"/>
          <w:sz w:val="24"/>
          <w:szCs w:val="24"/>
          <w:lang w:val="en-GB" w:eastAsia="nb-NO"/>
        </w:rPr>
        <w:t>taken into account</w:t>
      </w:r>
      <w:proofErr w:type="gramEnd"/>
      <w:r w:rsidRPr="00752661">
        <w:rPr>
          <w:rFonts w:ascii="Open Sans" w:eastAsia="Times New Roman" w:hAnsi="Open Sans" w:cs="Open Sans"/>
          <w:color w:val="272833"/>
          <w:sz w:val="24"/>
          <w:szCs w:val="24"/>
          <w:lang w:val="en-GB" w:eastAsia="nb-NO"/>
        </w:rPr>
        <w:t xml:space="preserve">. The latter must be emphasized if disclosure of the application may have financial consequences for the applicant. It must also be </w:t>
      </w:r>
      <w:proofErr w:type="gramStart"/>
      <w:r w:rsidRPr="00752661">
        <w:rPr>
          <w:rFonts w:ascii="Open Sans" w:eastAsia="Times New Roman" w:hAnsi="Open Sans" w:cs="Open Sans"/>
          <w:color w:val="272833"/>
          <w:sz w:val="24"/>
          <w:szCs w:val="24"/>
          <w:lang w:val="en-GB" w:eastAsia="nb-NO"/>
        </w:rPr>
        <w:t>taken into account</w:t>
      </w:r>
      <w:proofErr w:type="gramEnd"/>
      <w:r w:rsidRPr="00752661">
        <w:rPr>
          <w:rFonts w:ascii="Open Sans" w:eastAsia="Times New Roman" w:hAnsi="Open Sans" w:cs="Open Sans"/>
          <w:color w:val="272833"/>
          <w:sz w:val="24"/>
          <w:szCs w:val="24"/>
          <w:lang w:val="en-GB" w:eastAsia="nb-NO"/>
        </w:rPr>
        <w:t xml:space="preserve"> if the applicant has a leading position in operations undergoing restructuring where disclosure may lead to concern in the organization.</w:t>
      </w:r>
    </w:p>
    <w:p w14:paraId="5BB314DB" w14:textId="2AA1DAEC"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Candidates who, based on a comprehensive first-hand assessment, might come into conflict with legislation governing exports of knowledge, technology</w:t>
      </w:r>
      <w:r w:rsidR="005A339F">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and services will not advance further from the first stage in the recruitment process. Here, reference is made to the </w:t>
      </w:r>
      <w:hyperlink r:id="rId16" w:history="1">
        <w:r w:rsidRPr="00752661">
          <w:rPr>
            <w:rFonts w:ascii="Open Sans" w:eastAsia="Times New Roman" w:hAnsi="Open Sans" w:cs="Open Sans"/>
            <w:color w:val="0B5FFF"/>
            <w:sz w:val="24"/>
            <w:szCs w:val="24"/>
            <w:u w:val="single"/>
            <w:lang w:val="en-GB" w:eastAsia="nb-NO"/>
          </w:rPr>
          <w:t>Export Control Act</w:t>
        </w:r>
      </w:hyperlink>
      <w:r w:rsidRPr="00752661">
        <w:rPr>
          <w:rFonts w:ascii="Open Sans" w:eastAsia="Times New Roman" w:hAnsi="Open Sans" w:cs="Open Sans"/>
          <w:color w:val="272833"/>
          <w:sz w:val="24"/>
          <w:szCs w:val="24"/>
          <w:lang w:val="en-GB" w:eastAsia="nb-NO"/>
        </w:rPr>
        <w:t>.</w:t>
      </w:r>
    </w:p>
    <w:p w14:paraId="0034000A"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nominating authority may choose to accept applications for consideration even if the deadline for applications has passed. In this case, all applications that have arrived until the application in question was received will be considered. Nevertheless, applications received more than 14 days after the application deadline cannot be considered.</w:t>
      </w:r>
    </w:p>
    <w:p w14:paraId="65F22804" w14:textId="61389B2E"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In cases where there is only one applicant who, during the past 6 years, calculated from the deadline for applications, has been declared competent in the same subject area as has been advertised, the department may submit its nomination without obtaining a new expert </w:t>
      </w:r>
      <w:r w:rsidR="00FE060A" w:rsidRPr="00752661">
        <w:rPr>
          <w:rFonts w:ascii="Open Sans" w:eastAsia="Times New Roman" w:hAnsi="Open Sans" w:cs="Open Sans"/>
          <w:color w:val="272833"/>
          <w:sz w:val="24"/>
          <w:szCs w:val="24"/>
          <w:lang w:val="en-GB" w:eastAsia="nb-NO"/>
        </w:rPr>
        <w:t>opinion if</w:t>
      </w:r>
      <w:r w:rsidRPr="00752661">
        <w:rPr>
          <w:rFonts w:ascii="Open Sans" w:eastAsia="Times New Roman" w:hAnsi="Open Sans" w:cs="Open Sans"/>
          <w:color w:val="272833"/>
          <w:sz w:val="24"/>
          <w:szCs w:val="24"/>
          <w:lang w:val="en-GB" w:eastAsia="nb-NO"/>
        </w:rPr>
        <w:t xml:space="preserve"> the previous declaration was unanimous and indisputable.</w:t>
      </w:r>
    </w:p>
    <w:p w14:paraId="0A719F2E" w14:textId="6F415A55" w:rsidR="00DF16F8" w:rsidRDefault="00DF16F8"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b/>
          <w:bCs/>
          <w:color w:val="272833"/>
          <w:sz w:val="24"/>
          <w:szCs w:val="24"/>
          <w:lang w:val="en-GB" w:eastAsia="nb-NO"/>
        </w:rPr>
        <w:t>5.</w:t>
      </w:r>
      <w:r w:rsidR="00752661" w:rsidRPr="00752661">
        <w:rPr>
          <w:rFonts w:ascii="Open Sans" w:eastAsia="Times New Roman" w:hAnsi="Open Sans" w:cs="Open Sans"/>
          <w:color w:val="272833"/>
          <w:sz w:val="24"/>
          <w:szCs w:val="24"/>
          <w:lang w:val="en-GB" w:eastAsia="nb-NO"/>
        </w:rPr>
        <w:t> </w:t>
      </w:r>
      <w:r w:rsidRPr="00DF16F8">
        <w:rPr>
          <w:rFonts w:ascii="Open Sans" w:eastAsia="Times New Roman" w:hAnsi="Open Sans" w:cs="Open Sans"/>
          <w:b/>
          <w:bCs/>
          <w:color w:val="272833"/>
          <w:sz w:val="24"/>
          <w:szCs w:val="24"/>
          <w:lang w:val="en-GB" w:eastAsia="nb-NO"/>
        </w:rPr>
        <w:t>Expert Assessment</w:t>
      </w:r>
    </w:p>
    <w:p w14:paraId="15F61DFD" w14:textId="30CB4515"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Assessment of academic qualifications</w:t>
      </w:r>
    </w:p>
    <w:p w14:paraId="1DE9306E" w14:textId="6D61AA2C"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academic and artistic qualifications of applicants for teaching and research pos</w:t>
      </w:r>
      <w:r w:rsidR="00AD33EA">
        <w:rPr>
          <w:rFonts w:ascii="Open Sans" w:eastAsia="Times New Roman" w:hAnsi="Open Sans" w:cs="Open Sans"/>
          <w:color w:val="272833"/>
          <w:sz w:val="24"/>
          <w:szCs w:val="24"/>
          <w:lang w:val="en-GB" w:eastAsia="nb-NO"/>
        </w:rPr>
        <w:t>ts</w:t>
      </w:r>
      <w:r w:rsidRPr="00752661">
        <w:rPr>
          <w:rFonts w:ascii="Open Sans" w:eastAsia="Times New Roman" w:hAnsi="Open Sans" w:cs="Open Sans"/>
          <w:color w:val="272833"/>
          <w:sz w:val="24"/>
          <w:szCs w:val="24"/>
          <w:lang w:val="en-GB" w:eastAsia="nb-NO"/>
        </w:rPr>
        <w:t xml:space="preserve">, including additional positions </w:t>
      </w:r>
      <w:r w:rsidR="00823CA6">
        <w:rPr>
          <w:rFonts w:ascii="Open Sans" w:eastAsia="Times New Roman" w:hAnsi="Open Sans" w:cs="Open Sans"/>
          <w:color w:val="272833"/>
          <w:sz w:val="24"/>
          <w:szCs w:val="24"/>
          <w:lang w:val="en-GB" w:eastAsia="nb-NO"/>
        </w:rPr>
        <w:t>[</w:t>
      </w:r>
      <w:proofErr w:type="spellStart"/>
      <w:r w:rsidRPr="00752661">
        <w:rPr>
          <w:rFonts w:ascii="Open Sans" w:eastAsia="Times New Roman" w:hAnsi="Open Sans" w:cs="Open Sans"/>
          <w:color w:val="272833"/>
          <w:sz w:val="24"/>
          <w:szCs w:val="24"/>
          <w:lang w:val="en-GB" w:eastAsia="nb-NO"/>
        </w:rPr>
        <w:t>bistillinger</w:t>
      </w:r>
      <w:proofErr w:type="spellEnd"/>
      <w:r w:rsidR="00823CA6">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must be assessed by </w:t>
      </w:r>
      <w:r w:rsidRPr="00752661">
        <w:rPr>
          <w:rFonts w:ascii="Open Sans" w:eastAsia="Times New Roman" w:hAnsi="Open Sans" w:cs="Open Sans"/>
          <w:color w:val="272833"/>
          <w:sz w:val="24"/>
          <w:szCs w:val="24"/>
          <w:lang w:val="en-GB" w:eastAsia="nb-NO"/>
        </w:rPr>
        <w:lastRenderedPageBreak/>
        <w:t xml:space="preserve">designated experts before the </w:t>
      </w:r>
      <w:r w:rsidR="00FE060A">
        <w:rPr>
          <w:rFonts w:ascii="Open Sans" w:eastAsia="Times New Roman" w:hAnsi="Open Sans" w:cs="Open Sans"/>
          <w:color w:val="272833"/>
          <w:sz w:val="24"/>
          <w:szCs w:val="24"/>
          <w:lang w:val="en-GB" w:eastAsia="nb-NO"/>
        </w:rPr>
        <w:t>h</w:t>
      </w:r>
      <w:r w:rsidR="00CF25AC">
        <w:rPr>
          <w:rFonts w:ascii="Open Sans" w:eastAsia="Times New Roman" w:hAnsi="Open Sans" w:cs="Open Sans"/>
          <w:color w:val="272833"/>
          <w:sz w:val="24"/>
          <w:szCs w:val="24"/>
          <w:lang w:val="en-GB" w:eastAsia="nb-NO"/>
        </w:rPr>
        <w:t>ead of department</w:t>
      </w:r>
      <w:r w:rsidRPr="00752661">
        <w:rPr>
          <w:rFonts w:ascii="Open Sans" w:eastAsia="Times New Roman" w:hAnsi="Open Sans" w:cs="Open Sans"/>
          <w:color w:val="272833"/>
          <w:sz w:val="24"/>
          <w:szCs w:val="24"/>
          <w:lang w:val="en-GB" w:eastAsia="nb-NO"/>
        </w:rPr>
        <w:t>/</w:t>
      </w:r>
      <w:r w:rsidR="00FE060A">
        <w:rPr>
          <w:rFonts w:ascii="Open Sans" w:eastAsia="Times New Roman" w:hAnsi="Open Sans" w:cs="Open Sans"/>
          <w:color w:val="272833"/>
          <w:sz w:val="24"/>
          <w:szCs w:val="24"/>
          <w:lang w:val="en-GB" w:eastAsia="nb-NO"/>
        </w:rPr>
        <w:t>h</w:t>
      </w:r>
      <w:r w:rsidRPr="00752661">
        <w:rPr>
          <w:rFonts w:ascii="Open Sans" w:eastAsia="Times New Roman" w:hAnsi="Open Sans" w:cs="Open Sans"/>
          <w:color w:val="272833"/>
          <w:sz w:val="24"/>
          <w:szCs w:val="24"/>
          <w:lang w:val="en-GB" w:eastAsia="nb-NO"/>
        </w:rPr>
        <w:t xml:space="preserve">ead of </w:t>
      </w:r>
      <w:r w:rsidR="00FE060A">
        <w:rPr>
          <w:rFonts w:ascii="Open Sans" w:eastAsia="Times New Roman" w:hAnsi="Open Sans" w:cs="Open Sans"/>
          <w:color w:val="272833"/>
          <w:sz w:val="24"/>
          <w:szCs w:val="24"/>
          <w:lang w:val="en-GB" w:eastAsia="nb-NO"/>
        </w:rPr>
        <w:t>s</w:t>
      </w:r>
      <w:r w:rsidRPr="00752661">
        <w:rPr>
          <w:rFonts w:ascii="Open Sans" w:eastAsia="Times New Roman" w:hAnsi="Open Sans" w:cs="Open Sans"/>
          <w:color w:val="272833"/>
          <w:sz w:val="24"/>
          <w:szCs w:val="24"/>
          <w:lang w:val="en-GB" w:eastAsia="nb-NO"/>
        </w:rPr>
        <w:t>ection submits his or her nomination.</w:t>
      </w:r>
    </w:p>
    <w:p w14:paraId="17DCE5CD" w14:textId="48DA9911" w:rsidR="00823CA6"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The </w:t>
      </w:r>
      <w:r w:rsidR="00FE060A">
        <w:rPr>
          <w:rFonts w:ascii="Open Sans" w:eastAsia="Times New Roman" w:hAnsi="Open Sans" w:cs="Open Sans"/>
          <w:color w:val="272833"/>
          <w:sz w:val="24"/>
          <w:szCs w:val="24"/>
          <w:lang w:val="en-GB" w:eastAsia="nb-NO"/>
        </w:rPr>
        <w:t>h</w:t>
      </w:r>
      <w:r w:rsidR="00CF25AC">
        <w:rPr>
          <w:rFonts w:ascii="Open Sans" w:eastAsia="Times New Roman" w:hAnsi="Open Sans" w:cs="Open Sans"/>
          <w:color w:val="272833"/>
          <w:sz w:val="24"/>
          <w:szCs w:val="24"/>
          <w:lang w:val="en-GB" w:eastAsia="nb-NO"/>
        </w:rPr>
        <w:t>ead of department</w:t>
      </w:r>
      <w:r w:rsidRPr="00752661">
        <w:rPr>
          <w:rFonts w:ascii="Open Sans" w:eastAsia="Times New Roman" w:hAnsi="Open Sans" w:cs="Open Sans"/>
          <w:color w:val="272833"/>
          <w:sz w:val="24"/>
          <w:szCs w:val="24"/>
          <w:lang w:val="en-GB" w:eastAsia="nb-NO"/>
        </w:rPr>
        <w:t>/</w:t>
      </w:r>
      <w:r w:rsidR="00FE060A">
        <w:rPr>
          <w:rFonts w:ascii="Open Sans" w:eastAsia="Times New Roman" w:hAnsi="Open Sans" w:cs="Open Sans"/>
          <w:color w:val="272833"/>
          <w:sz w:val="24"/>
          <w:szCs w:val="24"/>
          <w:lang w:val="en-GB" w:eastAsia="nb-NO"/>
        </w:rPr>
        <w:t>h</w:t>
      </w:r>
      <w:r w:rsidRPr="00752661">
        <w:rPr>
          <w:rFonts w:ascii="Open Sans" w:eastAsia="Times New Roman" w:hAnsi="Open Sans" w:cs="Open Sans"/>
          <w:color w:val="272833"/>
          <w:sz w:val="24"/>
          <w:szCs w:val="24"/>
          <w:lang w:val="en-GB" w:eastAsia="nb-NO"/>
        </w:rPr>
        <w:t xml:space="preserve">ead of </w:t>
      </w:r>
      <w:r w:rsidR="00FE060A">
        <w:rPr>
          <w:rFonts w:ascii="Open Sans" w:eastAsia="Times New Roman" w:hAnsi="Open Sans" w:cs="Open Sans"/>
          <w:color w:val="272833"/>
          <w:sz w:val="24"/>
          <w:szCs w:val="24"/>
          <w:lang w:val="en-GB" w:eastAsia="nb-NO"/>
        </w:rPr>
        <w:t>s</w:t>
      </w:r>
      <w:r w:rsidRPr="00752661">
        <w:rPr>
          <w:rFonts w:ascii="Open Sans" w:eastAsia="Times New Roman" w:hAnsi="Open Sans" w:cs="Open Sans"/>
          <w:color w:val="272833"/>
          <w:sz w:val="24"/>
          <w:szCs w:val="24"/>
          <w:lang w:val="en-GB" w:eastAsia="nb-NO"/>
        </w:rPr>
        <w:t>ection himself/herself appoints experts, as well as special assessors if applicable.</w:t>
      </w:r>
    </w:p>
    <w:p w14:paraId="4DBF5CAC" w14:textId="1172B88E" w:rsidR="00823CA6" w:rsidRDefault="00823CA6"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For positions as a research fellow, postdoc, or researcher it will normally be sufficient that two academic staff members at the department with a minimum doctorate or equivalent qualifications give their opinion on the applicant’s qualifications.</w:t>
      </w:r>
    </w:p>
    <w:p w14:paraId="791EE6D7" w14:textId="7B79DE47" w:rsidR="00823CA6" w:rsidRDefault="00823CA6"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For appointment to additional positions [</w:t>
      </w:r>
      <w:proofErr w:type="spellStart"/>
      <w:r>
        <w:rPr>
          <w:rFonts w:ascii="Open Sans" w:eastAsia="Times New Roman" w:hAnsi="Open Sans" w:cs="Open Sans"/>
          <w:color w:val="272833"/>
          <w:sz w:val="24"/>
          <w:szCs w:val="24"/>
          <w:lang w:val="en-GB" w:eastAsia="nb-NO"/>
        </w:rPr>
        <w:t>bistillinger</w:t>
      </w:r>
      <w:proofErr w:type="spellEnd"/>
      <w:r>
        <w:rPr>
          <w:rFonts w:ascii="Open Sans" w:eastAsia="Times New Roman" w:hAnsi="Open Sans" w:cs="Open Sans"/>
          <w:color w:val="272833"/>
          <w:sz w:val="24"/>
          <w:szCs w:val="24"/>
          <w:lang w:val="en-GB" w:eastAsia="nb-NO"/>
        </w:rPr>
        <w:t xml:space="preserve">] normally ordinary </w:t>
      </w:r>
      <w:r w:rsidR="00BE3E83">
        <w:rPr>
          <w:rFonts w:ascii="Open Sans" w:eastAsia="Times New Roman" w:hAnsi="Open Sans" w:cs="Open Sans"/>
          <w:color w:val="272833"/>
          <w:sz w:val="24"/>
          <w:szCs w:val="24"/>
          <w:lang w:val="en-GB" w:eastAsia="nb-NO"/>
        </w:rPr>
        <w:t xml:space="preserve">expert </w:t>
      </w:r>
      <w:r>
        <w:rPr>
          <w:rFonts w:ascii="Open Sans" w:eastAsia="Times New Roman" w:hAnsi="Open Sans" w:cs="Open Sans"/>
          <w:color w:val="272833"/>
          <w:sz w:val="24"/>
          <w:szCs w:val="24"/>
          <w:lang w:val="en-GB" w:eastAsia="nb-NO"/>
        </w:rPr>
        <w:t>assessment</w:t>
      </w:r>
      <w:r w:rsidR="00BE3E83">
        <w:rPr>
          <w:rFonts w:ascii="Open Sans" w:eastAsia="Times New Roman" w:hAnsi="Open Sans" w:cs="Open Sans"/>
          <w:color w:val="272833"/>
          <w:sz w:val="24"/>
          <w:szCs w:val="24"/>
          <w:lang w:val="en-GB" w:eastAsia="nb-NO"/>
        </w:rPr>
        <w:t xml:space="preserve"> should be carried out. The appointment committee can in exceptional cases decide that ordinary expert assessment can be waived. This exception does not apply to positions as professors. For those who have obtained such a limited competence assessment, and apply for a permanent position or promotion, a new </w:t>
      </w:r>
      <w:r w:rsidR="00E6482B">
        <w:rPr>
          <w:rFonts w:ascii="Open Sans" w:eastAsia="Times New Roman" w:hAnsi="Open Sans" w:cs="Open Sans"/>
          <w:color w:val="272833"/>
          <w:sz w:val="24"/>
          <w:szCs w:val="24"/>
          <w:lang w:val="en-GB" w:eastAsia="nb-NO"/>
        </w:rPr>
        <w:t>assessment based on the ordinary academic, teaching, and/or artistic qualifications which are required shall be conducted.</w:t>
      </w:r>
    </w:p>
    <w:p w14:paraId="3EF334F4" w14:textId="42762CA4" w:rsidR="00752661" w:rsidRPr="00752661" w:rsidRDefault="00E6482B"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For other positions (assistant professor, associate professor</w:t>
      </w:r>
      <w:r w:rsidR="00CF25AC">
        <w:rPr>
          <w:rFonts w:ascii="Open Sans" w:eastAsia="Times New Roman" w:hAnsi="Open Sans" w:cs="Open Sans"/>
          <w:color w:val="272833"/>
          <w:sz w:val="24"/>
          <w:szCs w:val="24"/>
          <w:lang w:val="en-GB" w:eastAsia="nb-NO"/>
        </w:rPr>
        <w:t>,</w:t>
      </w:r>
      <w:r>
        <w:rPr>
          <w:rFonts w:ascii="Open Sans" w:eastAsia="Times New Roman" w:hAnsi="Open Sans" w:cs="Open Sans"/>
          <w:color w:val="272833"/>
          <w:sz w:val="24"/>
          <w:szCs w:val="24"/>
          <w:lang w:val="en-GB" w:eastAsia="nb-NO"/>
        </w:rPr>
        <w:t xml:space="preserve"> and professor) [</w:t>
      </w:r>
      <w:proofErr w:type="spellStart"/>
      <w:r>
        <w:rPr>
          <w:rFonts w:ascii="Open Sans" w:eastAsia="Times New Roman" w:hAnsi="Open Sans" w:cs="Open Sans"/>
          <w:color w:val="272833"/>
          <w:sz w:val="24"/>
          <w:szCs w:val="24"/>
          <w:lang w:val="en-GB" w:eastAsia="nb-NO"/>
        </w:rPr>
        <w:t>universitetslektor</w:t>
      </w:r>
      <w:proofErr w:type="spellEnd"/>
      <w:r>
        <w:rPr>
          <w:rFonts w:ascii="Open Sans" w:eastAsia="Times New Roman" w:hAnsi="Open Sans" w:cs="Open Sans"/>
          <w:color w:val="272833"/>
          <w:sz w:val="24"/>
          <w:szCs w:val="24"/>
          <w:lang w:val="en-GB" w:eastAsia="nb-NO"/>
        </w:rPr>
        <w:t xml:space="preserve">, </w:t>
      </w:r>
      <w:proofErr w:type="spellStart"/>
      <w:r>
        <w:rPr>
          <w:rFonts w:ascii="Open Sans" w:eastAsia="Times New Roman" w:hAnsi="Open Sans" w:cs="Open Sans"/>
          <w:color w:val="272833"/>
          <w:sz w:val="24"/>
          <w:szCs w:val="24"/>
          <w:lang w:val="en-GB" w:eastAsia="nb-NO"/>
        </w:rPr>
        <w:t>førstelektor</w:t>
      </w:r>
      <w:proofErr w:type="spellEnd"/>
      <w:r w:rsidR="00CF25AC">
        <w:rPr>
          <w:rFonts w:ascii="Open Sans" w:eastAsia="Times New Roman" w:hAnsi="Open Sans" w:cs="Open Sans"/>
          <w:color w:val="272833"/>
          <w:sz w:val="24"/>
          <w:szCs w:val="24"/>
          <w:lang w:val="en-GB" w:eastAsia="nb-NO"/>
        </w:rPr>
        <w:t>,</w:t>
      </w:r>
      <w:r>
        <w:rPr>
          <w:rFonts w:ascii="Open Sans" w:eastAsia="Times New Roman" w:hAnsi="Open Sans" w:cs="Open Sans"/>
          <w:color w:val="272833"/>
          <w:sz w:val="24"/>
          <w:szCs w:val="24"/>
          <w:lang w:val="en-GB" w:eastAsia="nb-NO"/>
        </w:rPr>
        <w:t xml:space="preserve"> </w:t>
      </w:r>
      <w:proofErr w:type="spellStart"/>
      <w:r>
        <w:rPr>
          <w:rFonts w:ascii="Open Sans" w:eastAsia="Times New Roman" w:hAnsi="Open Sans" w:cs="Open Sans"/>
          <w:color w:val="272833"/>
          <w:sz w:val="24"/>
          <w:szCs w:val="24"/>
          <w:lang w:val="en-GB" w:eastAsia="nb-NO"/>
        </w:rPr>
        <w:t>dosent</w:t>
      </w:r>
      <w:proofErr w:type="spellEnd"/>
      <w:r w:rsidR="00AD33EA">
        <w:rPr>
          <w:rFonts w:ascii="Open Sans" w:eastAsia="Times New Roman" w:hAnsi="Open Sans" w:cs="Open Sans"/>
          <w:color w:val="272833"/>
          <w:sz w:val="24"/>
          <w:szCs w:val="24"/>
          <w:lang w:val="en-GB" w:eastAsia="nb-NO"/>
        </w:rPr>
        <w:t xml:space="preserve">, </w:t>
      </w:r>
      <w:proofErr w:type="spellStart"/>
      <w:r w:rsidR="00AD33EA">
        <w:rPr>
          <w:rFonts w:ascii="Open Sans" w:eastAsia="Times New Roman" w:hAnsi="Open Sans" w:cs="Open Sans"/>
          <w:color w:val="272833"/>
          <w:sz w:val="24"/>
          <w:szCs w:val="24"/>
          <w:lang w:val="en-GB" w:eastAsia="nb-NO"/>
        </w:rPr>
        <w:t>førsteamanuensis</w:t>
      </w:r>
      <w:proofErr w:type="spellEnd"/>
      <w:r w:rsidR="00AD33EA">
        <w:rPr>
          <w:rFonts w:ascii="Open Sans" w:eastAsia="Times New Roman" w:hAnsi="Open Sans" w:cs="Open Sans"/>
          <w:color w:val="272833"/>
          <w:sz w:val="24"/>
          <w:szCs w:val="24"/>
          <w:lang w:val="en-GB" w:eastAsia="nb-NO"/>
        </w:rPr>
        <w:t>, and professor</w:t>
      </w:r>
      <w:r>
        <w:rPr>
          <w:rFonts w:ascii="Open Sans" w:eastAsia="Times New Roman" w:hAnsi="Open Sans" w:cs="Open Sans"/>
          <w:color w:val="272833"/>
          <w:sz w:val="24"/>
          <w:szCs w:val="24"/>
          <w:lang w:val="en-GB" w:eastAsia="nb-NO"/>
        </w:rPr>
        <w:t xml:space="preserve">], the </w:t>
      </w:r>
      <w:r w:rsidR="00752661" w:rsidRPr="00752661">
        <w:rPr>
          <w:rFonts w:ascii="Open Sans" w:eastAsia="Times New Roman" w:hAnsi="Open Sans" w:cs="Open Sans"/>
          <w:color w:val="272833"/>
          <w:sz w:val="24"/>
          <w:szCs w:val="24"/>
          <w:lang w:val="en-GB" w:eastAsia="nb-NO"/>
        </w:rPr>
        <w:t xml:space="preserve">following applies to </w:t>
      </w:r>
      <w:r w:rsidR="00823CA6">
        <w:rPr>
          <w:rFonts w:ascii="Open Sans" w:eastAsia="Times New Roman" w:hAnsi="Open Sans" w:cs="Open Sans"/>
          <w:color w:val="272833"/>
          <w:sz w:val="24"/>
          <w:szCs w:val="24"/>
          <w:lang w:val="en-GB" w:eastAsia="nb-NO"/>
        </w:rPr>
        <w:t xml:space="preserve">the </w:t>
      </w:r>
      <w:r w:rsidR="00752661" w:rsidRPr="00752661">
        <w:rPr>
          <w:rFonts w:ascii="Open Sans" w:eastAsia="Times New Roman" w:hAnsi="Open Sans" w:cs="Open Sans"/>
          <w:color w:val="272833"/>
          <w:sz w:val="24"/>
          <w:szCs w:val="24"/>
          <w:lang w:val="en-GB" w:eastAsia="nb-NO"/>
        </w:rPr>
        <w:t>appointment of the expert committee and its work:</w:t>
      </w:r>
    </w:p>
    <w:p w14:paraId="13434EB5" w14:textId="3999428F"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eastAsia="nb-NO"/>
        </w:rPr>
      </w:pPr>
      <w:r w:rsidRPr="00752661">
        <w:rPr>
          <w:rFonts w:ascii="Open Sans" w:eastAsia="Times New Roman" w:hAnsi="Open Sans" w:cs="Open Sans"/>
          <w:b/>
          <w:bCs/>
          <w:color w:val="272833"/>
          <w:sz w:val="24"/>
          <w:szCs w:val="24"/>
          <w:lang w:eastAsia="nb-NO"/>
        </w:rPr>
        <w:t>Appointment</w:t>
      </w:r>
    </w:p>
    <w:p w14:paraId="182F35F8" w14:textId="77777777" w:rsidR="00752661" w:rsidRPr="00752661" w:rsidRDefault="00752661" w:rsidP="00CF25AC">
      <w:pPr>
        <w:numPr>
          <w:ilvl w:val="0"/>
          <w:numId w:val="13"/>
        </w:numPr>
        <w:shd w:val="clear" w:color="auto" w:fill="FFFFFF"/>
        <w:spacing w:before="100" w:beforeAutospacing="1" w:after="100" w:afterAutospacing="1" w:line="240" w:lineRule="auto"/>
        <w:rPr>
          <w:rFonts w:ascii="Open Sans" w:eastAsia="Times New Roman" w:hAnsi="Open Sans" w:cs="Open Sans"/>
          <w:color w:val="272833"/>
          <w:sz w:val="24"/>
          <w:szCs w:val="24"/>
          <w:lang w:eastAsia="nb-NO"/>
        </w:rPr>
      </w:pPr>
      <w:r w:rsidRPr="00752661">
        <w:rPr>
          <w:rFonts w:ascii="Open Sans" w:eastAsia="Times New Roman" w:hAnsi="Open Sans" w:cs="Open Sans"/>
          <w:color w:val="272833"/>
          <w:sz w:val="24"/>
          <w:szCs w:val="24"/>
          <w:lang w:val="en-GB" w:eastAsia="nb-NO"/>
        </w:rPr>
        <w:t xml:space="preserve">The number of experts is normally 3. The person who holds the position in question should not be appointed. </w:t>
      </w:r>
      <w:r w:rsidRPr="00752661">
        <w:rPr>
          <w:rFonts w:ascii="Open Sans" w:eastAsia="Times New Roman" w:hAnsi="Open Sans" w:cs="Open Sans"/>
          <w:color w:val="272833"/>
          <w:sz w:val="24"/>
          <w:szCs w:val="24"/>
          <w:lang w:eastAsia="nb-NO"/>
        </w:rPr>
        <w:t xml:space="preserve">The </w:t>
      </w:r>
      <w:proofErr w:type="spellStart"/>
      <w:r w:rsidRPr="00752661">
        <w:rPr>
          <w:rFonts w:ascii="Open Sans" w:eastAsia="Times New Roman" w:hAnsi="Open Sans" w:cs="Open Sans"/>
          <w:color w:val="272833"/>
          <w:sz w:val="24"/>
          <w:szCs w:val="24"/>
          <w:lang w:eastAsia="nb-NO"/>
        </w:rPr>
        <w:t>applicants</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are</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informed</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about</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who</w:t>
      </w:r>
      <w:proofErr w:type="spellEnd"/>
      <w:r w:rsidRPr="00752661">
        <w:rPr>
          <w:rFonts w:ascii="Open Sans" w:eastAsia="Times New Roman" w:hAnsi="Open Sans" w:cs="Open Sans"/>
          <w:color w:val="272833"/>
          <w:sz w:val="24"/>
          <w:szCs w:val="24"/>
          <w:lang w:eastAsia="nb-NO"/>
        </w:rPr>
        <w:t xml:space="preserve"> has </w:t>
      </w:r>
      <w:proofErr w:type="spellStart"/>
      <w:r w:rsidRPr="00752661">
        <w:rPr>
          <w:rFonts w:ascii="Open Sans" w:eastAsia="Times New Roman" w:hAnsi="Open Sans" w:cs="Open Sans"/>
          <w:color w:val="272833"/>
          <w:sz w:val="24"/>
          <w:szCs w:val="24"/>
          <w:lang w:eastAsia="nb-NO"/>
        </w:rPr>
        <w:t>been</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appointed</w:t>
      </w:r>
      <w:proofErr w:type="spellEnd"/>
      <w:r w:rsidRPr="00752661">
        <w:rPr>
          <w:rFonts w:ascii="Open Sans" w:eastAsia="Times New Roman" w:hAnsi="Open Sans" w:cs="Open Sans"/>
          <w:color w:val="272833"/>
          <w:sz w:val="24"/>
          <w:szCs w:val="24"/>
          <w:lang w:eastAsia="nb-NO"/>
        </w:rPr>
        <w:t>.</w:t>
      </w:r>
    </w:p>
    <w:p w14:paraId="6636381E" w14:textId="77777777" w:rsidR="00752661" w:rsidRPr="00752661" w:rsidRDefault="00752661" w:rsidP="00CF25AC">
      <w:pPr>
        <w:numPr>
          <w:ilvl w:val="0"/>
          <w:numId w:val="13"/>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An administrator for the experts is appointed to coordinate the work and ensure progress. The administrator may also be an internal expert from NTNU. The administrator has a key role in ensuring progress in the committee. If possible, the administrator should therefore be selected from employees who are already involved in the department’s day-to-day operations by virtue of their position or office, such as the deputy head.</w:t>
      </w:r>
    </w:p>
    <w:p w14:paraId="4913CC9C" w14:textId="27C10519" w:rsidR="00752661" w:rsidRPr="00752661" w:rsidRDefault="00752661" w:rsidP="00CF25AC">
      <w:pPr>
        <w:numPr>
          <w:ilvl w:val="0"/>
          <w:numId w:val="13"/>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proofErr w:type="gramStart"/>
      <w:r w:rsidRPr="00752661">
        <w:rPr>
          <w:rFonts w:ascii="Open Sans" w:eastAsia="Times New Roman" w:hAnsi="Open Sans" w:cs="Open Sans"/>
          <w:color w:val="272833"/>
          <w:sz w:val="24"/>
          <w:szCs w:val="24"/>
          <w:lang w:val="en-GB" w:eastAsia="nb-NO"/>
        </w:rPr>
        <w:t>As a general rule</w:t>
      </w:r>
      <w:proofErr w:type="gramEnd"/>
      <w:r w:rsidRPr="00752661">
        <w:rPr>
          <w:rFonts w:ascii="Open Sans" w:eastAsia="Times New Roman" w:hAnsi="Open Sans" w:cs="Open Sans"/>
          <w:color w:val="272833"/>
          <w:sz w:val="24"/>
          <w:szCs w:val="24"/>
          <w:lang w:val="en-GB" w:eastAsia="nb-NO"/>
        </w:rPr>
        <w:t xml:space="preserve">, the experts must issue a joint statement; if there is a dissenting opinion in a joint statement, reasons must be given. The </w:t>
      </w:r>
      <w:r w:rsidR="00FE060A">
        <w:rPr>
          <w:rFonts w:ascii="Open Sans" w:eastAsia="Times New Roman" w:hAnsi="Open Sans" w:cs="Open Sans"/>
          <w:color w:val="272833"/>
          <w:sz w:val="24"/>
          <w:szCs w:val="24"/>
          <w:lang w:val="en-GB" w:eastAsia="nb-NO"/>
        </w:rPr>
        <w:t>h</w:t>
      </w:r>
      <w:r w:rsidR="00CF25AC">
        <w:rPr>
          <w:rFonts w:ascii="Open Sans" w:eastAsia="Times New Roman" w:hAnsi="Open Sans" w:cs="Open Sans"/>
          <w:color w:val="272833"/>
          <w:sz w:val="24"/>
          <w:szCs w:val="24"/>
          <w:lang w:val="en-GB" w:eastAsia="nb-NO"/>
        </w:rPr>
        <w:t>ead of department</w:t>
      </w:r>
      <w:r w:rsidRPr="00752661">
        <w:rPr>
          <w:rFonts w:ascii="Open Sans" w:eastAsia="Times New Roman" w:hAnsi="Open Sans" w:cs="Open Sans"/>
          <w:color w:val="272833"/>
          <w:sz w:val="24"/>
          <w:szCs w:val="24"/>
          <w:lang w:val="en-GB" w:eastAsia="nb-NO"/>
        </w:rPr>
        <w:t xml:space="preserve"> decides whether the experts can submit separate statements.</w:t>
      </w:r>
    </w:p>
    <w:p w14:paraId="179D643A" w14:textId="77777777" w:rsidR="00752661" w:rsidRPr="00752661" w:rsidRDefault="00752661" w:rsidP="00CF25AC">
      <w:pPr>
        <w:numPr>
          <w:ilvl w:val="0"/>
          <w:numId w:val="13"/>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As a minimum, the experts must have academic and teaching competence equivalent to that required of the applicants to the position within the subject area of the position; see also clause f). For assessment of associate professor competence, at least one of the experts must have qualifications exceeding those required for associate professors. One of </w:t>
      </w:r>
      <w:r w:rsidRPr="00752661">
        <w:rPr>
          <w:rFonts w:ascii="Open Sans" w:eastAsia="Times New Roman" w:hAnsi="Open Sans" w:cs="Open Sans"/>
          <w:color w:val="272833"/>
          <w:sz w:val="24"/>
          <w:szCs w:val="24"/>
          <w:lang w:val="en-GB" w:eastAsia="nb-NO"/>
        </w:rPr>
        <w:lastRenderedPageBreak/>
        <w:t>the members may, as an alternative to documented academic production, have documented high professional or artistic competence from a senior position with broad responsibility for research and/or development in the subject area of the position.</w:t>
      </w:r>
    </w:p>
    <w:p w14:paraId="0C1AB999" w14:textId="77777777" w:rsidR="00752661" w:rsidRPr="00752661" w:rsidRDefault="00752661" w:rsidP="00CF25AC">
      <w:pPr>
        <w:numPr>
          <w:ilvl w:val="0"/>
          <w:numId w:val="13"/>
        </w:numPr>
        <w:shd w:val="clear" w:color="auto" w:fill="FFFFFF"/>
        <w:spacing w:before="100" w:beforeAutospacing="1" w:after="100" w:afterAutospacing="1" w:line="240" w:lineRule="auto"/>
        <w:rPr>
          <w:rFonts w:ascii="Open Sans" w:eastAsia="Times New Roman" w:hAnsi="Open Sans" w:cs="Open Sans"/>
          <w:color w:val="272833"/>
          <w:sz w:val="24"/>
          <w:szCs w:val="24"/>
          <w:lang w:eastAsia="nb-NO"/>
        </w:rPr>
      </w:pPr>
      <w:r w:rsidRPr="00752661">
        <w:rPr>
          <w:rFonts w:ascii="Open Sans" w:eastAsia="Times New Roman" w:hAnsi="Open Sans" w:cs="Open Sans"/>
          <w:color w:val="272833"/>
          <w:sz w:val="24"/>
          <w:szCs w:val="24"/>
          <w:lang w:val="en-GB" w:eastAsia="nb-NO"/>
        </w:rPr>
        <w:t xml:space="preserve">Only one of the experts may be employed in a full-time or additional position at NTNU. As far as possible, and in the subject areas where it is natural, one of the experts shall be from another country. </w:t>
      </w:r>
      <w:proofErr w:type="spellStart"/>
      <w:r w:rsidRPr="00752661">
        <w:rPr>
          <w:rFonts w:ascii="Open Sans" w:eastAsia="Times New Roman" w:hAnsi="Open Sans" w:cs="Open Sans"/>
          <w:color w:val="272833"/>
          <w:sz w:val="24"/>
          <w:szCs w:val="24"/>
          <w:lang w:eastAsia="nb-NO"/>
        </w:rPr>
        <w:t>Both</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genders</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shall</w:t>
      </w:r>
      <w:proofErr w:type="spellEnd"/>
      <w:r w:rsidRPr="00752661">
        <w:rPr>
          <w:rFonts w:ascii="Open Sans" w:eastAsia="Times New Roman" w:hAnsi="Open Sans" w:cs="Open Sans"/>
          <w:color w:val="272833"/>
          <w:sz w:val="24"/>
          <w:szCs w:val="24"/>
          <w:lang w:eastAsia="nb-NO"/>
        </w:rPr>
        <w:t xml:space="preserve"> be </w:t>
      </w:r>
      <w:proofErr w:type="spellStart"/>
      <w:r w:rsidRPr="00752661">
        <w:rPr>
          <w:rFonts w:ascii="Open Sans" w:eastAsia="Times New Roman" w:hAnsi="Open Sans" w:cs="Open Sans"/>
          <w:color w:val="272833"/>
          <w:sz w:val="24"/>
          <w:szCs w:val="24"/>
          <w:lang w:eastAsia="nb-NO"/>
        </w:rPr>
        <w:t>represented</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among</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the</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experts</w:t>
      </w:r>
      <w:proofErr w:type="spellEnd"/>
      <w:r w:rsidRPr="00752661">
        <w:rPr>
          <w:rFonts w:ascii="Open Sans" w:eastAsia="Times New Roman" w:hAnsi="Open Sans" w:cs="Open Sans"/>
          <w:color w:val="272833"/>
          <w:sz w:val="24"/>
          <w:szCs w:val="24"/>
          <w:lang w:eastAsia="nb-NO"/>
        </w:rPr>
        <w:t>.</w:t>
      </w:r>
    </w:p>
    <w:p w14:paraId="6D6FC85A" w14:textId="77777777" w:rsidR="00CF25AC" w:rsidRDefault="00752661" w:rsidP="00CF25AC">
      <w:pPr>
        <w:numPr>
          <w:ilvl w:val="0"/>
          <w:numId w:val="13"/>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In special cases, one or more special assessors may be appointed to report on parts of the applicants’ production. These have an advisory role with respect to the experts and submit separate statements, which are sent to the ordinary experts.</w:t>
      </w:r>
    </w:p>
    <w:p w14:paraId="055C9945" w14:textId="0B87A273" w:rsidR="00752661" w:rsidRPr="00752661" w:rsidRDefault="00752661" w:rsidP="00CF25AC">
      <w:pPr>
        <w:numPr>
          <w:ilvl w:val="0"/>
          <w:numId w:val="13"/>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expert committee must follow the guidelines in effect for assessment. The assessment must be available within 3 months after the applicants’ works have been sent to the expert committee.</w:t>
      </w:r>
    </w:p>
    <w:p w14:paraId="4C70993F" w14:textId="77777777" w:rsidR="00752661" w:rsidRPr="00752661" w:rsidRDefault="00752661" w:rsidP="00CF25AC">
      <w:pPr>
        <w:numPr>
          <w:ilvl w:val="0"/>
          <w:numId w:val="13"/>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To enable a moderate gender quota system, the assessment must make it clear whether the qualifications of the applicants in question are approximately equivalent or not if there are applicants of both genders.</w:t>
      </w:r>
    </w:p>
    <w:p w14:paraId="16B3F409" w14:textId="77777777" w:rsidR="00752661" w:rsidRPr="00752661" w:rsidRDefault="00752661" w:rsidP="00CF25AC">
      <w:pPr>
        <w:numPr>
          <w:ilvl w:val="0"/>
          <w:numId w:val="13"/>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expert statement in its entirety is sent to the applicants for their information, and they are given a time limit to comment on the statement.</w:t>
      </w:r>
    </w:p>
    <w:p w14:paraId="10A5B133" w14:textId="393354EF" w:rsidR="00752661" w:rsidRPr="00752661" w:rsidRDefault="00CF25AC"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b/>
          <w:bCs/>
          <w:color w:val="272833"/>
          <w:sz w:val="24"/>
          <w:szCs w:val="24"/>
          <w:lang w:val="en-GB" w:eastAsia="nb-NO"/>
        </w:rPr>
        <w:t>The e</w:t>
      </w:r>
      <w:r w:rsidR="00752661" w:rsidRPr="00752661">
        <w:rPr>
          <w:rFonts w:ascii="Open Sans" w:eastAsia="Times New Roman" w:hAnsi="Open Sans" w:cs="Open Sans"/>
          <w:b/>
          <w:bCs/>
          <w:color w:val="272833"/>
          <w:sz w:val="24"/>
          <w:szCs w:val="24"/>
          <w:lang w:val="en-GB" w:eastAsia="nb-NO"/>
        </w:rPr>
        <w:t>xpert assessment is based on</w:t>
      </w:r>
    </w:p>
    <w:p w14:paraId="3F8BA048" w14:textId="77777777" w:rsidR="00752661" w:rsidRPr="00752661" w:rsidRDefault="00752661" w:rsidP="00CF25AC">
      <w:pPr>
        <w:numPr>
          <w:ilvl w:val="0"/>
          <w:numId w:val="14"/>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applicant’s submitted academic and/or artistic works (normally 5-10 works depending on the tradition associated with the subject),</w:t>
      </w:r>
    </w:p>
    <w:p w14:paraId="6A90D12E" w14:textId="702C0E3B" w:rsidR="00752661" w:rsidRPr="00752661" w:rsidRDefault="00752661" w:rsidP="00CF25AC">
      <w:pPr>
        <w:numPr>
          <w:ilvl w:val="0"/>
          <w:numId w:val="14"/>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the applicant’s description of their works in relation to the description of the position, with emphasis on the works that the applicant regards as most significant and that the applicant </w:t>
      </w:r>
      <w:r w:rsidR="00CF25AC">
        <w:rPr>
          <w:rFonts w:ascii="Open Sans" w:eastAsia="Times New Roman" w:hAnsi="Open Sans" w:cs="Open Sans"/>
          <w:color w:val="272833"/>
          <w:sz w:val="24"/>
          <w:szCs w:val="24"/>
          <w:lang w:val="en-GB" w:eastAsia="nb-NO"/>
        </w:rPr>
        <w:t>especially</w:t>
      </w:r>
      <w:r w:rsidRPr="00752661">
        <w:rPr>
          <w:rFonts w:ascii="Open Sans" w:eastAsia="Times New Roman" w:hAnsi="Open Sans" w:cs="Open Sans"/>
          <w:color w:val="272833"/>
          <w:sz w:val="24"/>
          <w:szCs w:val="24"/>
          <w:lang w:val="en-GB" w:eastAsia="nb-NO"/>
        </w:rPr>
        <w:t xml:space="preserve"> wishes to be used as </w:t>
      </w:r>
      <w:r w:rsidR="00CF25AC">
        <w:rPr>
          <w:rFonts w:ascii="Open Sans" w:eastAsia="Times New Roman" w:hAnsi="Open Sans" w:cs="Open Sans"/>
          <w:color w:val="272833"/>
          <w:sz w:val="24"/>
          <w:szCs w:val="24"/>
          <w:lang w:val="en-GB" w:eastAsia="nb-NO"/>
        </w:rPr>
        <w:t xml:space="preserve">the </w:t>
      </w:r>
      <w:r w:rsidRPr="00752661">
        <w:rPr>
          <w:rFonts w:ascii="Open Sans" w:eastAsia="Times New Roman" w:hAnsi="Open Sans" w:cs="Open Sans"/>
          <w:color w:val="272833"/>
          <w:sz w:val="24"/>
          <w:szCs w:val="24"/>
          <w:lang w:val="en-GB" w:eastAsia="nb-NO"/>
        </w:rPr>
        <w:t>basis for the assessment, as well as</w:t>
      </w:r>
    </w:p>
    <w:p w14:paraId="50B5C88C" w14:textId="77777777" w:rsidR="00752661" w:rsidRPr="00752661" w:rsidRDefault="00752661" w:rsidP="00CF25AC">
      <w:pPr>
        <w:numPr>
          <w:ilvl w:val="0"/>
          <w:numId w:val="14"/>
        </w:numPr>
        <w:shd w:val="clear" w:color="auto" w:fill="FFFFFF"/>
        <w:spacing w:before="100" w:beforeAutospacing="1" w:after="100" w:afterAutospacing="1" w:line="240" w:lineRule="auto"/>
        <w:rPr>
          <w:rFonts w:ascii="Open Sans" w:eastAsia="Times New Roman" w:hAnsi="Open Sans" w:cs="Open Sans"/>
          <w:color w:val="272833"/>
          <w:sz w:val="24"/>
          <w:szCs w:val="24"/>
          <w:lang w:eastAsia="nb-NO"/>
        </w:rPr>
      </w:pPr>
      <w:r w:rsidRPr="00752661">
        <w:rPr>
          <w:rFonts w:ascii="Open Sans" w:eastAsia="Times New Roman" w:hAnsi="Open Sans" w:cs="Open Sans"/>
          <w:color w:val="272833"/>
          <w:sz w:val="24"/>
          <w:szCs w:val="24"/>
          <w:lang w:val="en-GB" w:eastAsia="nb-NO"/>
        </w:rPr>
        <w:t xml:space="preserve">a list of all the applicant’s works with information on where they have been published. </w:t>
      </w:r>
      <w:r w:rsidRPr="00752661">
        <w:rPr>
          <w:rFonts w:ascii="Open Sans" w:eastAsia="Times New Roman" w:hAnsi="Open Sans" w:cs="Open Sans"/>
          <w:color w:val="272833"/>
          <w:sz w:val="24"/>
          <w:szCs w:val="24"/>
          <w:lang w:eastAsia="nb-NO"/>
        </w:rPr>
        <w:t>[4]</w:t>
      </w:r>
    </w:p>
    <w:p w14:paraId="68DB7FD8" w14:textId="77777777" w:rsidR="00752661" w:rsidRPr="00752661" w:rsidRDefault="00752661" w:rsidP="00CF25AC">
      <w:pPr>
        <w:numPr>
          <w:ilvl w:val="0"/>
          <w:numId w:val="14"/>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unit’s strategic staffing plan that forms the basis for the description of the position.</w:t>
      </w:r>
    </w:p>
    <w:p w14:paraId="47C46B44"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The applicants must be considered from the perspective of</w:t>
      </w:r>
    </w:p>
    <w:p w14:paraId="02BE84D6" w14:textId="77777777" w:rsidR="00880DBE" w:rsidRDefault="00752661" w:rsidP="00880DBE">
      <w:pPr>
        <w:numPr>
          <w:ilvl w:val="0"/>
          <w:numId w:val="15"/>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Academic/artistic qualifications. The main emphasis in the </w:t>
      </w:r>
      <w:r w:rsidR="00880DBE">
        <w:rPr>
          <w:rFonts w:ascii="Open Sans" w:eastAsia="Times New Roman" w:hAnsi="Open Sans" w:cs="Open Sans"/>
          <w:color w:val="272833"/>
          <w:sz w:val="24"/>
          <w:szCs w:val="24"/>
          <w:lang w:val="en-GB" w:eastAsia="nb-NO"/>
        </w:rPr>
        <w:t>comprehensive</w:t>
      </w:r>
      <w:r w:rsidRPr="00752661">
        <w:rPr>
          <w:rFonts w:ascii="Open Sans" w:eastAsia="Times New Roman" w:hAnsi="Open Sans" w:cs="Open Sans"/>
          <w:color w:val="272833"/>
          <w:sz w:val="24"/>
          <w:szCs w:val="24"/>
          <w:lang w:val="en-GB" w:eastAsia="nb-NO"/>
        </w:rPr>
        <w:t xml:space="preserve"> assessment of the applicants is placed on the submitted academic works/documented artistic activities. NTNU adheres to the principles of the </w:t>
      </w:r>
      <w:hyperlink r:id="rId17" w:history="1">
        <w:r w:rsidRPr="00752661">
          <w:rPr>
            <w:rFonts w:ascii="Open Sans" w:eastAsia="Times New Roman" w:hAnsi="Open Sans" w:cs="Open Sans"/>
            <w:color w:val="0B5FFF"/>
            <w:sz w:val="24"/>
            <w:szCs w:val="24"/>
            <w:u w:val="single"/>
            <w:lang w:val="en-GB" w:eastAsia="nb-NO"/>
          </w:rPr>
          <w:t>San Francisco Declaration on Research Assessment (DORA</w:t>
        </w:r>
      </w:hyperlink>
      <w:r w:rsidRPr="00752661">
        <w:rPr>
          <w:rFonts w:ascii="Open Sans" w:eastAsia="Times New Roman" w:hAnsi="Open Sans" w:cs="Open Sans"/>
          <w:color w:val="272833"/>
          <w:sz w:val="24"/>
          <w:szCs w:val="24"/>
          <w:lang w:val="en-GB" w:eastAsia="nb-NO"/>
        </w:rPr>
        <w:t>) and the commitments of the </w:t>
      </w:r>
      <w:hyperlink r:id="rId18" w:history="1">
        <w:r w:rsidRPr="00752661">
          <w:rPr>
            <w:rFonts w:ascii="Open Sans" w:eastAsia="Times New Roman" w:hAnsi="Open Sans" w:cs="Open Sans"/>
            <w:color w:val="0B5FFF"/>
            <w:sz w:val="24"/>
            <w:szCs w:val="24"/>
            <w:u w:val="single"/>
            <w:lang w:val="en-GB" w:eastAsia="nb-NO"/>
          </w:rPr>
          <w:t>Coalition for Advancing Research Assessment (</w:t>
        </w:r>
        <w:proofErr w:type="spellStart"/>
        <w:r w:rsidRPr="00752661">
          <w:rPr>
            <w:rFonts w:ascii="Open Sans" w:eastAsia="Times New Roman" w:hAnsi="Open Sans" w:cs="Open Sans"/>
            <w:color w:val="0B5FFF"/>
            <w:sz w:val="24"/>
            <w:szCs w:val="24"/>
            <w:u w:val="single"/>
            <w:lang w:val="en-GB" w:eastAsia="nb-NO"/>
          </w:rPr>
          <w:t>CoARA</w:t>
        </w:r>
        <w:proofErr w:type="spellEnd"/>
        <w:r w:rsidRPr="00752661">
          <w:rPr>
            <w:rFonts w:ascii="Open Sans" w:eastAsia="Times New Roman" w:hAnsi="Open Sans" w:cs="Open Sans"/>
            <w:color w:val="0B5FFF"/>
            <w:sz w:val="24"/>
            <w:szCs w:val="24"/>
            <w:u w:val="single"/>
            <w:lang w:val="en-GB" w:eastAsia="nb-NO"/>
          </w:rPr>
          <w:t>)</w:t>
        </w:r>
      </w:hyperlink>
      <w:r w:rsidRPr="00752661">
        <w:rPr>
          <w:rFonts w:ascii="Open Sans" w:eastAsia="Times New Roman" w:hAnsi="Open Sans" w:cs="Open Sans"/>
          <w:color w:val="272833"/>
          <w:sz w:val="24"/>
          <w:szCs w:val="24"/>
          <w:lang w:val="en-GB" w:eastAsia="nb-NO"/>
        </w:rPr>
        <w:t xml:space="preserve">. This implies a special emphasis on the quality of these works/artistic activities and the disciplinary breadth that they document, </w:t>
      </w:r>
      <w:r w:rsidRPr="00752661">
        <w:rPr>
          <w:rFonts w:ascii="Open Sans" w:eastAsia="Times New Roman" w:hAnsi="Open Sans" w:cs="Open Sans"/>
          <w:color w:val="272833"/>
          <w:sz w:val="24"/>
          <w:szCs w:val="24"/>
          <w:lang w:val="en-GB" w:eastAsia="nb-NO"/>
        </w:rPr>
        <w:lastRenderedPageBreak/>
        <w:t xml:space="preserve">not solely on counts of bibliometric data. Research management and participation in research projects must also be </w:t>
      </w:r>
      <w:proofErr w:type="gramStart"/>
      <w:r w:rsidRPr="00752661">
        <w:rPr>
          <w:rFonts w:ascii="Open Sans" w:eastAsia="Times New Roman" w:hAnsi="Open Sans" w:cs="Open Sans"/>
          <w:color w:val="272833"/>
          <w:sz w:val="24"/>
          <w:szCs w:val="24"/>
          <w:lang w:val="en-GB" w:eastAsia="nb-NO"/>
        </w:rPr>
        <w:t>taken into account</w:t>
      </w:r>
      <w:proofErr w:type="gramEnd"/>
      <w:r w:rsidRPr="00752661">
        <w:rPr>
          <w:rFonts w:ascii="Open Sans" w:eastAsia="Times New Roman" w:hAnsi="Open Sans" w:cs="Open Sans"/>
          <w:color w:val="272833"/>
          <w:sz w:val="24"/>
          <w:szCs w:val="24"/>
          <w:lang w:val="en-GB" w:eastAsia="nb-NO"/>
        </w:rPr>
        <w:t xml:space="preserve"> if the activities are adequately documented.</w:t>
      </w:r>
    </w:p>
    <w:p w14:paraId="5553FBD3" w14:textId="285FADE5" w:rsidR="00752661" w:rsidRDefault="001B2AB7" w:rsidP="001B2AB7">
      <w:pPr>
        <w:shd w:val="clear" w:color="auto" w:fill="FFFFFF"/>
        <w:spacing w:before="100" w:beforeAutospacing="1" w:after="100" w:afterAutospacing="1" w:line="240" w:lineRule="auto"/>
        <w:ind w:left="720"/>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The asse</w:t>
      </w:r>
      <w:r w:rsidR="00880DBE" w:rsidRPr="00880DBE">
        <w:rPr>
          <w:rFonts w:ascii="Open Sans" w:eastAsia="Times New Roman" w:hAnsi="Open Sans" w:cs="Open Sans"/>
          <w:color w:val="272833"/>
          <w:sz w:val="24"/>
          <w:szCs w:val="24"/>
          <w:lang w:val="en-GB" w:eastAsia="nb-NO"/>
        </w:rPr>
        <w:t>ssment shall be based on the form of presentation in the scientific works. The review should state which documented qualifications the assessment is based on.</w:t>
      </w:r>
    </w:p>
    <w:p w14:paraId="5F0F5644" w14:textId="77777777" w:rsidR="001B2AB7" w:rsidRPr="00752661" w:rsidRDefault="001B2AB7" w:rsidP="001B2AB7">
      <w:pPr>
        <w:numPr>
          <w:ilvl w:val="0"/>
          <w:numId w:val="15"/>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Dissemination. Documented initiatives to disseminate knowledge about academic methods and results must be emphasized.</w:t>
      </w:r>
    </w:p>
    <w:p w14:paraId="7ED7FEE7" w14:textId="7A0F7AF0" w:rsidR="001B2AB7" w:rsidRDefault="00D9286E" w:rsidP="00880DBE">
      <w:pPr>
        <w:numPr>
          <w:ilvl w:val="0"/>
          <w:numId w:val="15"/>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 xml:space="preserve">Other </w:t>
      </w:r>
      <w:r w:rsidR="001B2AB7">
        <w:rPr>
          <w:rFonts w:ascii="Open Sans" w:eastAsia="Times New Roman" w:hAnsi="Open Sans" w:cs="Open Sans"/>
          <w:color w:val="272833"/>
          <w:sz w:val="24"/>
          <w:szCs w:val="24"/>
          <w:lang w:val="en-GB" w:eastAsia="nb-NO"/>
        </w:rPr>
        <w:t>academic qualifications which are required or highlig</w:t>
      </w:r>
      <w:r>
        <w:rPr>
          <w:rFonts w:ascii="Open Sans" w:eastAsia="Times New Roman" w:hAnsi="Open Sans" w:cs="Open Sans"/>
          <w:color w:val="272833"/>
          <w:sz w:val="24"/>
          <w:szCs w:val="24"/>
          <w:lang w:val="en-GB" w:eastAsia="nb-NO"/>
        </w:rPr>
        <w:t>h</w:t>
      </w:r>
      <w:r w:rsidR="001B2AB7">
        <w:rPr>
          <w:rFonts w:ascii="Open Sans" w:eastAsia="Times New Roman" w:hAnsi="Open Sans" w:cs="Open Sans"/>
          <w:color w:val="272833"/>
          <w:sz w:val="24"/>
          <w:szCs w:val="24"/>
          <w:lang w:val="en-GB" w:eastAsia="nb-NO"/>
        </w:rPr>
        <w:t xml:space="preserve">ted </w:t>
      </w:r>
      <w:r>
        <w:rPr>
          <w:rFonts w:ascii="Open Sans" w:eastAsia="Times New Roman" w:hAnsi="Open Sans" w:cs="Open Sans"/>
          <w:color w:val="272833"/>
          <w:sz w:val="24"/>
          <w:szCs w:val="24"/>
          <w:lang w:val="en-GB" w:eastAsia="nb-NO"/>
        </w:rPr>
        <w:t xml:space="preserve">in the description of the position. The assessment must be based on submitted material and </w:t>
      </w:r>
      <w:r w:rsidR="0026184F" w:rsidRPr="00752661">
        <w:rPr>
          <w:rFonts w:ascii="Open Sans" w:eastAsia="Times New Roman" w:hAnsi="Open Sans" w:cs="Open Sans"/>
          <w:color w:val="272833"/>
          <w:sz w:val="24"/>
          <w:szCs w:val="24"/>
          <w:lang w:val="en-GB" w:eastAsia="nb-NO"/>
        </w:rPr>
        <w:t>documented circumstances</w:t>
      </w:r>
      <w:r>
        <w:rPr>
          <w:rFonts w:ascii="Open Sans" w:eastAsia="Times New Roman" w:hAnsi="Open Sans" w:cs="Open Sans"/>
          <w:color w:val="272833"/>
          <w:sz w:val="24"/>
          <w:szCs w:val="24"/>
          <w:lang w:val="en-GB" w:eastAsia="nb-NO"/>
        </w:rPr>
        <w:t>.</w:t>
      </w:r>
    </w:p>
    <w:p w14:paraId="68BFEADE" w14:textId="1E021978" w:rsidR="00D9286E" w:rsidRDefault="00D9286E" w:rsidP="00D9286E">
      <w:pPr>
        <w:numPr>
          <w:ilvl w:val="0"/>
          <w:numId w:val="15"/>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Leadership qualifications. Emphasis is placed on education and experience in administration and management as well as experience from relevant </w:t>
      </w:r>
      <w:r>
        <w:rPr>
          <w:rFonts w:ascii="Open Sans" w:eastAsia="Times New Roman" w:hAnsi="Open Sans" w:cs="Open Sans"/>
          <w:color w:val="272833"/>
          <w:sz w:val="24"/>
          <w:szCs w:val="24"/>
          <w:lang w:val="en-GB" w:eastAsia="nb-NO"/>
        </w:rPr>
        <w:t>leadership roles</w:t>
      </w:r>
      <w:r w:rsidRPr="00752661">
        <w:rPr>
          <w:rFonts w:ascii="Open Sans" w:eastAsia="Times New Roman" w:hAnsi="Open Sans" w:cs="Open Sans"/>
          <w:color w:val="272833"/>
          <w:sz w:val="24"/>
          <w:szCs w:val="24"/>
          <w:lang w:val="en-GB" w:eastAsia="nb-NO"/>
        </w:rPr>
        <w:t>.</w:t>
      </w:r>
    </w:p>
    <w:p w14:paraId="5197DBF9" w14:textId="361546EE" w:rsidR="00D9286E" w:rsidRPr="00752661" w:rsidRDefault="00D9286E" w:rsidP="00D9286E">
      <w:pPr>
        <w:numPr>
          <w:ilvl w:val="0"/>
          <w:numId w:val="15"/>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Other activities that, according to the description of the position, are required and/or regarded as qualifying, for example</w:t>
      </w:r>
      <w:r w:rsidR="0026184F">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industrial experience, including business start-ups or other forms of entrepreneurship, in which the applicant’s own research and development work has been used as the basis. Experience from or development work in the field of practice may be emphasized. Emphasis may also be placed on patents that have been granted, where these are based on the applicant’s own professional work. The evaluation is based on submitted material and documented circumstances.</w:t>
      </w:r>
    </w:p>
    <w:p w14:paraId="41AFF0DF" w14:textId="25E78740" w:rsidR="0026184F" w:rsidRPr="0026184F" w:rsidRDefault="00752661" w:rsidP="0026184F">
      <w:pPr>
        <w:pStyle w:val="Listeavsnitt"/>
        <w:numPr>
          <w:ilvl w:val="0"/>
          <w:numId w:val="15"/>
        </w:numPr>
        <w:shd w:val="clear" w:color="auto" w:fill="FFFFFF"/>
        <w:spacing w:after="100" w:afterAutospacing="1" w:line="240" w:lineRule="auto"/>
        <w:rPr>
          <w:rFonts w:ascii="Open Sans" w:eastAsia="Times New Roman" w:hAnsi="Open Sans" w:cs="Open Sans"/>
          <w:color w:val="272833"/>
          <w:sz w:val="24"/>
          <w:szCs w:val="24"/>
          <w:lang w:val="en-GB" w:eastAsia="nb-NO"/>
        </w:rPr>
      </w:pPr>
      <w:r w:rsidRPr="0026184F">
        <w:rPr>
          <w:rFonts w:ascii="Open Sans" w:eastAsia="Times New Roman" w:hAnsi="Open Sans" w:cs="Open Sans"/>
          <w:color w:val="272833"/>
          <w:sz w:val="24"/>
          <w:szCs w:val="24"/>
          <w:lang w:val="en-GB" w:eastAsia="nb-NO"/>
        </w:rPr>
        <w:t>Teaching competence</w:t>
      </w:r>
      <w:r w:rsidR="0026184F" w:rsidRPr="0026184F">
        <w:rPr>
          <w:rFonts w:ascii="Open Sans" w:eastAsia="Times New Roman" w:hAnsi="Open Sans" w:cs="Open Sans"/>
          <w:color w:val="272833"/>
          <w:sz w:val="24"/>
          <w:szCs w:val="24"/>
          <w:lang w:val="en-GB" w:eastAsia="nb-NO"/>
        </w:rPr>
        <w:t>.</w:t>
      </w:r>
      <w:r w:rsidR="0026184F" w:rsidRPr="0026184F">
        <w:rPr>
          <w:rFonts w:ascii="Open Sans" w:eastAsia="Times New Roman" w:hAnsi="Open Sans" w:cs="Open Sans"/>
          <w:color w:val="272833"/>
          <w:sz w:val="24"/>
          <w:szCs w:val="24"/>
          <w:lang w:val="en-GB" w:eastAsia="nb-NO"/>
        </w:rPr>
        <w:br/>
      </w:r>
      <w:r w:rsidR="0026184F" w:rsidRPr="0026184F">
        <w:rPr>
          <w:rFonts w:ascii="Open Sans" w:eastAsia="Times New Roman" w:hAnsi="Open Sans" w:cs="Open Sans"/>
          <w:color w:val="272833"/>
          <w:sz w:val="24"/>
          <w:szCs w:val="24"/>
          <w:lang w:val="en-GB" w:eastAsia="nb-NO"/>
        </w:rPr>
        <w:br/>
        <w:t>For appointment to the position of associate professor</w:t>
      </w:r>
      <w:r w:rsidR="0026184F">
        <w:rPr>
          <w:rFonts w:ascii="Open Sans" w:eastAsia="Times New Roman" w:hAnsi="Open Sans" w:cs="Open Sans"/>
          <w:color w:val="272833"/>
          <w:sz w:val="24"/>
          <w:szCs w:val="24"/>
          <w:lang w:val="en-GB" w:eastAsia="nb-NO"/>
        </w:rPr>
        <w:t xml:space="preserve"> [incl. </w:t>
      </w:r>
      <w:proofErr w:type="spellStart"/>
      <w:r w:rsidR="0026184F">
        <w:rPr>
          <w:rFonts w:ascii="Open Sans" w:eastAsia="Times New Roman" w:hAnsi="Open Sans" w:cs="Open Sans"/>
          <w:color w:val="272833"/>
          <w:sz w:val="24"/>
          <w:szCs w:val="24"/>
          <w:lang w:val="en-GB" w:eastAsia="nb-NO"/>
        </w:rPr>
        <w:t>førstelektor</w:t>
      </w:r>
      <w:proofErr w:type="spellEnd"/>
      <w:r w:rsidR="0026184F">
        <w:rPr>
          <w:rFonts w:ascii="Open Sans" w:eastAsia="Times New Roman" w:hAnsi="Open Sans" w:cs="Open Sans"/>
          <w:color w:val="272833"/>
          <w:sz w:val="24"/>
          <w:szCs w:val="24"/>
          <w:lang w:val="en-GB" w:eastAsia="nb-NO"/>
        </w:rPr>
        <w:t>]</w:t>
      </w:r>
      <w:r w:rsidR="0026184F" w:rsidRPr="0026184F">
        <w:rPr>
          <w:rFonts w:ascii="Open Sans" w:eastAsia="Times New Roman" w:hAnsi="Open Sans" w:cs="Open Sans"/>
          <w:color w:val="272833"/>
          <w:sz w:val="24"/>
          <w:szCs w:val="24"/>
          <w:lang w:val="en-GB" w:eastAsia="nb-NO"/>
        </w:rPr>
        <w:t>, applicants must be assessed on whether they meet the following requirements:</w:t>
      </w:r>
    </w:p>
    <w:p w14:paraId="15B8783A" w14:textId="5571F6CB" w:rsidR="0026184F" w:rsidRPr="00752661" w:rsidRDefault="0026184F" w:rsidP="0026184F">
      <w:pPr>
        <w:shd w:val="clear" w:color="auto" w:fill="FFFFFF"/>
        <w:spacing w:after="100" w:afterAutospacing="1" w:line="240" w:lineRule="auto"/>
        <w:ind w:left="708"/>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Completed a programme in higher education teaching (minimum 200 hours) </w:t>
      </w:r>
      <w:r w:rsidRPr="002C0899">
        <w:rPr>
          <w:rFonts w:ascii="Open Sans" w:eastAsia="Times New Roman" w:hAnsi="Open Sans" w:cs="Open Sans"/>
          <w:i/>
          <w:iCs/>
          <w:color w:val="272833"/>
          <w:sz w:val="24"/>
          <w:szCs w:val="24"/>
          <w:lang w:val="en-GB" w:eastAsia="nb-NO"/>
        </w:rPr>
        <w:t>or</w:t>
      </w:r>
      <w:r>
        <w:rPr>
          <w:rFonts w:ascii="Open Sans" w:eastAsia="Times New Roman" w:hAnsi="Open Sans" w:cs="Open Sans"/>
          <w:color w:val="272833"/>
          <w:sz w:val="24"/>
          <w:szCs w:val="24"/>
          <w:lang w:val="en-GB" w:eastAsia="nb-NO"/>
        </w:rPr>
        <w:t xml:space="preserve"> may document teaching competence </w:t>
      </w:r>
      <w:proofErr w:type="gramStart"/>
      <w:r>
        <w:rPr>
          <w:rFonts w:ascii="Open Sans" w:eastAsia="Times New Roman" w:hAnsi="Open Sans" w:cs="Open Sans"/>
          <w:color w:val="272833"/>
          <w:sz w:val="24"/>
          <w:szCs w:val="24"/>
          <w:lang w:val="en-GB" w:eastAsia="nb-NO"/>
        </w:rPr>
        <w:t>on the basis of</w:t>
      </w:r>
      <w:proofErr w:type="gramEnd"/>
      <w:r>
        <w:rPr>
          <w:rFonts w:ascii="Open Sans" w:eastAsia="Times New Roman" w:hAnsi="Open Sans" w:cs="Open Sans"/>
          <w:color w:val="272833"/>
          <w:sz w:val="24"/>
          <w:szCs w:val="24"/>
          <w:lang w:val="en-GB" w:eastAsia="nb-NO"/>
        </w:rPr>
        <w:t xml:space="preserve"> a combination of </w:t>
      </w:r>
      <w:r w:rsidRPr="00752661">
        <w:rPr>
          <w:rFonts w:ascii="Open Sans" w:eastAsia="Times New Roman" w:hAnsi="Open Sans" w:cs="Open Sans"/>
          <w:color w:val="272833"/>
          <w:sz w:val="24"/>
          <w:szCs w:val="24"/>
          <w:lang w:val="en-GB" w:eastAsia="nb-NO"/>
        </w:rPr>
        <w:t xml:space="preserve">relevant courses and </w:t>
      </w:r>
      <w:r w:rsidR="002C0899">
        <w:rPr>
          <w:rFonts w:ascii="Open Sans" w:eastAsia="Times New Roman" w:hAnsi="Open Sans" w:cs="Open Sans"/>
          <w:color w:val="272833"/>
          <w:sz w:val="24"/>
          <w:szCs w:val="24"/>
          <w:lang w:val="en-GB" w:eastAsia="nb-NO"/>
        </w:rPr>
        <w:t xml:space="preserve">own </w:t>
      </w:r>
      <w:r w:rsidRPr="00752661">
        <w:rPr>
          <w:rFonts w:ascii="Open Sans" w:eastAsia="Times New Roman" w:hAnsi="Open Sans" w:cs="Open Sans"/>
          <w:color w:val="272833"/>
          <w:sz w:val="24"/>
          <w:szCs w:val="24"/>
          <w:lang w:val="en-GB" w:eastAsia="nb-NO"/>
        </w:rPr>
        <w:t xml:space="preserve">practical teaching </w:t>
      </w:r>
      <w:r w:rsidR="002C0899">
        <w:rPr>
          <w:rFonts w:ascii="Open Sans" w:eastAsia="Times New Roman" w:hAnsi="Open Sans" w:cs="Open Sans"/>
          <w:color w:val="272833"/>
          <w:sz w:val="24"/>
          <w:szCs w:val="24"/>
          <w:lang w:val="en-GB" w:eastAsia="nb-NO"/>
        </w:rPr>
        <w:t xml:space="preserve">equivalent to a programme of minimum 200 hours, </w:t>
      </w:r>
      <w:r w:rsidR="002C0899" w:rsidRPr="002C0899">
        <w:rPr>
          <w:rFonts w:ascii="Open Sans" w:eastAsia="Times New Roman" w:hAnsi="Open Sans" w:cs="Open Sans"/>
          <w:i/>
          <w:iCs/>
          <w:color w:val="272833"/>
          <w:sz w:val="24"/>
          <w:szCs w:val="24"/>
          <w:lang w:val="en-GB" w:eastAsia="nb-NO"/>
        </w:rPr>
        <w:t>and in addition</w:t>
      </w:r>
      <w:r w:rsidRPr="00752661">
        <w:rPr>
          <w:rFonts w:ascii="Open Sans" w:eastAsia="Times New Roman" w:hAnsi="Open Sans" w:cs="Open Sans"/>
          <w:color w:val="272833"/>
          <w:sz w:val="24"/>
          <w:szCs w:val="24"/>
          <w:lang w:val="en-GB" w:eastAsia="nb-NO"/>
        </w:rPr>
        <w:t xml:space="preserve"> acquired basic skills in planning, executi</w:t>
      </w:r>
      <w:r w:rsidR="002C0899">
        <w:rPr>
          <w:rFonts w:ascii="Open Sans" w:eastAsia="Times New Roman" w:hAnsi="Open Sans" w:cs="Open Sans"/>
          <w:color w:val="272833"/>
          <w:sz w:val="24"/>
          <w:szCs w:val="24"/>
          <w:lang w:val="en-GB" w:eastAsia="nb-NO"/>
        </w:rPr>
        <w:t>on</w:t>
      </w:r>
      <w:r w:rsidRPr="00752661">
        <w:rPr>
          <w:rFonts w:ascii="Open Sans" w:eastAsia="Times New Roman" w:hAnsi="Open Sans" w:cs="Open Sans"/>
          <w:color w:val="272833"/>
          <w:sz w:val="24"/>
          <w:szCs w:val="24"/>
          <w:lang w:val="en-GB" w:eastAsia="nb-NO"/>
        </w:rPr>
        <w:t>, evaluati</w:t>
      </w:r>
      <w:r w:rsidR="002C0899">
        <w:rPr>
          <w:rFonts w:ascii="Open Sans" w:eastAsia="Times New Roman" w:hAnsi="Open Sans" w:cs="Open Sans"/>
          <w:color w:val="272833"/>
          <w:sz w:val="24"/>
          <w:szCs w:val="24"/>
          <w:lang w:val="en-GB" w:eastAsia="nb-NO"/>
        </w:rPr>
        <w:t>on</w:t>
      </w:r>
      <w:r>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and develop</w:t>
      </w:r>
      <w:r w:rsidR="002C0899">
        <w:rPr>
          <w:rFonts w:ascii="Open Sans" w:eastAsia="Times New Roman" w:hAnsi="Open Sans" w:cs="Open Sans"/>
          <w:color w:val="272833"/>
          <w:sz w:val="24"/>
          <w:szCs w:val="24"/>
          <w:lang w:val="en-GB" w:eastAsia="nb-NO"/>
        </w:rPr>
        <w:t>ment of</w:t>
      </w:r>
      <w:r w:rsidRPr="00752661">
        <w:rPr>
          <w:rFonts w:ascii="Open Sans" w:eastAsia="Times New Roman" w:hAnsi="Open Sans" w:cs="Open Sans"/>
          <w:color w:val="272833"/>
          <w:sz w:val="24"/>
          <w:szCs w:val="24"/>
          <w:lang w:val="en-GB" w:eastAsia="nb-NO"/>
        </w:rPr>
        <w:t xml:space="preserve"> teaching and supervision activities (basic teaching and supervision qualifications at university and university college level).</w:t>
      </w:r>
    </w:p>
    <w:p w14:paraId="60E8FB0C" w14:textId="77777777" w:rsidR="0026184F" w:rsidRPr="00752661" w:rsidRDefault="0026184F" w:rsidP="0026184F">
      <w:pPr>
        <w:shd w:val="clear" w:color="auto" w:fill="FFFFFF"/>
        <w:spacing w:after="100" w:afterAutospacing="1" w:line="240" w:lineRule="auto"/>
        <w:ind w:left="708"/>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For appointment as a professor, the following must also be documented:</w:t>
      </w:r>
    </w:p>
    <w:p w14:paraId="64F3DB1E" w14:textId="77777777" w:rsidR="0026184F" w:rsidRPr="00752661" w:rsidRDefault="0026184F" w:rsidP="0026184F">
      <w:pPr>
        <w:numPr>
          <w:ilvl w:val="0"/>
          <w:numId w:val="6"/>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Development of quality in the applicant’s teaching and supervision over time</w:t>
      </w:r>
    </w:p>
    <w:p w14:paraId="7A29ECFB" w14:textId="007B56E9" w:rsidR="0026184F" w:rsidRDefault="0026184F" w:rsidP="0026184F">
      <w:pPr>
        <w:numPr>
          <w:ilvl w:val="0"/>
          <w:numId w:val="6"/>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lastRenderedPageBreak/>
        <w:t xml:space="preserve">Broad experience in supervision, preferably </w:t>
      </w:r>
      <w:r>
        <w:rPr>
          <w:rFonts w:ascii="Open Sans" w:eastAsia="Times New Roman" w:hAnsi="Open Sans" w:cs="Open Sans"/>
          <w:color w:val="272833"/>
          <w:sz w:val="24"/>
          <w:szCs w:val="24"/>
          <w:lang w:val="en-GB" w:eastAsia="nb-NO"/>
        </w:rPr>
        <w:t xml:space="preserve">at the </w:t>
      </w:r>
      <w:r w:rsidRPr="00752661">
        <w:rPr>
          <w:rFonts w:ascii="Open Sans" w:eastAsia="Times New Roman" w:hAnsi="Open Sans" w:cs="Open Sans"/>
          <w:color w:val="272833"/>
          <w:sz w:val="24"/>
          <w:szCs w:val="24"/>
          <w:lang w:val="en-GB" w:eastAsia="nb-NO"/>
        </w:rPr>
        <w:t>master’s/PhD level</w:t>
      </w:r>
    </w:p>
    <w:p w14:paraId="224EFB17" w14:textId="36933389" w:rsidR="0026184F" w:rsidRDefault="0026184F" w:rsidP="0026184F">
      <w:pPr>
        <w:numPr>
          <w:ilvl w:val="0"/>
          <w:numId w:val="6"/>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Participation in the development of education quality in the peer community</w:t>
      </w:r>
    </w:p>
    <w:p w14:paraId="482CD3C7" w14:textId="3DDA46F4" w:rsidR="002C0899" w:rsidRPr="00752661" w:rsidRDefault="002C0899" w:rsidP="002C0899">
      <w:pPr>
        <w:shd w:val="clear" w:color="auto" w:fill="FFFFFF"/>
        <w:spacing w:before="100" w:beforeAutospacing="1" w:after="100" w:afterAutospacing="1" w:line="240" w:lineRule="auto"/>
        <w:ind w:left="708"/>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 xml:space="preserve">If the person appointed to a permanent position cannot document the required teaching qualifications at the associate professor level, the appointment committee shall </w:t>
      </w:r>
      <w:r w:rsidR="00DF25BD">
        <w:rPr>
          <w:rFonts w:ascii="Open Sans" w:eastAsia="Times New Roman" w:hAnsi="Open Sans" w:cs="Open Sans"/>
          <w:color w:val="272833"/>
          <w:sz w:val="24"/>
          <w:szCs w:val="24"/>
          <w:lang w:val="en-GB" w:eastAsia="nb-NO"/>
        </w:rPr>
        <w:t>instruct</w:t>
      </w:r>
      <w:r>
        <w:rPr>
          <w:rFonts w:ascii="Open Sans" w:eastAsia="Times New Roman" w:hAnsi="Open Sans" w:cs="Open Sans"/>
          <w:color w:val="272833"/>
          <w:sz w:val="24"/>
          <w:szCs w:val="24"/>
          <w:lang w:val="en-GB" w:eastAsia="nb-NO"/>
        </w:rPr>
        <w:t xml:space="preserve"> the person to fill the </w:t>
      </w:r>
      <w:r w:rsidR="00DF25BD">
        <w:rPr>
          <w:rFonts w:ascii="Open Sans" w:eastAsia="Times New Roman" w:hAnsi="Open Sans" w:cs="Open Sans"/>
          <w:color w:val="272833"/>
          <w:sz w:val="24"/>
          <w:szCs w:val="24"/>
          <w:lang w:val="en-GB" w:eastAsia="nb-NO"/>
        </w:rPr>
        <w:t xml:space="preserve">requirement </w:t>
      </w:r>
      <w:r>
        <w:rPr>
          <w:rFonts w:ascii="Open Sans" w:eastAsia="Times New Roman" w:hAnsi="Open Sans" w:cs="Open Sans"/>
          <w:color w:val="272833"/>
          <w:sz w:val="24"/>
          <w:szCs w:val="24"/>
          <w:lang w:val="en-GB" w:eastAsia="nb-NO"/>
        </w:rPr>
        <w:t>within two years.</w:t>
      </w:r>
    </w:p>
    <w:p w14:paraId="17C3EC83" w14:textId="77777777" w:rsidR="00752661" w:rsidRPr="00752661" w:rsidRDefault="00752661" w:rsidP="00880DBE">
      <w:pPr>
        <w:numPr>
          <w:ilvl w:val="0"/>
          <w:numId w:val="15"/>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In particular, the committee must strive to identify the applicant’s potential in its assessment.</w:t>
      </w:r>
    </w:p>
    <w:p w14:paraId="533B7C6C" w14:textId="4D27114C" w:rsidR="006462BD" w:rsidRDefault="006462BD" w:rsidP="00752661">
      <w:pPr>
        <w:shd w:val="clear" w:color="auto" w:fill="FFFFFF"/>
        <w:spacing w:after="100" w:afterAutospacing="1" w:line="240" w:lineRule="auto"/>
        <w:rPr>
          <w:rFonts w:ascii="Open Sans" w:eastAsia="Times New Roman" w:hAnsi="Open Sans" w:cs="Open Sans"/>
          <w:b/>
          <w:bCs/>
          <w:color w:val="272833"/>
          <w:sz w:val="24"/>
          <w:szCs w:val="24"/>
          <w:lang w:val="en-GB" w:eastAsia="nb-NO"/>
        </w:rPr>
      </w:pPr>
      <w:r>
        <w:rPr>
          <w:rFonts w:ascii="Open Sans" w:eastAsia="Times New Roman" w:hAnsi="Open Sans" w:cs="Open Sans"/>
          <w:b/>
          <w:bCs/>
          <w:color w:val="272833"/>
          <w:sz w:val="24"/>
          <w:szCs w:val="24"/>
          <w:lang w:val="en-GB" w:eastAsia="nb-NO"/>
        </w:rPr>
        <w:t>6.</w:t>
      </w:r>
      <w:r w:rsidR="00752661" w:rsidRPr="00752661">
        <w:rPr>
          <w:rFonts w:ascii="Open Sans" w:eastAsia="Times New Roman" w:hAnsi="Open Sans" w:cs="Open Sans"/>
          <w:b/>
          <w:bCs/>
          <w:color w:val="272833"/>
          <w:sz w:val="24"/>
          <w:szCs w:val="24"/>
          <w:lang w:val="en-GB" w:eastAsia="nb-NO"/>
        </w:rPr>
        <w:t xml:space="preserve"> </w:t>
      </w:r>
      <w:r>
        <w:rPr>
          <w:rFonts w:ascii="Open Sans" w:eastAsia="Times New Roman" w:hAnsi="Open Sans" w:cs="Open Sans"/>
          <w:b/>
          <w:bCs/>
          <w:color w:val="272833"/>
          <w:sz w:val="24"/>
          <w:szCs w:val="24"/>
          <w:lang w:val="en-GB" w:eastAsia="nb-NO"/>
        </w:rPr>
        <w:t>Trial lecture, interview</w:t>
      </w:r>
      <w:r w:rsidR="00880430">
        <w:rPr>
          <w:rFonts w:ascii="Open Sans" w:eastAsia="Times New Roman" w:hAnsi="Open Sans" w:cs="Open Sans"/>
          <w:b/>
          <w:bCs/>
          <w:color w:val="272833"/>
          <w:sz w:val="24"/>
          <w:szCs w:val="24"/>
          <w:lang w:val="en-GB" w:eastAsia="nb-NO"/>
        </w:rPr>
        <w:t>,</w:t>
      </w:r>
      <w:r>
        <w:rPr>
          <w:rFonts w:ascii="Open Sans" w:eastAsia="Times New Roman" w:hAnsi="Open Sans" w:cs="Open Sans"/>
          <w:b/>
          <w:bCs/>
          <w:color w:val="272833"/>
          <w:sz w:val="24"/>
          <w:szCs w:val="24"/>
          <w:lang w:val="en-GB" w:eastAsia="nb-NO"/>
        </w:rPr>
        <w:t xml:space="preserve"> and obtaining references</w:t>
      </w:r>
    </w:p>
    <w:p w14:paraId="52550C0B" w14:textId="1681616F" w:rsidR="00752661" w:rsidRPr="00752661" w:rsidRDefault="006462BD"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b/>
          <w:bCs/>
          <w:color w:val="272833"/>
          <w:sz w:val="24"/>
          <w:szCs w:val="24"/>
          <w:lang w:val="en-GB" w:eastAsia="nb-NO"/>
        </w:rPr>
        <w:t xml:space="preserve">6.1 </w:t>
      </w:r>
      <w:r w:rsidR="00752661" w:rsidRPr="00752661">
        <w:rPr>
          <w:rFonts w:ascii="Open Sans" w:eastAsia="Times New Roman" w:hAnsi="Open Sans" w:cs="Open Sans"/>
          <w:b/>
          <w:bCs/>
          <w:color w:val="272833"/>
          <w:sz w:val="24"/>
          <w:szCs w:val="24"/>
          <w:lang w:val="en-GB" w:eastAsia="nb-NO"/>
        </w:rPr>
        <w:t>Evaluation of teaching competence</w:t>
      </w:r>
    </w:p>
    <w:p w14:paraId="23BBF384" w14:textId="29537EDE"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If teaching and academic supervision are assigned to the position, the recruitment group </w:t>
      </w:r>
      <w:r w:rsidR="00960970">
        <w:rPr>
          <w:rFonts w:ascii="Open Sans" w:eastAsia="Times New Roman" w:hAnsi="Open Sans" w:cs="Open Sans"/>
          <w:color w:val="272833"/>
          <w:sz w:val="24"/>
          <w:szCs w:val="24"/>
          <w:lang w:val="en-GB" w:eastAsia="nb-NO"/>
        </w:rPr>
        <w:t xml:space="preserve">(see 4.1) </w:t>
      </w:r>
      <w:r w:rsidR="006462BD">
        <w:rPr>
          <w:rFonts w:ascii="Open Sans" w:eastAsia="Times New Roman" w:hAnsi="Open Sans" w:cs="Open Sans"/>
          <w:color w:val="272833"/>
          <w:sz w:val="24"/>
          <w:szCs w:val="24"/>
          <w:lang w:val="en-GB" w:eastAsia="nb-NO"/>
        </w:rPr>
        <w:t xml:space="preserve">shall assess </w:t>
      </w:r>
      <w:r w:rsidR="00960970">
        <w:rPr>
          <w:rFonts w:ascii="Open Sans" w:eastAsia="Times New Roman" w:hAnsi="Open Sans" w:cs="Open Sans"/>
          <w:color w:val="272833"/>
          <w:sz w:val="24"/>
          <w:szCs w:val="24"/>
          <w:lang w:val="en-GB" w:eastAsia="nb-NO"/>
        </w:rPr>
        <w:t xml:space="preserve">educational abilities </w:t>
      </w:r>
      <w:proofErr w:type="gramStart"/>
      <w:r w:rsidR="006462BD">
        <w:rPr>
          <w:rFonts w:ascii="Open Sans" w:eastAsia="Times New Roman" w:hAnsi="Open Sans" w:cs="Open Sans"/>
          <w:color w:val="272833"/>
          <w:sz w:val="24"/>
          <w:szCs w:val="24"/>
          <w:lang w:val="en-GB" w:eastAsia="nb-NO"/>
        </w:rPr>
        <w:t>on the basis of</w:t>
      </w:r>
      <w:proofErr w:type="gramEnd"/>
      <w:r w:rsidR="006462BD">
        <w:rPr>
          <w:rFonts w:ascii="Open Sans" w:eastAsia="Times New Roman" w:hAnsi="Open Sans" w:cs="Open Sans"/>
          <w:color w:val="272833"/>
          <w:sz w:val="24"/>
          <w:szCs w:val="24"/>
          <w:lang w:val="en-GB" w:eastAsia="nb-NO"/>
        </w:rPr>
        <w:t xml:space="preserve"> </w:t>
      </w:r>
      <w:r w:rsidR="00960970">
        <w:rPr>
          <w:rFonts w:ascii="Open Sans" w:eastAsia="Times New Roman" w:hAnsi="Open Sans" w:cs="Open Sans"/>
          <w:color w:val="272833"/>
          <w:sz w:val="24"/>
          <w:szCs w:val="24"/>
          <w:lang w:val="en-GB" w:eastAsia="nb-NO"/>
        </w:rPr>
        <w:t xml:space="preserve">a trial lecture or other </w:t>
      </w:r>
      <w:r w:rsidRPr="00752661">
        <w:rPr>
          <w:rFonts w:ascii="Open Sans" w:eastAsia="Times New Roman" w:hAnsi="Open Sans" w:cs="Open Sans"/>
          <w:color w:val="272833"/>
          <w:sz w:val="24"/>
          <w:szCs w:val="24"/>
          <w:lang w:val="en-GB" w:eastAsia="nb-NO"/>
        </w:rPr>
        <w:t>t</w:t>
      </w:r>
      <w:r w:rsidR="00960970">
        <w:rPr>
          <w:rFonts w:ascii="Open Sans" w:eastAsia="Times New Roman" w:hAnsi="Open Sans" w:cs="Open Sans"/>
          <w:color w:val="272833"/>
          <w:sz w:val="24"/>
          <w:szCs w:val="24"/>
          <w:lang w:val="en-GB" w:eastAsia="nb-NO"/>
        </w:rPr>
        <w:t>ests</w:t>
      </w:r>
      <w:r w:rsidR="006462BD">
        <w:rPr>
          <w:rFonts w:ascii="Open Sans" w:eastAsia="Times New Roman" w:hAnsi="Open Sans" w:cs="Open Sans"/>
          <w:color w:val="272833"/>
          <w:sz w:val="24"/>
          <w:szCs w:val="24"/>
          <w:lang w:val="en-GB" w:eastAsia="nb-NO"/>
        </w:rPr>
        <w:t xml:space="preserve"> as a basis for their nomination</w:t>
      </w:r>
      <w:r w:rsidR="00960970">
        <w:rPr>
          <w:rFonts w:ascii="Open Sans" w:eastAsia="Times New Roman" w:hAnsi="Open Sans" w:cs="Open Sans"/>
          <w:color w:val="272833"/>
          <w:sz w:val="24"/>
          <w:szCs w:val="24"/>
          <w:lang w:val="en-GB" w:eastAsia="nb-NO"/>
        </w:rPr>
        <w:t xml:space="preserve"> </w:t>
      </w:r>
      <w:r w:rsidRPr="00752661">
        <w:rPr>
          <w:rFonts w:ascii="Open Sans" w:eastAsia="Times New Roman" w:hAnsi="Open Sans" w:cs="Open Sans"/>
          <w:color w:val="272833"/>
          <w:sz w:val="24"/>
          <w:szCs w:val="24"/>
          <w:lang w:val="en-GB" w:eastAsia="nb-NO"/>
        </w:rPr>
        <w:t>[5].</w:t>
      </w:r>
    </w:p>
    <w:p w14:paraId="1B2A40D9" w14:textId="7903A4A0"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6</w:t>
      </w:r>
      <w:r w:rsidR="006462BD">
        <w:rPr>
          <w:rFonts w:ascii="Open Sans" w:eastAsia="Times New Roman" w:hAnsi="Open Sans" w:cs="Open Sans"/>
          <w:b/>
          <w:bCs/>
          <w:color w:val="272833"/>
          <w:sz w:val="24"/>
          <w:szCs w:val="24"/>
          <w:lang w:val="en-GB" w:eastAsia="nb-NO"/>
        </w:rPr>
        <w:t>.1</w:t>
      </w:r>
      <w:r w:rsidRPr="00752661">
        <w:rPr>
          <w:rFonts w:ascii="Open Sans" w:eastAsia="Times New Roman" w:hAnsi="Open Sans" w:cs="Open Sans"/>
          <w:b/>
          <w:bCs/>
          <w:color w:val="272833"/>
          <w:sz w:val="24"/>
          <w:szCs w:val="24"/>
          <w:lang w:val="en-GB" w:eastAsia="nb-NO"/>
        </w:rPr>
        <w:t xml:space="preserve"> Interviews and obtaining references</w:t>
      </w:r>
    </w:p>
    <w:p w14:paraId="3F069634" w14:textId="5BA3845D"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The applicants considered best qualified according to the nominating authority’s assessment are to be invited for an interview, and </w:t>
      </w:r>
      <w:r w:rsidR="006462BD">
        <w:rPr>
          <w:rFonts w:ascii="Open Sans" w:eastAsia="Times New Roman" w:hAnsi="Open Sans" w:cs="Open Sans"/>
          <w:color w:val="272833"/>
          <w:sz w:val="24"/>
          <w:szCs w:val="24"/>
          <w:lang w:val="en-GB" w:eastAsia="nb-NO"/>
        </w:rPr>
        <w:t xml:space="preserve">at least two </w:t>
      </w:r>
      <w:r w:rsidRPr="00752661">
        <w:rPr>
          <w:rFonts w:ascii="Open Sans" w:eastAsia="Times New Roman" w:hAnsi="Open Sans" w:cs="Open Sans"/>
          <w:color w:val="272833"/>
          <w:sz w:val="24"/>
          <w:szCs w:val="24"/>
          <w:lang w:val="en-GB" w:eastAsia="nb-NO"/>
        </w:rPr>
        <w:t>references must be obtained</w:t>
      </w:r>
      <w:r w:rsidR="006462BD">
        <w:rPr>
          <w:rFonts w:ascii="Open Sans" w:eastAsia="Times New Roman" w:hAnsi="Open Sans" w:cs="Open Sans"/>
          <w:color w:val="272833"/>
          <w:sz w:val="24"/>
          <w:szCs w:val="24"/>
          <w:lang w:val="en-GB" w:eastAsia="nb-NO"/>
        </w:rPr>
        <w:t xml:space="preserve"> for each applicant nominated</w:t>
      </w:r>
      <w:r w:rsidRPr="00752661">
        <w:rPr>
          <w:rFonts w:ascii="Open Sans" w:eastAsia="Times New Roman" w:hAnsi="Open Sans" w:cs="Open Sans"/>
          <w:color w:val="272833"/>
          <w:sz w:val="24"/>
          <w:szCs w:val="24"/>
          <w:lang w:val="en-GB" w:eastAsia="nb-NO"/>
        </w:rPr>
        <w:t>. No one may be appointed until an interview has been conducted and references have been obtained.</w:t>
      </w:r>
    </w:p>
    <w:p w14:paraId="7ABD2CC4" w14:textId="42F85D7B"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If any of the qualified applicants state that they have a disability </w:t>
      </w:r>
      <w:r w:rsidR="006462BD">
        <w:rPr>
          <w:rFonts w:ascii="Open Sans" w:eastAsia="Times New Roman" w:hAnsi="Open Sans" w:cs="Open Sans"/>
          <w:color w:val="272833"/>
          <w:sz w:val="24"/>
          <w:szCs w:val="24"/>
          <w:lang w:val="en-GB" w:eastAsia="nb-NO"/>
        </w:rPr>
        <w:t xml:space="preserve">(see </w:t>
      </w:r>
      <w:r w:rsidR="005A3C2D">
        <w:rPr>
          <w:rFonts w:ascii="Open Sans" w:eastAsia="Times New Roman" w:hAnsi="Open Sans" w:cs="Open Sans"/>
          <w:color w:val="272833"/>
          <w:sz w:val="24"/>
          <w:szCs w:val="24"/>
          <w:lang w:val="en-GB" w:eastAsia="nb-NO"/>
        </w:rPr>
        <w:t xml:space="preserve">Regulation to the Public Employee Act Section 4, </w:t>
      </w:r>
      <w:hyperlink r:id="rId19" w:history="1">
        <w:r w:rsidR="005A3C2D" w:rsidRPr="00880430">
          <w:rPr>
            <w:rStyle w:val="Hyperkobling"/>
            <w:rFonts w:ascii="Open Sans" w:eastAsia="Times New Roman" w:hAnsi="Open Sans" w:cs="Open Sans"/>
            <w:sz w:val="24"/>
            <w:szCs w:val="24"/>
            <w:lang w:val="en-GB" w:eastAsia="nb-NO"/>
          </w:rPr>
          <w:t>in Norwegia</w:t>
        </w:r>
        <w:r w:rsidR="00880430">
          <w:rPr>
            <w:rStyle w:val="Hyperkobling"/>
            <w:rFonts w:ascii="Open Sans" w:eastAsia="Times New Roman" w:hAnsi="Open Sans" w:cs="Open Sans"/>
            <w:sz w:val="24"/>
            <w:szCs w:val="24"/>
            <w:lang w:val="en-GB" w:eastAsia="nb-NO"/>
          </w:rPr>
          <w:t xml:space="preserve">n: </w:t>
        </w:r>
        <w:proofErr w:type="spellStart"/>
        <w:r w:rsidR="00880430">
          <w:rPr>
            <w:rStyle w:val="Hyperkobling"/>
            <w:rFonts w:ascii="Open Sans" w:eastAsia="Times New Roman" w:hAnsi="Open Sans" w:cs="Open Sans"/>
            <w:sz w:val="24"/>
            <w:szCs w:val="24"/>
            <w:lang w:val="en-GB" w:eastAsia="nb-NO"/>
          </w:rPr>
          <w:t>Forskrift</w:t>
        </w:r>
        <w:proofErr w:type="spellEnd"/>
        <w:r w:rsidR="00880430">
          <w:rPr>
            <w:rStyle w:val="Hyperkobling"/>
            <w:rFonts w:ascii="Open Sans" w:eastAsia="Times New Roman" w:hAnsi="Open Sans" w:cs="Open Sans"/>
            <w:sz w:val="24"/>
            <w:szCs w:val="24"/>
            <w:lang w:val="en-GB" w:eastAsia="nb-NO"/>
          </w:rPr>
          <w:t xml:space="preserve"> </w:t>
        </w:r>
        <w:proofErr w:type="spellStart"/>
        <w:r w:rsidR="00880430">
          <w:rPr>
            <w:rStyle w:val="Hyperkobling"/>
            <w:rFonts w:ascii="Open Sans" w:eastAsia="Times New Roman" w:hAnsi="Open Sans" w:cs="Open Sans"/>
            <w:sz w:val="24"/>
            <w:szCs w:val="24"/>
            <w:lang w:val="en-GB" w:eastAsia="nb-NO"/>
          </w:rPr>
          <w:t>til</w:t>
        </w:r>
        <w:proofErr w:type="spellEnd"/>
        <w:r w:rsidR="00880430">
          <w:rPr>
            <w:rStyle w:val="Hyperkobling"/>
            <w:rFonts w:ascii="Open Sans" w:eastAsia="Times New Roman" w:hAnsi="Open Sans" w:cs="Open Sans"/>
            <w:sz w:val="24"/>
            <w:szCs w:val="24"/>
            <w:lang w:val="en-GB" w:eastAsia="nb-NO"/>
          </w:rPr>
          <w:t xml:space="preserve"> </w:t>
        </w:r>
        <w:proofErr w:type="spellStart"/>
        <w:r w:rsidR="00880430">
          <w:rPr>
            <w:rStyle w:val="Hyperkobling"/>
            <w:rFonts w:ascii="Open Sans" w:eastAsia="Times New Roman" w:hAnsi="Open Sans" w:cs="Open Sans"/>
            <w:sz w:val="24"/>
            <w:szCs w:val="24"/>
            <w:lang w:val="en-GB" w:eastAsia="nb-NO"/>
          </w:rPr>
          <w:t>statsansatteloven</w:t>
        </w:r>
        <w:proofErr w:type="spellEnd"/>
      </w:hyperlink>
      <w:r w:rsidR="006462BD">
        <w:rPr>
          <w:rFonts w:ascii="Open Sans" w:eastAsia="Times New Roman" w:hAnsi="Open Sans" w:cs="Open Sans"/>
          <w:color w:val="272833"/>
          <w:sz w:val="24"/>
          <w:szCs w:val="24"/>
          <w:lang w:val="en-GB" w:eastAsia="nb-NO"/>
        </w:rPr>
        <w:t xml:space="preserve">), gaps in the CV (see </w:t>
      </w:r>
      <w:r w:rsidR="005A3C2D">
        <w:rPr>
          <w:rFonts w:ascii="Open Sans" w:eastAsia="Times New Roman" w:hAnsi="Open Sans" w:cs="Open Sans"/>
          <w:color w:val="272833"/>
          <w:sz w:val="24"/>
          <w:szCs w:val="24"/>
          <w:lang w:val="en-GB" w:eastAsia="nb-NO"/>
        </w:rPr>
        <w:t xml:space="preserve">Public Employee Act Section </w:t>
      </w:r>
      <w:r w:rsidR="006462BD">
        <w:rPr>
          <w:rFonts w:ascii="Open Sans" w:eastAsia="Times New Roman" w:hAnsi="Open Sans" w:cs="Open Sans"/>
          <w:color w:val="272833"/>
          <w:sz w:val="24"/>
          <w:szCs w:val="24"/>
          <w:lang w:val="en-GB" w:eastAsia="nb-NO"/>
        </w:rPr>
        <w:t>4a</w:t>
      </w:r>
      <w:r w:rsidR="005A3C2D">
        <w:rPr>
          <w:rFonts w:ascii="Open Sans" w:eastAsia="Times New Roman" w:hAnsi="Open Sans" w:cs="Open Sans"/>
          <w:color w:val="272833"/>
          <w:sz w:val="24"/>
          <w:szCs w:val="24"/>
          <w:lang w:val="en-GB" w:eastAsia="nb-NO"/>
        </w:rPr>
        <w:t xml:space="preserve">, </w:t>
      </w:r>
      <w:hyperlink r:id="rId20" w:history="1">
        <w:r w:rsidR="005A3C2D" w:rsidRPr="00880430">
          <w:rPr>
            <w:rStyle w:val="Hyperkobling"/>
            <w:rFonts w:ascii="Open Sans" w:eastAsia="Times New Roman" w:hAnsi="Open Sans" w:cs="Open Sans"/>
            <w:sz w:val="24"/>
            <w:szCs w:val="24"/>
            <w:lang w:val="en-GB" w:eastAsia="nb-NO"/>
          </w:rPr>
          <w:t>in Norwegian</w:t>
        </w:r>
        <w:r w:rsidR="00880430" w:rsidRPr="00880430">
          <w:rPr>
            <w:rStyle w:val="Hyperkobling"/>
            <w:rFonts w:ascii="Open Sans" w:eastAsia="Times New Roman" w:hAnsi="Open Sans" w:cs="Open Sans"/>
            <w:sz w:val="24"/>
            <w:szCs w:val="24"/>
            <w:lang w:val="en-GB" w:eastAsia="nb-NO"/>
          </w:rPr>
          <w:t xml:space="preserve">: </w:t>
        </w:r>
        <w:proofErr w:type="spellStart"/>
        <w:r w:rsidR="00880430" w:rsidRPr="00880430">
          <w:rPr>
            <w:rStyle w:val="Hyperkobling"/>
            <w:rFonts w:ascii="Open Sans" w:eastAsia="Times New Roman" w:hAnsi="Open Sans" w:cs="Open Sans"/>
            <w:sz w:val="24"/>
            <w:szCs w:val="24"/>
            <w:lang w:val="en-GB" w:eastAsia="nb-NO"/>
          </w:rPr>
          <w:t>Statsansatteloven</w:t>
        </w:r>
        <w:proofErr w:type="spellEnd"/>
      </w:hyperlink>
      <w:r w:rsidR="006462BD">
        <w:rPr>
          <w:rFonts w:ascii="Open Sans" w:eastAsia="Times New Roman" w:hAnsi="Open Sans" w:cs="Open Sans"/>
          <w:color w:val="272833"/>
          <w:sz w:val="24"/>
          <w:szCs w:val="24"/>
          <w:lang w:val="en-GB" w:eastAsia="nb-NO"/>
        </w:rPr>
        <w:t>)</w:t>
      </w:r>
      <w:r w:rsidR="005A3C2D">
        <w:rPr>
          <w:rFonts w:ascii="Open Sans" w:eastAsia="Times New Roman" w:hAnsi="Open Sans" w:cs="Open Sans"/>
          <w:color w:val="272833"/>
          <w:sz w:val="24"/>
          <w:szCs w:val="24"/>
          <w:lang w:val="en-GB" w:eastAsia="nb-NO"/>
        </w:rPr>
        <w:t>,</w:t>
      </w:r>
      <w:r w:rsidR="006462BD">
        <w:rPr>
          <w:rFonts w:ascii="Open Sans" w:eastAsia="Times New Roman" w:hAnsi="Open Sans" w:cs="Open Sans"/>
          <w:color w:val="272833"/>
          <w:sz w:val="24"/>
          <w:szCs w:val="24"/>
          <w:lang w:val="en-GB" w:eastAsia="nb-NO"/>
        </w:rPr>
        <w:t xml:space="preserve"> or minority background (see </w:t>
      </w:r>
      <w:r w:rsidR="005A3C2D">
        <w:rPr>
          <w:rFonts w:ascii="Open Sans" w:eastAsia="Times New Roman" w:hAnsi="Open Sans" w:cs="Open Sans"/>
          <w:color w:val="272833"/>
          <w:sz w:val="24"/>
          <w:szCs w:val="24"/>
          <w:lang w:val="en-GB" w:eastAsia="nb-NO"/>
        </w:rPr>
        <w:t>Regulations</w:t>
      </w:r>
      <w:r w:rsidR="006462BD">
        <w:rPr>
          <w:rFonts w:ascii="Open Sans" w:eastAsia="Times New Roman" w:hAnsi="Open Sans" w:cs="Open Sans"/>
          <w:color w:val="272833"/>
          <w:sz w:val="24"/>
          <w:szCs w:val="24"/>
          <w:lang w:val="en-GB" w:eastAsia="nb-NO"/>
        </w:rPr>
        <w:t xml:space="preserve"> to </w:t>
      </w:r>
      <w:r w:rsidR="005A3C2D">
        <w:rPr>
          <w:rFonts w:ascii="Open Sans" w:eastAsia="Times New Roman" w:hAnsi="Open Sans" w:cs="Open Sans"/>
          <w:color w:val="272833"/>
          <w:sz w:val="24"/>
          <w:szCs w:val="24"/>
          <w:lang w:val="en-GB" w:eastAsia="nb-NO"/>
        </w:rPr>
        <w:t xml:space="preserve">the Public Employees Act Section </w:t>
      </w:r>
      <w:r w:rsidR="006462BD">
        <w:rPr>
          <w:rFonts w:ascii="Open Sans" w:eastAsia="Times New Roman" w:hAnsi="Open Sans" w:cs="Open Sans"/>
          <w:color w:val="272833"/>
          <w:sz w:val="24"/>
          <w:szCs w:val="24"/>
          <w:lang w:val="en-GB" w:eastAsia="nb-NO"/>
        </w:rPr>
        <w:t xml:space="preserve">4b, </w:t>
      </w:r>
      <w:hyperlink r:id="rId21" w:history="1">
        <w:r w:rsidR="00FF2409" w:rsidRPr="00752661">
          <w:rPr>
            <w:rFonts w:ascii="Open Sans" w:eastAsia="Times New Roman" w:hAnsi="Open Sans" w:cs="Open Sans"/>
            <w:color w:val="0B5FFF"/>
            <w:sz w:val="24"/>
            <w:szCs w:val="24"/>
            <w:u w:val="single"/>
            <w:lang w:val="en-GB" w:eastAsia="nb-NO"/>
          </w:rPr>
          <w:t>see PM 2010-08</w:t>
        </w:r>
      </w:hyperlink>
      <w:r w:rsidR="005A3C2D">
        <w:rPr>
          <w:rFonts w:ascii="Open Sans" w:eastAsia="Times New Roman" w:hAnsi="Open Sans" w:cs="Open Sans"/>
          <w:color w:val="272833"/>
          <w:sz w:val="24"/>
          <w:szCs w:val="24"/>
          <w:lang w:val="en-GB" w:eastAsia="nb-NO"/>
        </w:rPr>
        <w:t xml:space="preserve">, </w:t>
      </w:r>
      <w:r w:rsidR="00FF2409" w:rsidRPr="00752661">
        <w:rPr>
          <w:rFonts w:ascii="Open Sans" w:eastAsia="Times New Roman" w:hAnsi="Open Sans" w:cs="Open Sans"/>
          <w:color w:val="272833"/>
          <w:sz w:val="24"/>
          <w:szCs w:val="24"/>
          <w:lang w:val="en-GB" w:eastAsia="nb-NO"/>
        </w:rPr>
        <w:t>in Norwegian</w:t>
      </w:r>
      <w:r w:rsidR="006462BD">
        <w:rPr>
          <w:rFonts w:ascii="Open Sans" w:eastAsia="Times New Roman" w:hAnsi="Open Sans" w:cs="Open Sans"/>
          <w:color w:val="272833"/>
          <w:sz w:val="24"/>
          <w:szCs w:val="24"/>
          <w:lang w:val="en-GB" w:eastAsia="nb-NO"/>
        </w:rPr>
        <w:t>)</w:t>
      </w:r>
      <w:r w:rsidR="00FF2409">
        <w:rPr>
          <w:rFonts w:ascii="Open Sans" w:eastAsia="Times New Roman" w:hAnsi="Open Sans" w:cs="Open Sans"/>
          <w:color w:val="272833"/>
          <w:sz w:val="24"/>
          <w:szCs w:val="24"/>
          <w:lang w:val="en-GB" w:eastAsia="nb-NO"/>
        </w:rPr>
        <w:t xml:space="preserve">, </w:t>
      </w:r>
      <w:r w:rsidR="006462BD">
        <w:rPr>
          <w:rFonts w:ascii="Open Sans" w:eastAsia="Times New Roman" w:hAnsi="Open Sans" w:cs="Open Sans"/>
          <w:color w:val="272833"/>
          <w:sz w:val="24"/>
          <w:szCs w:val="24"/>
          <w:lang w:val="en-GB" w:eastAsia="nb-NO"/>
        </w:rPr>
        <w:t xml:space="preserve"> </w:t>
      </w:r>
      <w:r w:rsidRPr="00752661">
        <w:rPr>
          <w:rFonts w:ascii="Open Sans" w:eastAsia="Times New Roman" w:hAnsi="Open Sans" w:cs="Open Sans"/>
          <w:color w:val="272833"/>
          <w:sz w:val="24"/>
          <w:szCs w:val="24"/>
          <w:lang w:val="en-GB" w:eastAsia="nb-NO"/>
        </w:rPr>
        <w:t>at least one of these applicants is to be invited for an interview before a nomination is made.</w:t>
      </w:r>
    </w:p>
    <w:p w14:paraId="20594E0D"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New information that emerges in an interview or in any other way, and that is material to the assessment of the applicants, must be recorded in the case documents.</w:t>
      </w:r>
    </w:p>
    <w:p w14:paraId="1D13FC6D" w14:textId="1E9A835A" w:rsid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If an applicant has requested that no information be obtained from their current or previous employer, and the nominating authority nevertheless wishes to obtain information, the applicant shall be notified so that he or she may withdraw the application.</w:t>
      </w:r>
    </w:p>
    <w:p w14:paraId="5086F134" w14:textId="700B6807" w:rsidR="00752661" w:rsidRPr="00752661" w:rsidRDefault="00752661" w:rsidP="00752661">
      <w:pPr>
        <w:shd w:val="clear" w:color="auto" w:fill="FFFFFF"/>
        <w:spacing w:after="100" w:afterAutospacing="1" w:line="240" w:lineRule="auto"/>
        <w:outlineLvl w:val="1"/>
        <w:rPr>
          <w:rFonts w:ascii="Open Sans" w:eastAsia="Times New Roman" w:hAnsi="Open Sans" w:cs="Open Sans"/>
          <w:b/>
          <w:bCs/>
          <w:color w:val="272833"/>
          <w:sz w:val="36"/>
          <w:szCs w:val="36"/>
          <w:lang w:val="en-GB" w:eastAsia="nb-NO"/>
        </w:rPr>
      </w:pPr>
      <w:r w:rsidRPr="00752661">
        <w:rPr>
          <w:rFonts w:ascii="Open Sans" w:eastAsia="Times New Roman" w:hAnsi="Open Sans" w:cs="Open Sans"/>
          <w:b/>
          <w:bCs/>
          <w:color w:val="272833"/>
          <w:sz w:val="36"/>
          <w:szCs w:val="36"/>
          <w:lang w:val="en-GB" w:eastAsia="nb-NO"/>
        </w:rPr>
        <w:lastRenderedPageBreak/>
        <w:t>Part III Appointment</w:t>
      </w:r>
    </w:p>
    <w:p w14:paraId="63E03F71" w14:textId="2E54DF6C" w:rsidR="00752661" w:rsidRPr="00752661" w:rsidRDefault="005049B6"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Pr>
          <w:rFonts w:ascii="Open Sans" w:eastAsia="Times New Roman" w:hAnsi="Open Sans" w:cs="Open Sans"/>
          <w:b/>
          <w:bCs/>
          <w:color w:val="272833"/>
          <w:sz w:val="27"/>
          <w:szCs w:val="27"/>
          <w:lang w:val="en-GB" w:eastAsia="nb-NO"/>
        </w:rPr>
        <w:t>7</w:t>
      </w:r>
      <w:r w:rsidR="00752661" w:rsidRPr="00752661">
        <w:rPr>
          <w:rFonts w:ascii="Open Sans" w:eastAsia="Times New Roman" w:hAnsi="Open Sans" w:cs="Open Sans"/>
          <w:b/>
          <w:bCs/>
          <w:color w:val="272833"/>
          <w:sz w:val="27"/>
          <w:szCs w:val="27"/>
          <w:lang w:val="en-GB" w:eastAsia="nb-NO"/>
        </w:rPr>
        <w:t>. Appointing body</w:t>
      </w:r>
    </w:p>
    <w:p w14:paraId="2CEEACF1" w14:textId="2D57D0AA" w:rsidR="00752661" w:rsidRPr="00752661" w:rsidRDefault="005049B6"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b/>
          <w:bCs/>
          <w:color w:val="272833"/>
          <w:sz w:val="24"/>
          <w:szCs w:val="24"/>
          <w:lang w:val="en-GB" w:eastAsia="nb-NO"/>
        </w:rPr>
        <w:t>7</w:t>
      </w:r>
      <w:r w:rsidR="00752661" w:rsidRPr="00752661">
        <w:rPr>
          <w:rFonts w:ascii="Open Sans" w:eastAsia="Times New Roman" w:hAnsi="Open Sans" w:cs="Open Sans"/>
          <w:b/>
          <w:bCs/>
          <w:color w:val="272833"/>
          <w:sz w:val="24"/>
          <w:szCs w:val="24"/>
          <w:lang w:val="en-GB" w:eastAsia="nb-NO"/>
        </w:rPr>
        <w:t>.1 The appointments committee</w:t>
      </w:r>
    </w:p>
    <w:p w14:paraId="5B6D59B0" w14:textId="729ADDB5"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Appointments to </w:t>
      </w:r>
      <w:r w:rsidR="00FE060A">
        <w:rPr>
          <w:rFonts w:ascii="Open Sans" w:eastAsia="Times New Roman" w:hAnsi="Open Sans" w:cs="Open Sans"/>
          <w:color w:val="272833"/>
          <w:sz w:val="24"/>
          <w:szCs w:val="24"/>
          <w:lang w:val="en-GB" w:eastAsia="nb-NO"/>
        </w:rPr>
        <w:t xml:space="preserve">academic staff positions </w:t>
      </w:r>
      <w:r w:rsidRPr="00752661">
        <w:rPr>
          <w:rFonts w:ascii="Open Sans" w:eastAsia="Times New Roman" w:hAnsi="Open Sans" w:cs="Open Sans"/>
          <w:color w:val="272833"/>
          <w:sz w:val="24"/>
          <w:szCs w:val="24"/>
          <w:lang w:val="en-GB" w:eastAsia="nb-NO"/>
        </w:rPr>
        <w:t>are made by the academic appointments committee at the faculty/museum unless the Board has decided otherwise.</w:t>
      </w:r>
    </w:p>
    <w:p w14:paraId="0D16A15D" w14:textId="0B83DDA4"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chair of the appointments committee makes the decision on appointment to additional positions (</w:t>
      </w:r>
      <w:proofErr w:type="spellStart"/>
      <w:r w:rsidRPr="00752661">
        <w:rPr>
          <w:rFonts w:ascii="Open Sans" w:eastAsia="Times New Roman" w:hAnsi="Open Sans" w:cs="Open Sans"/>
          <w:color w:val="272833"/>
          <w:sz w:val="24"/>
          <w:szCs w:val="24"/>
          <w:lang w:val="en-GB" w:eastAsia="nb-NO"/>
        </w:rPr>
        <w:t>bistilling</w:t>
      </w:r>
      <w:proofErr w:type="spellEnd"/>
      <w:r w:rsidRPr="00752661">
        <w:rPr>
          <w:rFonts w:ascii="Open Sans" w:eastAsia="Times New Roman" w:hAnsi="Open Sans" w:cs="Open Sans"/>
          <w:color w:val="272833"/>
          <w:sz w:val="24"/>
          <w:szCs w:val="24"/>
          <w:lang w:val="en-GB" w:eastAsia="nb-NO"/>
        </w:rPr>
        <w:t xml:space="preserve">) and </w:t>
      </w:r>
      <w:r w:rsidR="006E358B">
        <w:rPr>
          <w:rFonts w:ascii="Open Sans" w:eastAsia="Times New Roman" w:hAnsi="Open Sans" w:cs="Open Sans"/>
          <w:color w:val="272833"/>
          <w:sz w:val="24"/>
          <w:szCs w:val="24"/>
          <w:lang w:val="en-GB" w:eastAsia="nb-NO"/>
        </w:rPr>
        <w:t xml:space="preserve">researcher </w:t>
      </w:r>
      <w:r w:rsidRPr="00752661">
        <w:rPr>
          <w:rFonts w:ascii="Open Sans" w:eastAsia="Times New Roman" w:hAnsi="Open Sans" w:cs="Open Sans"/>
          <w:color w:val="272833"/>
          <w:sz w:val="24"/>
          <w:szCs w:val="24"/>
          <w:lang w:val="en-GB" w:eastAsia="nb-NO"/>
        </w:rPr>
        <w:t>train</w:t>
      </w:r>
      <w:r w:rsidR="006E358B">
        <w:rPr>
          <w:rFonts w:ascii="Open Sans" w:eastAsia="Times New Roman" w:hAnsi="Open Sans" w:cs="Open Sans"/>
          <w:color w:val="272833"/>
          <w:sz w:val="24"/>
          <w:szCs w:val="24"/>
          <w:lang w:val="en-GB" w:eastAsia="nb-NO"/>
        </w:rPr>
        <w:t>ing</w:t>
      </w:r>
      <w:r w:rsidRPr="00752661">
        <w:rPr>
          <w:rFonts w:ascii="Open Sans" w:eastAsia="Times New Roman" w:hAnsi="Open Sans" w:cs="Open Sans"/>
          <w:color w:val="272833"/>
          <w:sz w:val="24"/>
          <w:szCs w:val="24"/>
          <w:lang w:val="en-GB" w:eastAsia="nb-NO"/>
        </w:rPr>
        <w:t xml:space="preserve"> positions, as well as for recruitment for a period of less than a year.</w:t>
      </w:r>
    </w:p>
    <w:p w14:paraId="383919E5" w14:textId="4340E028" w:rsidR="00752661" w:rsidRPr="00752661" w:rsidRDefault="005049B6"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b/>
          <w:bCs/>
          <w:color w:val="272833"/>
          <w:sz w:val="24"/>
          <w:szCs w:val="24"/>
          <w:lang w:val="en-GB" w:eastAsia="nb-NO"/>
        </w:rPr>
        <w:t>7</w:t>
      </w:r>
      <w:r w:rsidR="00752661" w:rsidRPr="00752661">
        <w:rPr>
          <w:rFonts w:ascii="Open Sans" w:eastAsia="Times New Roman" w:hAnsi="Open Sans" w:cs="Open Sans"/>
          <w:b/>
          <w:bCs/>
          <w:color w:val="272833"/>
          <w:sz w:val="24"/>
          <w:szCs w:val="24"/>
          <w:lang w:val="en-GB" w:eastAsia="nb-NO"/>
        </w:rPr>
        <w:t>.2 Composition of the appointments committee</w:t>
      </w:r>
    </w:p>
    <w:p w14:paraId="01A32702" w14:textId="75CA6180"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The appointments committee for </w:t>
      </w:r>
      <w:r w:rsidR="00AD33EA">
        <w:rPr>
          <w:rFonts w:ascii="Open Sans" w:eastAsia="Times New Roman" w:hAnsi="Open Sans" w:cs="Open Sans"/>
          <w:color w:val="272833"/>
          <w:sz w:val="24"/>
          <w:szCs w:val="24"/>
          <w:lang w:val="en-GB" w:eastAsia="nb-NO"/>
        </w:rPr>
        <w:t>teaching and research posts</w:t>
      </w:r>
      <w:r w:rsidRPr="00752661">
        <w:rPr>
          <w:rFonts w:ascii="Open Sans" w:eastAsia="Times New Roman" w:hAnsi="Open Sans" w:cs="Open Sans"/>
          <w:color w:val="272833"/>
          <w:sz w:val="24"/>
          <w:szCs w:val="24"/>
          <w:lang w:val="en-GB" w:eastAsia="nb-NO"/>
        </w:rPr>
        <w:t xml:space="preserve"> has the following composition:</w:t>
      </w:r>
    </w:p>
    <w:p w14:paraId="6B1C2FC5" w14:textId="1DC99224" w:rsidR="00752661" w:rsidRPr="00752661" w:rsidRDefault="00FE060A" w:rsidP="00752661">
      <w:pPr>
        <w:numPr>
          <w:ilvl w:val="0"/>
          <w:numId w:val="7"/>
        </w:numPr>
        <w:shd w:val="clear" w:color="auto" w:fill="FFFFFF"/>
        <w:spacing w:before="100" w:beforeAutospacing="1" w:after="100" w:afterAutospacing="1" w:line="240" w:lineRule="auto"/>
        <w:rPr>
          <w:rFonts w:ascii="Open Sans" w:eastAsia="Times New Roman" w:hAnsi="Open Sans" w:cs="Open Sans"/>
          <w:color w:val="272833"/>
          <w:sz w:val="24"/>
          <w:szCs w:val="24"/>
          <w:lang w:eastAsia="nb-NO"/>
        </w:rPr>
      </w:pPr>
      <w:proofErr w:type="spellStart"/>
      <w:r>
        <w:rPr>
          <w:rFonts w:ascii="Open Sans" w:eastAsia="Times New Roman" w:hAnsi="Open Sans" w:cs="Open Sans"/>
          <w:color w:val="272833"/>
          <w:sz w:val="24"/>
          <w:szCs w:val="24"/>
          <w:lang w:eastAsia="nb-NO"/>
        </w:rPr>
        <w:t>d</w:t>
      </w:r>
      <w:r w:rsidR="00752661" w:rsidRPr="00752661">
        <w:rPr>
          <w:rFonts w:ascii="Open Sans" w:eastAsia="Times New Roman" w:hAnsi="Open Sans" w:cs="Open Sans"/>
          <w:color w:val="272833"/>
          <w:sz w:val="24"/>
          <w:szCs w:val="24"/>
          <w:lang w:eastAsia="nb-NO"/>
        </w:rPr>
        <w:t>ean</w:t>
      </w:r>
      <w:proofErr w:type="spellEnd"/>
      <w:r w:rsidR="00752661" w:rsidRPr="00752661">
        <w:rPr>
          <w:rFonts w:ascii="Open Sans" w:eastAsia="Times New Roman" w:hAnsi="Open Sans" w:cs="Open Sans"/>
          <w:color w:val="272833"/>
          <w:sz w:val="24"/>
          <w:szCs w:val="24"/>
          <w:lang w:eastAsia="nb-NO"/>
        </w:rPr>
        <w:t>/</w:t>
      </w:r>
      <w:r>
        <w:rPr>
          <w:rFonts w:ascii="Open Sans" w:eastAsia="Times New Roman" w:hAnsi="Open Sans" w:cs="Open Sans"/>
          <w:color w:val="272833"/>
          <w:sz w:val="24"/>
          <w:szCs w:val="24"/>
          <w:lang w:eastAsia="nb-NO"/>
        </w:rPr>
        <w:t>m</w:t>
      </w:r>
      <w:r w:rsidR="00752661" w:rsidRPr="00752661">
        <w:rPr>
          <w:rFonts w:ascii="Open Sans" w:eastAsia="Times New Roman" w:hAnsi="Open Sans" w:cs="Open Sans"/>
          <w:color w:val="272833"/>
          <w:sz w:val="24"/>
          <w:szCs w:val="24"/>
          <w:lang w:eastAsia="nb-NO"/>
        </w:rPr>
        <w:t xml:space="preserve">useum </w:t>
      </w:r>
      <w:proofErr w:type="spellStart"/>
      <w:r>
        <w:rPr>
          <w:rFonts w:ascii="Open Sans" w:eastAsia="Times New Roman" w:hAnsi="Open Sans" w:cs="Open Sans"/>
          <w:color w:val="272833"/>
          <w:sz w:val="24"/>
          <w:szCs w:val="24"/>
          <w:lang w:eastAsia="nb-NO"/>
        </w:rPr>
        <w:t>d</w:t>
      </w:r>
      <w:r w:rsidR="00752661" w:rsidRPr="00752661">
        <w:rPr>
          <w:rFonts w:ascii="Open Sans" w:eastAsia="Times New Roman" w:hAnsi="Open Sans" w:cs="Open Sans"/>
          <w:color w:val="272833"/>
          <w:sz w:val="24"/>
          <w:szCs w:val="24"/>
          <w:lang w:eastAsia="nb-NO"/>
        </w:rPr>
        <w:t>irector</w:t>
      </w:r>
      <w:proofErr w:type="spellEnd"/>
      <w:r w:rsidR="00752661" w:rsidRPr="00752661">
        <w:rPr>
          <w:rFonts w:ascii="Open Sans" w:eastAsia="Times New Roman" w:hAnsi="Open Sans" w:cs="Open Sans"/>
          <w:color w:val="272833"/>
          <w:sz w:val="24"/>
          <w:szCs w:val="24"/>
          <w:lang w:eastAsia="nb-NO"/>
        </w:rPr>
        <w:t xml:space="preserve"> (</w:t>
      </w:r>
      <w:proofErr w:type="spellStart"/>
      <w:r w:rsidR="00752661" w:rsidRPr="00752661">
        <w:rPr>
          <w:rFonts w:ascii="Open Sans" w:eastAsia="Times New Roman" w:hAnsi="Open Sans" w:cs="Open Sans"/>
          <w:color w:val="272833"/>
          <w:sz w:val="24"/>
          <w:szCs w:val="24"/>
          <w:lang w:eastAsia="nb-NO"/>
        </w:rPr>
        <w:t>chair</w:t>
      </w:r>
      <w:proofErr w:type="spellEnd"/>
      <w:r w:rsidR="00752661" w:rsidRPr="00752661">
        <w:rPr>
          <w:rFonts w:ascii="Open Sans" w:eastAsia="Times New Roman" w:hAnsi="Open Sans" w:cs="Open Sans"/>
          <w:color w:val="272833"/>
          <w:sz w:val="24"/>
          <w:szCs w:val="24"/>
          <w:lang w:eastAsia="nb-NO"/>
        </w:rPr>
        <w:t>)</w:t>
      </w:r>
    </w:p>
    <w:p w14:paraId="336193AD" w14:textId="76597AA6" w:rsidR="00752661" w:rsidRPr="00752661" w:rsidRDefault="00752661" w:rsidP="00752661">
      <w:pPr>
        <w:numPr>
          <w:ilvl w:val="0"/>
          <w:numId w:val="7"/>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3 representatives of the academic staff, of whom 1 is a temporary staff member</w:t>
      </w:r>
    </w:p>
    <w:p w14:paraId="416B23A6" w14:textId="77777777" w:rsidR="00752661" w:rsidRPr="00752661" w:rsidRDefault="00752661" w:rsidP="00752661">
      <w:pPr>
        <w:numPr>
          <w:ilvl w:val="0"/>
          <w:numId w:val="7"/>
        </w:numPr>
        <w:shd w:val="clear" w:color="auto" w:fill="FFFFFF"/>
        <w:spacing w:before="100" w:beforeAutospacing="1" w:after="100" w:afterAutospacing="1" w:line="240" w:lineRule="auto"/>
        <w:rPr>
          <w:rFonts w:ascii="Open Sans" w:eastAsia="Times New Roman" w:hAnsi="Open Sans" w:cs="Open Sans"/>
          <w:color w:val="272833"/>
          <w:sz w:val="24"/>
          <w:szCs w:val="24"/>
          <w:lang w:eastAsia="nb-NO"/>
        </w:rPr>
      </w:pPr>
      <w:r w:rsidRPr="00752661">
        <w:rPr>
          <w:rFonts w:ascii="Open Sans" w:eastAsia="Times New Roman" w:hAnsi="Open Sans" w:cs="Open Sans"/>
          <w:color w:val="272833"/>
          <w:sz w:val="24"/>
          <w:szCs w:val="24"/>
          <w:lang w:eastAsia="nb-NO"/>
        </w:rPr>
        <w:t>1 student representative.</w:t>
      </w:r>
    </w:p>
    <w:p w14:paraId="46435BF0" w14:textId="72552951"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The temporary academic staff representative is to be replaced by a permanent academic </w:t>
      </w:r>
      <w:r w:rsidR="00FE060A">
        <w:rPr>
          <w:rFonts w:ascii="Open Sans" w:eastAsia="Times New Roman" w:hAnsi="Open Sans" w:cs="Open Sans"/>
          <w:color w:val="272833"/>
          <w:sz w:val="24"/>
          <w:szCs w:val="24"/>
          <w:lang w:val="en-GB" w:eastAsia="nb-NO"/>
        </w:rPr>
        <w:t xml:space="preserve">staff </w:t>
      </w:r>
      <w:r w:rsidRPr="00752661">
        <w:rPr>
          <w:rFonts w:ascii="Open Sans" w:eastAsia="Times New Roman" w:hAnsi="Open Sans" w:cs="Open Sans"/>
          <w:color w:val="272833"/>
          <w:sz w:val="24"/>
          <w:szCs w:val="24"/>
          <w:lang w:val="en-GB" w:eastAsia="nb-NO"/>
        </w:rPr>
        <w:t xml:space="preserve">representative if </w:t>
      </w:r>
      <w:r w:rsidR="00FE060A">
        <w:rPr>
          <w:rFonts w:ascii="Open Sans" w:eastAsia="Times New Roman" w:hAnsi="Open Sans" w:cs="Open Sans"/>
          <w:color w:val="272833"/>
          <w:sz w:val="24"/>
          <w:szCs w:val="24"/>
          <w:lang w:val="en-GB" w:eastAsia="nb-NO"/>
        </w:rPr>
        <w:t xml:space="preserve">the </w:t>
      </w:r>
      <w:r w:rsidRPr="00752661">
        <w:rPr>
          <w:rFonts w:ascii="Open Sans" w:eastAsia="Times New Roman" w:hAnsi="Open Sans" w:cs="Open Sans"/>
          <w:color w:val="272833"/>
          <w:sz w:val="24"/>
          <w:szCs w:val="24"/>
          <w:lang w:val="en-GB" w:eastAsia="nb-NO"/>
        </w:rPr>
        <w:t xml:space="preserve">temporary academic staff </w:t>
      </w:r>
      <w:r w:rsidR="00FE060A">
        <w:rPr>
          <w:rFonts w:ascii="Open Sans" w:eastAsia="Times New Roman" w:hAnsi="Open Sans" w:cs="Open Sans"/>
          <w:color w:val="272833"/>
          <w:sz w:val="24"/>
          <w:szCs w:val="24"/>
          <w:lang w:val="en-GB" w:eastAsia="nb-NO"/>
        </w:rPr>
        <w:t>is</w:t>
      </w:r>
      <w:r w:rsidRPr="00752661">
        <w:rPr>
          <w:rFonts w:ascii="Open Sans" w:eastAsia="Times New Roman" w:hAnsi="Open Sans" w:cs="Open Sans"/>
          <w:color w:val="272833"/>
          <w:sz w:val="24"/>
          <w:szCs w:val="24"/>
          <w:lang w:val="en-GB" w:eastAsia="nb-NO"/>
        </w:rPr>
        <w:t xml:space="preserve"> not represented on the faculty board</w:t>
      </w:r>
      <w:r w:rsidR="00FE060A">
        <w:rPr>
          <w:rFonts w:ascii="Open Sans" w:eastAsia="Times New Roman" w:hAnsi="Open Sans" w:cs="Open Sans"/>
          <w:color w:val="272833"/>
          <w:sz w:val="24"/>
          <w:szCs w:val="24"/>
          <w:lang w:val="en-GB" w:eastAsia="nb-NO"/>
        </w:rPr>
        <w:t>.</w:t>
      </w:r>
    </w:p>
    <w:p w14:paraId="212AEEB7" w14:textId="7534AC81"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If possible, the representatives of the academic staff and the students are appointed among the members of the faculty board/museum board. The representatives of the permanent academic staff are appointed for four years, while the representative of the temporary </w:t>
      </w:r>
      <w:r w:rsidR="00FE060A">
        <w:rPr>
          <w:rFonts w:ascii="Open Sans" w:eastAsia="Times New Roman" w:hAnsi="Open Sans" w:cs="Open Sans"/>
          <w:color w:val="272833"/>
          <w:sz w:val="24"/>
          <w:szCs w:val="24"/>
          <w:lang w:val="en-GB" w:eastAsia="nb-NO"/>
        </w:rPr>
        <w:t xml:space="preserve">academic </w:t>
      </w:r>
      <w:r w:rsidRPr="00752661">
        <w:rPr>
          <w:rFonts w:ascii="Open Sans" w:eastAsia="Times New Roman" w:hAnsi="Open Sans" w:cs="Open Sans"/>
          <w:color w:val="272833"/>
          <w:sz w:val="24"/>
          <w:szCs w:val="24"/>
          <w:lang w:val="en-GB" w:eastAsia="nb-NO"/>
        </w:rPr>
        <w:t xml:space="preserve">staff and the student representative are appointed for one year. The other members of the </w:t>
      </w:r>
      <w:r w:rsidR="00FE060A">
        <w:rPr>
          <w:rFonts w:ascii="Open Sans" w:eastAsia="Times New Roman" w:hAnsi="Open Sans" w:cs="Open Sans"/>
          <w:color w:val="272833"/>
          <w:sz w:val="24"/>
          <w:szCs w:val="24"/>
          <w:lang w:val="en-GB" w:eastAsia="nb-NO"/>
        </w:rPr>
        <w:t>b</w:t>
      </w:r>
      <w:r w:rsidRPr="00752661">
        <w:rPr>
          <w:rFonts w:ascii="Open Sans" w:eastAsia="Times New Roman" w:hAnsi="Open Sans" w:cs="Open Sans"/>
          <w:color w:val="272833"/>
          <w:sz w:val="24"/>
          <w:szCs w:val="24"/>
          <w:lang w:val="en-GB" w:eastAsia="nb-NO"/>
        </w:rPr>
        <w:t xml:space="preserve">oard, including the alternate members of the </w:t>
      </w:r>
      <w:r w:rsidR="00FE060A">
        <w:rPr>
          <w:rFonts w:ascii="Open Sans" w:eastAsia="Times New Roman" w:hAnsi="Open Sans" w:cs="Open Sans"/>
          <w:color w:val="272833"/>
          <w:sz w:val="24"/>
          <w:szCs w:val="24"/>
          <w:lang w:val="en-GB" w:eastAsia="nb-NO"/>
        </w:rPr>
        <w:t>b</w:t>
      </w:r>
      <w:r w:rsidRPr="00752661">
        <w:rPr>
          <w:rFonts w:ascii="Open Sans" w:eastAsia="Times New Roman" w:hAnsi="Open Sans" w:cs="Open Sans"/>
          <w:color w:val="272833"/>
          <w:sz w:val="24"/>
          <w:szCs w:val="24"/>
          <w:lang w:val="en-GB" w:eastAsia="nb-NO"/>
        </w:rPr>
        <w:t xml:space="preserve">oard, are </w:t>
      </w:r>
      <w:r w:rsidR="00FE060A">
        <w:rPr>
          <w:rFonts w:ascii="Open Sans" w:eastAsia="Times New Roman" w:hAnsi="Open Sans" w:cs="Open Sans"/>
          <w:color w:val="272833"/>
          <w:sz w:val="24"/>
          <w:szCs w:val="24"/>
          <w:lang w:val="en-GB" w:eastAsia="nb-NO"/>
        </w:rPr>
        <w:t>deputy</w:t>
      </w:r>
      <w:r w:rsidRPr="00752661">
        <w:rPr>
          <w:rFonts w:ascii="Open Sans" w:eastAsia="Times New Roman" w:hAnsi="Open Sans" w:cs="Open Sans"/>
          <w:color w:val="272833"/>
          <w:sz w:val="24"/>
          <w:szCs w:val="24"/>
          <w:lang w:val="en-GB" w:eastAsia="nb-NO"/>
        </w:rPr>
        <w:t xml:space="preserve"> members of the appointment committee. All members may be reappointed once.</w:t>
      </w:r>
    </w:p>
    <w:p w14:paraId="0714A4DF" w14:textId="665C76B1"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The </w:t>
      </w:r>
      <w:r w:rsidR="00FE060A">
        <w:rPr>
          <w:rFonts w:ascii="Open Sans" w:eastAsia="Times New Roman" w:hAnsi="Open Sans" w:cs="Open Sans"/>
          <w:color w:val="272833"/>
          <w:sz w:val="24"/>
          <w:szCs w:val="24"/>
          <w:lang w:val="en-GB" w:eastAsia="nb-NO"/>
        </w:rPr>
        <w:t>d</w:t>
      </w:r>
      <w:r w:rsidRPr="00752661">
        <w:rPr>
          <w:rFonts w:ascii="Open Sans" w:eastAsia="Times New Roman" w:hAnsi="Open Sans" w:cs="Open Sans"/>
          <w:color w:val="272833"/>
          <w:sz w:val="24"/>
          <w:szCs w:val="24"/>
          <w:lang w:val="en-GB" w:eastAsia="nb-NO"/>
        </w:rPr>
        <w:t>ean/</w:t>
      </w:r>
      <w:r w:rsidR="00FE060A">
        <w:rPr>
          <w:rFonts w:ascii="Open Sans" w:eastAsia="Times New Roman" w:hAnsi="Open Sans" w:cs="Open Sans"/>
          <w:color w:val="272833"/>
          <w:sz w:val="24"/>
          <w:szCs w:val="24"/>
          <w:lang w:val="en-GB" w:eastAsia="nb-NO"/>
        </w:rPr>
        <w:t>m</w:t>
      </w:r>
      <w:r w:rsidRPr="00752661">
        <w:rPr>
          <w:rFonts w:ascii="Open Sans" w:eastAsia="Times New Roman" w:hAnsi="Open Sans" w:cs="Open Sans"/>
          <w:color w:val="272833"/>
          <w:sz w:val="24"/>
          <w:szCs w:val="24"/>
          <w:lang w:val="en-GB" w:eastAsia="nb-NO"/>
        </w:rPr>
        <w:t xml:space="preserve">useum </w:t>
      </w:r>
      <w:r w:rsidR="00FE060A">
        <w:rPr>
          <w:rFonts w:ascii="Open Sans" w:eastAsia="Times New Roman" w:hAnsi="Open Sans" w:cs="Open Sans"/>
          <w:color w:val="272833"/>
          <w:sz w:val="24"/>
          <w:szCs w:val="24"/>
          <w:lang w:val="en-GB" w:eastAsia="nb-NO"/>
        </w:rPr>
        <w:t>d</w:t>
      </w:r>
      <w:r w:rsidRPr="00752661">
        <w:rPr>
          <w:rFonts w:ascii="Open Sans" w:eastAsia="Times New Roman" w:hAnsi="Open Sans" w:cs="Open Sans"/>
          <w:color w:val="272833"/>
          <w:sz w:val="24"/>
          <w:szCs w:val="24"/>
          <w:lang w:val="en-GB" w:eastAsia="nb-NO"/>
        </w:rPr>
        <w:t xml:space="preserve">irector appoints the representatives of the academic staff and the student representative </w:t>
      </w:r>
      <w:proofErr w:type="gramStart"/>
      <w:r w:rsidRPr="00752661">
        <w:rPr>
          <w:rFonts w:ascii="Open Sans" w:eastAsia="Times New Roman" w:hAnsi="Open Sans" w:cs="Open Sans"/>
          <w:color w:val="272833"/>
          <w:sz w:val="24"/>
          <w:szCs w:val="24"/>
          <w:lang w:val="en-GB" w:eastAsia="nb-NO"/>
        </w:rPr>
        <w:t>on the basis of</w:t>
      </w:r>
      <w:proofErr w:type="gramEnd"/>
      <w:r w:rsidRPr="00752661">
        <w:rPr>
          <w:rFonts w:ascii="Open Sans" w:eastAsia="Times New Roman" w:hAnsi="Open Sans" w:cs="Open Sans"/>
          <w:color w:val="272833"/>
          <w:sz w:val="24"/>
          <w:szCs w:val="24"/>
          <w:lang w:val="en-GB" w:eastAsia="nb-NO"/>
        </w:rPr>
        <w:t xml:space="preserve"> a proposal from the </w:t>
      </w:r>
      <w:r w:rsidR="00FE060A">
        <w:rPr>
          <w:rFonts w:ascii="Open Sans" w:eastAsia="Times New Roman" w:hAnsi="Open Sans" w:cs="Open Sans"/>
          <w:color w:val="272833"/>
          <w:sz w:val="24"/>
          <w:szCs w:val="24"/>
          <w:lang w:val="en-GB" w:eastAsia="nb-NO"/>
        </w:rPr>
        <w:t>b</w:t>
      </w:r>
      <w:r w:rsidRPr="00752661">
        <w:rPr>
          <w:rFonts w:ascii="Open Sans" w:eastAsia="Times New Roman" w:hAnsi="Open Sans" w:cs="Open Sans"/>
          <w:color w:val="272833"/>
          <w:sz w:val="24"/>
          <w:szCs w:val="24"/>
          <w:lang w:val="en-GB" w:eastAsia="nb-NO"/>
        </w:rPr>
        <w:t>oard.</w:t>
      </w:r>
    </w:p>
    <w:p w14:paraId="3E05AFF1"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Each gender shall be represented by at least 40 % of the members of the appointments committee (</w:t>
      </w:r>
      <w:hyperlink r:id="rId22" w:history="1">
        <w:r w:rsidRPr="00752661">
          <w:rPr>
            <w:rFonts w:ascii="Open Sans" w:eastAsia="Times New Roman" w:hAnsi="Open Sans" w:cs="Open Sans"/>
            <w:color w:val="0B5FFF"/>
            <w:sz w:val="24"/>
            <w:szCs w:val="24"/>
            <w:u w:val="single"/>
            <w:lang w:val="en-GB" w:eastAsia="nb-NO"/>
          </w:rPr>
          <w:t>see Section 28 of the Act relating to Gender Equality</w:t>
        </w:r>
      </w:hyperlink>
      <w:r w:rsidRPr="00752661">
        <w:rPr>
          <w:rFonts w:ascii="Open Sans" w:eastAsia="Times New Roman" w:hAnsi="Open Sans" w:cs="Open Sans"/>
          <w:color w:val="272833"/>
          <w:sz w:val="24"/>
          <w:szCs w:val="24"/>
          <w:lang w:val="en-GB" w:eastAsia="nb-NO"/>
        </w:rPr>
        <w:t>).</w:t>
      </w:r>
    </w:p>
    <w:p w14:paraId="7B3B7B7A" w14:textId="678C3F0E"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lastRenderedPageBreak/>
        <w:t xml:space="preserve">For appointments to positions where the </w:t>
      </w:r>
      <w:r w:rsidR="00157FD4">
        <w:rPr>
          <w:rFonts w:ascii="Open Sans" w:eastAsia="Times New Roman" w:hAnsi="Open Sans" w:cs="Open Sans"/>
          <w:color w:val="272833"/>
          <w:sz w:val="24"/>
          <w:szCs w:val="24"/>
          <w:lang w:val="en-GB" w:eastAsia="nb-NO"/>
        </w:rPr>
        <w:t>d</w:t>
      </w:r>
      <w:r w:rsidRPr="00752661">
        <w:rPr>
          <w:rFonts w:ascii="Open Sans" w:eastAsia="Times New Roman" w:hAnsi="Open Sans" w:cs="Open Sans"/>
          <w:color w:val="272833"/>
          <w:sz w:val="24"/>
          <w:szCs w:val="24"/>
          <w:lang w:val="en-GB" w:eastAsia="nb-NO"/>
        </w:rPr>
        <w:t>ean/</w:t>
      </w:r>
      <w:r w:rsidR="00157FD4">
        <w:rPr>
          <w:rFonts w:ascii="Open Sans" w:eastAsia="Times New Roman" w:hAnsi="Open Sans" w:cs="Open Sans"/>
          <w:color w:val="272833"/>
          <w:sz w:val="24"/>
          <w:szCs w:val="24"/>
          <w:lang w:val="en-GB" w:eastAsia="nb-NO"/>
        </w:rPr>
        <w:t>m</w:t>
      </w:r>
      <w:r w:rsidRPr="00752661">
        <w:rPr>
          <w:rFonts w:ascii="Open Sans" w:eastAsia="Times New Roman" w:hAnsi="Open Sans" w:cs="Open Sans"/>
          <w:color w:val="272833"/>
          <w:sz w:val="24"/>
          <w:szCs w:val="24"/>
          <w:lang w:val="en-GB" w:eastAsia="nb-NO"/>
        </w:rPr>
        <w:t xml:space="preserve">useum </w:t>
      </w:r>
      <w:r w:rsidR="00157FD4">
        <w:rPr>
          <w:rFonts w:ascii="Open Sans" w:eastAsia="Times New Roman" w:hAnsi="Open Sans" w:cs="Open Sans"/>
          <w:color w:val="272833"/>
          <w:sz w:val="24"/>
          <w:szCs w:val="24"/>
          <w:lang w:val="en-GB" w:eastAsia="nb-NO"/>
        </w:rPr>
        <w:t>d</w:t>
      </w:r>
      <w:r w:rsidRPr="00752661">
        <w:rPr>
          <w:rFonts w:ascii="Open Sans" w:eastAsia="Times New Roman" w:hAnsi="Open Sans" w:cs="Open Sans"/>
          <w:color w:val="272833"/>
          <w:sz w:val="24"/>
          <w:szCs w:val="24"/>
          <w:lang w:val="en-GB" w:eastAsia="nb-NO"/>
        </w:rPr>
        <w:t xml:space="preserve">irector has a conflict of interest, he or she withdraws from the meeting during </w:t>
      </w:r>
      <w:r w:rsidR="00157FD4">
        <w:rPr>
          <w:rFonts w:ascii="Open Sans" w:eastAsia="Times New Roman" w:hAnsi="Open Sans" w:cs="Open Sans"/>
          <w:color w:val="272833"/>
          <w:sz w:val="24"/>
          <w:szCs w:val="24"/>
          <w:lang w:val="en-GB" w:eastAsia="nb-NO"/>
        </w:rPr>
        <w:t xml:space="preserve">the </w:t>
      </w:r>
      <w:r w:rsidRPr="00752661">
        <w:rPr>
          <w:rFonts w:ascii="Open Sans" w:eastAsia="Times New Roman" w:hAnsi="Open Sans" w:cs="Open Sans"/>
          <w:color w:val="272833"/>
          <w:sz w:val="24"/>
          <w:szCs w:val="24"/>
          <w:lang w:val="en-GB" w:eastAsia="nb-NO"/>
        </w:rPr>
        <w:t>discussion of the matter and is replaced by the Rector or the person authorized by the Rector.</w:t>
      </w:r>
    </w:p>
    <w:p w14:paraId="023B9EFA" w14:textId="77777777" w:rsidR="00157FD4"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The chair of the appointments committee appoints the deputy chair from the other representatives of the employer. </w:t>
      </w:r>
    </w:p>
    <w:p w14:paraId="33FCE9BD" w14:textId="1E42D279" w:rsid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appointments committee may decide that others may also attend in connection with a specific case.</w:t>
      </w:r>
    </w:p>
    <w:p w14:paraId="2455F63F" w14:textId="0671088F" w:rsidR="00175DC4" w:rsidRDefault="00175DC4"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 xml:space="preserve">Termination cases covered by </w:t>
      </w:r>
      <w:r w:rsidR="00EA75C7">
        <w:rPr>
          <w:rFonts w:ascii="Open Sans" w:eastAsia="Times New Roman" w:hAnsi="Open Sans" w:cs="Open Sans"/>
          <w:color w:val="272833"/>
          <w:sz w:val="24"/>
          <w:szCs w:val="24"/>
          <w:lang w:val="en-GB" w:eastAsia="nb-NO"/>
        </w:rPr>
        <w:t>the Public Employees Act</w:t>
      </w:r>
      <w:r>
        <w:rPr>
          <w:rFonts w:ascii="Open Sans" w:eastAsia="Times New Roman" w:hAnsi="Open Sans" w:cs="Open Sans"/>
          <w:color w:val="272833"/>
          <w:sz w:val="24"/>
          <w:szCs w:val="24"/>
          <w:lang w:val="en-GB" w:eastAsia="nb-NO"/>
        </w:rPr>
        <w:t xml:space="preserve"> section 19 Termination due to the business conditions (allocation cuts, loss of work duties </w:t>
      </w:r>
      <w:r w:rsidR="000B7668">
        <w:rPr>
          <w:rFonts w:ascii="Open Sans" w:eastAsia="Times New Roman" w:hAnsi="Open Sans" w:cs="Open Sans"/>
          <w:color w:val="272833"/>
          <w:sz w:val="24"/>
          <w:szCs w:val="24"/>
          <w:lang w:val="en-GB" w:eastAsia="nb-NO"/>
        </w:rPr>
        <w:t>because of</w:t>
      </w:r>
      <w:r>
        <w:rPr>
          <w:rFonts w:ascii="Open Sans" w:eastAsia="Times New Roman" w:hAnsi="Open Sans" w:cs="Open Sans"/>
          <w:color w:val="272833"/>
          <w:sz w:val="24"/>
          <w:szCs w:val="24"/>
          <w:lang w:val="en-GB" w:eastAsia="nb-NO"/>
        </w:rPr>
        <w:t xml:space="preserve"> restructuring and streamlining, cessation of external funding), are processed by a central appointments committee, and not by ordinary appointment</w:t>
      </w:r>
      <w:r w:rsidR="000B7668">
        <w:rPr>
          <w:rFonts w:ascii="Open Sans" w:eastAsia="Times New Roman" w:hAnsi="Open Sans" w:cs="Open Sans"/>
          <w:color w:val="272833"/>
          <w:sz w:val="24"/>
          <w:szCs w:val="24"/>
          <w:lang w:val="en-GB" w:eastAsia="nb-NO"/>
        </w:rPr>
        <w:t>s</w:t>
      </w:r>
      <w:r>
        <w:rPr>
          <w:rFonts w:ascii="Open Sans" w:eastAsia="Times New Roman" w:hAnsi="Open Sans" w:cs="Open Sans"/>
          <w:color w:val="272833"/>
          <w:sz w:val="24"/>
          <w:szCs w:val="24"/>
          <w:lang w:val="en-GB" w:eastAsia="nb-NO"/>
        </w:rPr>
        <w:t xml:space="preserve"> committees. The composition of the central appointments committee is </w:t>
      </w:r>
      <w:r w:rsidR="000B7668">
        <w:rPr>
          <w:rFonts w:ascii="Open Sans" w:eastAsia="Times New Roman" w:hAnsi="Open Sans" w:cs="Open Sans"/>
          <w:color w:val="272833"/>
          <w:sz w:val="24"/>
          <w:szCs w:val="24"/>
          <w:lang w:val="en-GB" w:eastAsia="nb-NO"/>
        </w:rPr>
        <w:t>like</w:t>
      </w:r>
      <w:r>
        <w:rPr>
          <w:rFonts w:ascii="Open Sans" w:eastAsia="Times New Roman" w:hAnsi="Open Sans" w:cs="Open Sans"/>
          <w:color w:val="272833"/>
          <w:sz w:val="24"/>
          <w:szCs w:val="24"/>
          <w:lang w:val="en-GB" w:eastAsia="nb-NO"/>
        </w:rPr>
        <w:t xml:space="preserve"> ordinary appointment</w:t>
      </w:r>
      <w:r w:rsidR="000B7668">
        <w:rPr>
          <w:rFonts w:ascii="Open Sans" w:eastAsia="Times New Roman" w:hAnsi="Open Sans" w:cs="Open Sans"/>
          <w:color w:val="272833"/>
          <w:sz w:val="24"/>
          <w:szCs w:val="24"/>
          <w:lang w:val="en-GB" w:eastAsia="nb-NO"/>
        </w:rPr>
        <w:t>s</w:t>
      </w:r>
      <w:r>
        <w:rPr>
          <w:rFonts w:ascii="Open Sans" w:eastAsia="Times New Roman" w:hAnsi="Open Sans" w:cs="Open Sans"/>
          <w:color w:val="272833"/>
          <w:sz w:val="24"/>
          <w:szCs w:val="24"/>
          <w:lang w:val="en-GB" w:eastAsia="nb-NO"/>
        </w:rPr>
        <w:t xml:space="preserve"> committee</w:t>
      </w:r>
      <w:r w:rsidR="000B7668">
        <w:rPr>
          <w:rFonts w:ascii="Open Sans" w:eastAsia="Times New Roman" w:hAnsi="Open Sans" w:cs="Open Sans"/>
          <w:color w:val="272833"/>
          <w:sz w:val="24"/>
          <w:szCs w:val="24"/>
          <w:lang w:val="en-GB" w:eastAsia="nb-NO"/>
        </w:rPr>
        <w:t>s</w:t>
      </w:r>
      <w:r>
        <w:rPr>
          <w:rFonts w:ascii="Open Sans" w:eastAsia="Times New Roman" w:hAnsi="Open Sans" w:cs="Open Sans"/>
          <w:color w:val="272833"/>
          <w:sz w:val="24"/>
          <w:szCs w:val="24"/>
          <w:lang w:val="en-GB" w:eastAsia="nb-NO"/>
        </w:rPr>
        <w:t xml:space="preserve"> with the f</w:t>
      </w:r>
      <w:r w:rsidR="000B7668">
        <w:rPr>
          <w:rFonts w:ascii="Open Sans" w:eastAsia="Times New Roman" w:hAnsi="Open Sans" w:cs="Open Sans"/>
          <w:color w:val="272833"/>
          <w:sz w:val="24"/>
          <w:szCs w:val="24"/>
          <w:lang w:val="en-GB" w:eastAsia="nb-NO"/>
        </w:rPr>
        <w:t>ollowing exceptions: The head of HR NTNU is chair of the central appointments committee, and the Rector appoints the academic staff representatives. The temporary academic staff representative shall be replaced by a permanent academic staff representative if the committee has not received a proposal for a temporary academic staff member from the faculty/unit.</w:t>
      </w:r>
    </w:p>
    <w:p w14:paraId="089FB93A" w14:textId="0F22B3E5" w:rsidR="00752661" w:rsidRPr="00752661" w:rsidRDefault="005049B6"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b/>
          <w:bCs/>
          <w:color w:val="272833"/>
          <w:sz w:val="24"/>
          <w:szCs w:val="24"/>
          <w:lang w:val="en-GB" w:eastAsia="nb-NO"/>
        </w:rPr>
        <w:t>7</w:t>
      </w:r>
      <w:r w:rsidR="00752661" w:rsidRPr="00752661">
        <w:rPr>
          <w:rFonts w:ascii="Open Sans" w:eastAsia="Times New Roman" w:hAnsi="Open Sans" w:cs="Open Sans"/>
          <w:b/>
          <w:bCs/>
          <w:color w:val="272833"/>
          <w:sz w:val="24"/>
          <w:szCs w:val="24"/>
          <w:lang w:val="en-GB" w:eastAsia="nb-NO"/>
        </w:rPr>
        <w:t>.3 Rules of procedure for the appointments committee</w:t>
      </w:r>
    </w:p>
    <w:p w14:paraId="72919712" w14:textId="19E3236D"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appointments committee makes decision</w:t>
      </w:r>
      <w:r w:rsidR="00EA75C7">
        <w:rPr>
          <w:rFonts w:ascii="Open Sans" w:eastAsia="Times New Roman" w:hAnsi="Open Sans" w:cs="Open Sans"/>
          <w:color w:val="272833"/>
          <w:sz w:val="24"/>
          <w:szCs w:val="24"/>
          <w:lang w:val="en-GB" w:eastAsia="nb-NO"/>
        </w:rPr>
        <w:t>s</w:t>
      </w:r>
      <w:r w:rsidRPr="00752661">
        <w:rPr>
          <w:rFonts w:ascii="Open Sans" w:eastAsia="Times New Roman" w:hAnsi="Open Sans" w:cs="Open Sans"/>
          <w:color w:val="272833"/>
          <w:sz w:val="24"/>
          <w:szCs w:val="24"/>
          <w:lang w:val="en-GB" w:eastAsia="nb-NO"/>
        </w:rPr>
        <w:t xml:space="preserve"> </w:t>
      </w:r>
      <w:r w:rsidR="00EA75C7">
        <w:rPr>
          <w:rFonts w:ascii="Open Sans" w:eastAsia="Times New Roman" w:hAnsi="Open Sans" w:cs="Open Sans"/>
          <w:color w:val="272833"/>
          <w:sz w:val="24"/>
          <w:szCs w:val="24"/>
          <w:lang w:val="en-GB" w:eastAsia="nb-NO"/>
        </w:rPr>
        <w:t>about</w:t>
      </w:r>
      <w:r w:rsidRPr="00752661">
        <w:rPr>
          <w:rFonts w:ascii="Open Sans" w:eastAsia="Times New Roman" w:hAnsi="Open Sans" w:cs="Open Sans"/>
          <w:color w:val="272833"/>
          <w:sz w:val="24"/>
          <w:szCs w:val="24"/>
          <w:lang w:val="en-GB" w:eastAsia="nb-NO"/>
        </w:rPr>
        <w:t xml:space="preserve"> who is to be appointed</w:t>
      </w:r>
      <w:r w:rsidR="000B7668">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see</w:t>
      </w:r>
      <w:r w:rsidR="00EA75C7">
        <w:rPr>
          <w:rFonts w:ascii="Open Sans" w:eastAsia="Times New Roman" w:hAnsi="Open Sans" w:cs="Open Sans"/>
          <w:color w:val="272833"/>
          <w:sz w:val="24"/>
          <w:szCs w:val="24"/>
          <w:lang w:val="en-GB" w:eastAsia="nb-NO"/>
        </w:rPr>
        <w:t xml:space="preserve"> section 6.1 of the Public Employees Act</w:t>
      </w:r>
      <w:r w:rsidRPr="00752661">
        <w:rPr>
          <w:rFonts w:ascii="Open Sans" w:eastAsia="Times New Roman" w:hAnsi="Open Sans" w:cs="Open Sans"/>
          <w:color w:val="272833"/>
          <w:sz w:val="24"/>
          <w:szCs w:val="24"/>
          <w:lang w:val="en-GB" w:eastAsia="nb-NO"/>
        </w:rPr>
        <w:t> </w:t>
      </w:r>
      <w:hyperlink r:id="rId23" w:anchor="%C2%A76" w:history="1">
        <w:r w:rsidRPr="00752661">
          <w:rPr>
            <w:rFonts w:ascii="Open Sans" w:eastAsia="Times New Roman" w:hAnsi="Open Sans" w:cs="Open Sans"/>
            <w:color w:val="0B5FFF"/>
            <w:sz w:val="24"/>
            <w:szCs w:val="24"/>
            <w:u w:val="single"/>
            <w:lang w:val="en-GB" w:eastAsia="nb-NO"/>
          </w:rPr>
          <w:t>(in Norwegia</w:t>
        </w:r>
        <w:r w:rsidR="00880430">
          <w:rPr>
            <w:rFonts w:ascii="Open Sans" w:eastAsia="Times New Roman" w:hAnsi="Open Sans" w:cs="Open Sans"/>
            <w:color w:val="0B5FFF"/>
            <w:sz w:val="24"/>
            <w:szCs w:val="24"/>
            <w:u w:val="single"/>
            <w:lang w:val="en-GB" w:eastAsia="nb-NO"/>
          </w:rPr>
          <w:t xml:space="preserve">n: </w:t>
        </w:r>
        <w:proofErr w:type="spellStart"/>
        <w:r w:rsidR="00880430">
          <w:rPr>
            <w:rFonts w:ascii="Open Sans" w:eastAsia="Times New Roman" w:hAnsi="Open Sans" w:cs="Open Sans"/>
            <w:color w:val="0B5FFF"/>
            <w:sz w:val="24"/>
            <w:szCs w:val="24"/>
            <w:u w:val="single"/>
            <w:lang w:val="en-GB" w:eastAsia="nb-NO"/>
          </w:rPr>
          <w:t>Statsansatteloven</w:t>
        </w:r>
        <w:proofErr w:type="spellEnd"/>
        <w:r w:rsidRPr="00752661">
          <w:rPr>
            <w:rFonts w:ascii="Open Sans" w:eastAsia="Times New Roman" w:hAnsi="Open Sans" w:cs="Open Sans"/>
            <w:color w:val="0B5FFF"/>
            <w:sz w:val="24"/>
            <w:szCs w:val="24"/>
            <w:u w:val="single"/>
            <w:lang w:val="en-GB" w:eastAsia="nb-NO"/>
          </w:rPr>
          <w:t>)</w:t>
        </w:r>
      </w:hyperlink>
      <w:r w:rsidR="00EA75C7">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exemption from the trial period</w:t>
      </w:r>
      <w:r w:rsidR="00EA75C7">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see</w:t>
      </w:r>
      <w:r w:rsidR="00EA75C7">
        <w:rPr>
          <w:rFonts w:ascii="Open Sans" w:eastAsia="Times New Roman" w:hAnsi="Open Sans" w:cs="Open Sans"/>
          <w:color w:val="272833"/>
          <w:sz w:val="24"/>
          <w:szCs w:val="24"/>
          <w:lang w:val="en-GB" w:eastAsia="nb-NO"/>
        </w:rPr>
        <w:t xml:space="preserve"> section 15.1</w:t>
      </w:r>
      <w:r w:rsidRPr="00752661">
        <w:rPr>
          <w:rFonts w:ascii="Open Sans" w:eastAsia="Times New Roman" w:hAnsi="Open Sans" w:cs="Open Sans"/>
          <w:color w:val="272833"/>
          <w:sz w:val="24"/>
          <w:szCs w:val="24"/>
          <w:lang w:val="en-GB" w:eastAsia="nb-NO"/>
        </w:rPr>
        <w:t xml:space="preserve">, </w:t>
      </w:r>
      <w:r w:rsidR="00EA75C7">
        <w:rPr>
          <w:rFonts w:ascii="Open Sans" w:eastAsia="Times New Roman" w:hAnsi="Open Sans" w:cs="Open Sans"/>
          <w:color w:val="272833"/>
          <w:sz w:val="24"/>
          <w:szCs w:val="24"/>
          <w:lang w:val="en-GB" w:eastAsia="nb-NO"/>
        </w:rPr>
        <w:t xml:space="preserve">as well as disciplinary punishment, </w:t>
      </w:r>
      <w:r w:rsidRPr="00752661">
        <w:rPr>
          <w:rFonts w:ascii="Open Sans" w:eastAsia="Times New Roman" w:hAnsi="Open Sans" w:cs="Open Sans"/>
          <w:color w:val="272833"/>
          <w:sz w:val="24"/>
          <w:szCs w:val="24"/>
          <w:lang w:val="en-GB" w:eastAsia="nb-NO"/>
        </w:rPr>
        <w:t xml:space="preserve">suspension, </w:t>
      </w:r>
      <w:r w:rsidR="00EA75C7">
        <w:rPr>
          <w:rFonts w:ascii="Open Sans" w:eastAsia="Times New Roman" w:hAnsi="Open Sans" w:cs="Open Sans"/>
          <w:color w:val="272833"/>
          <w:sz w:val="24"/>
          <w:szCs w:val="24"/>
          <w:lang w:val="en-GB" w:eastAsia="nb-NO"/>
        </w:rPr>
        <w:t xml:space="preserve">or </w:t>
      </w:r>
      <w:r w:rsidRPr="00752661">
        <w:rPr>
          <w:rFonts w:ascii="Open Sans" w:eastAsia="Times New Roman" w:hAnsi="Open Sans" w:cs="Open Sans"/>
          <w:color w:val="272833"/>
          <w:sz w:val="24"/>
          <w:szCs w:val="24"/>
          <w:lang w:val="en-GB" w:eastAsia="nb-NO"/>
        </w:rPr>
        <w:t>dismissal</w:t>
      </w:r>
      <w:r w:rsidR="00EA75C7">
        <w:rPr>
          <w:rFonts w:ascii="Open Sans" w:eastAsia="Times New Roman" w:hAnsi="Open Sans" w:cs="Open Sans"/>
          <w:color w:val="272833"/>
          <w:sz w:val="24"/>
          <w:szCs w:val="24"/>
          <w:lang w:val="en-GB" w:eastAsia="nb-NO"/>
        </w:rPr>
        <w:t xml:space="preserve"> due to the employee’s circumstances, see section 20, </w:t>
      </w:r>
      <w:r w:rsidRPr="00752661">
        <w:rPr>
          <w:rFonts w:ascii="Open Sans" w:eastAsia="Times New Roman" w:hAnsi="Open Sans" w:cs="Open Sans"/>
          <w:color w:val="272833"/>
          <w:sz w:val="24"/>
          <w:szCs w:val="24"/>
          <w:lang w:val="en-GB" w:eastAsia="nb-NO"/>
        </w:rPr>
        <w:t>and summary discharge</w:t>
      </w:r>
      <w:r w:rsidR="00EA75C7">
        <w:rPr>
          <w:rFonts w:ascii="Open Sans" w:eastAsia="Times New Roman" w:hAnsi="Open Sans" w:cs="Open Sans"/>
          <w:color w:val="272833"/>
          <w:sz w:val="24"/>
          <w:szCs w:val="24"/>
          <w:lang w:val="en-GB" w:eastAsia="nb-NO"/>
        </w:rPr>
        <w:t xml:space="preserve">, </w:t>
      </w:r>
      <w:r w:rsidRPr="00752661">
        <w:rPr>
          <w:rFonts w:ascii="Open Sans" w:eastAsia="Times New Roman" w:hAnsi="Open Sans" w:cs="Open Sans"/>
          <w:color w:val="272833"/>
          <w:sz w:val="24"/>
          <w:szCs w:val="24"/>
          <w:lang w:val="en-GB" w:eastAsia="nb-NO"/>
        </w:rPr>
        <w:t>see</w:t>
      </w:r>
      <w:r w:rsidR="00EA75C7">
        <w:rPr>
          <w:rFonts w:ascii="Open Sans" w:eastAsia="Times New Roman" w:hAnsi="Open Sans" w:cs="Open Sans"/>
          <w:color w:val="272833"/>
          <w:sz w:val="24"/>
          <w:szCs w:val="24"/>
          <w:lang w:val="en-GB" w:eastAsia="nb-NO"/>
        </w:rPr>
        <w:t xml:space="preserve"> section 30.1</w:t>
      </w:r>
      <w:r w:rsidRPr="00752661">
        <w:rPr>
          <w:rFonts w:ascii="Open Sans" w:eastAsia="Times New Roman" w:hAnsi="Open Sans" w:cs="Open Sans"/>
          <w:color w:val="272833"/>
          <w:sz w:val="24"/>
          <w:szCs w:val="24"/>
          <w:lang w:val="en-GB" w:eastAsia="nb-NO"/>
        </w:rPr>
        <w:t>.</w:t>
      </w:r>
    </w:p>
    <w:p w14:paraId="5CE2D17A"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appointments committee is to make decisions in meetings. In exceptional cases, matters may be dealt with through circulation of documents if the members of the committee agree on this. If at least one of the appointments committee members requires a meeting in a specific case, or the written procedures show dissent, the matter must be considered in a meeting.</w:t>
      </w:r>
    </w:p>
    <w:p w14:paraId="048B2485"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In public government administration, participation in an appointments committee is generally an official duty. The committee members may not prevent decisions by failing to participate in the procedures or refusing to sign the minutes of a meeting. However, if some of the committee members do not participate in the procedures for a case or do not sign the minutes of a meeting, the committee has a quorum if at least half of the members participate and sign.</w:t>
      </w:r>
    </w:p>
    <w:p w14:paraId="6904A4B5" w14:textId="5124FCED"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lastRenderedPageBreak/>
        <w:t>Appointments committees are independent administrative bodies with the aim of contributing to independent and satisfactory administrative procedures. Among other things, this entails the duty to ensure that there is sufficient information about the case before a decision is made; see</w:t>
      </w:r>
      <w:r w:rsidR="00DA67B9">
        <w:rPr>
          <w:rFonts w:ascii="Open Sans" w:eastAsia="Times New Roman" w:hAnsi="Open Sans" w:cs="Open Sans"/>
          <w:color w:val="272833"/>
          <w:sz w:val="24"/>
          <w:szCs w:val="24"/>
          <w:lang w:val="en-GB" w:eastAsia="nb-NO"/>
        </w:rPr>
        <w:t xml:space="preserve"> section 17 of the </w:t>
      </w:r>
      <w:hyperlink r:id="rId24" w:history="1">
        <w:r w:rsidR="00DA67B9" w:rsidRPr="00880430">
          <w:rPr>
            <w:rStyle w:val="Hyperkobling"/>
            <w:rFonts w:ascii="Open Sans" w:eastAsia="Times New Roman" w:hAnsi="Open Sans" w:cs="Open Sans"/>
            <w:sz w:val="24"/>
            <w:szCs w:val="24"/>
            <w:lang w:val="en-GB" w:eastAsia="nb-NO"/>
          </w:rPr>
          <w:t>Public Administration Act</w:t>
        </w:r>
      </w:hyperlink>
      <w:r w:rsidR="00880430">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The appointments committee may therefore decide that people other than the members may also attend </w:t>
      </w:r>
      <w:proofErr w:type="gramStart"/>
      <w:r w:rsidRPr="00752661">
        <w:rPr>
          <w:rFonts w:ascii="Open Sans" w:eastAsia="Times New Roman" w:hAnsi="Open Sans" w:cs="Open Sans"/>
          <w:color w:val="272833"/>
          <w:sz w:val="24"/>
          <w:szCs w:val="24"/>
          <w:lang w:val="en-GB" w:eastAsia="nb-NO"/>
        </w:rPr>
        <w:t>in order to</w:t>
      </w:r>
      <w:proofErr w:type="gramEnd"/>
      <w:r w:rsidRPr="00752661">
        <w:rPr>
          <w:rFonts w:ascii="Open Sans" w:eastAsia="Times New Roman" w:hAnsi="Open Sans" w:cs="Open Sans"/>
          <w:color w:val="272833"/>
          <w:sz w:val="24"/>
          <w:szCs w:val="24"/>
          <w:lang w:val="en-GB" w:eastAsia="nb-NO"/>
        </w:rPr>
        <w:t xml:space="preserve"> shed light on a specific case. Such people leave the meeting when the actual decision in the case is to be made.</w:t>
      </w:r>
    </w:p>
    <w:p w14:paraId="722F9BE7" w14:textId="11D0761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Members of </w:t>
      </w:r>
      <w:r w:rsidR="003E6B86">
        <w:rPr>
          <w:rFonts w:ascii="Open Sans" w:eastAsia="Times New Roman" w:hAnsi="Open Sans" w:cs="Open Sans"/>
          <w:color w:val="272833"/>
          <w:sz w:val="24"/>
          <w:szCs w:val="24"/>
          <w:lang w:val="en-GB" w:eastAsia="nb-NO"/>
        </w:rPr>
        <w:t xml:space="preserve">the </w:t>
      </w:r>
      <w:r w:rsidRPr="00752661">
        <w:rPr>
          <w:rFonts w:ascii="Open Sans" w:eastAsia="Times New Roman" w:hAnsi="Open Sans" w:cs="Open Sans"/>
          <w:color w:val="272833"/>
          <w:sz w:val="24"/>
          <w:szCs w:val="24"/>
          <w:lang w:val="en-GB" w:eastAsia="nb-NO"/>
        </w:rPr>
        <w:t xml:space="preserve">appointments committee are not subject to instructional authority. All members of the appointments committee can ask questions necessary to obtain further information about the case, including questions about </w:t>
      </w:r>
      <w:r w:rsidR="00DA67B9">
        <w:rPr>
          <w:rFonts w:ascii="Open Sans" w:eastAsia="Times New Roman" w:hAnsi="Open Sans" w:cs="Open Sans"/>
          <w:color w:val="272833"/>
          <w:sz w:val="24"/>
          <w:szCs w:val="24"/>
          <w:lang w:val="en-GB" w:eastAsia="nb-NO"/>
        </w:rPr>
        <w:t xml:space="preserve">the </w:t>
      </w:r>
      <w:r w:rsidRPr="00752661">
        <w:rPr>
          <w:rFonts w:ascii="Open Sans" w:eastAsia="Times New Roman" w:hAnsi="Open Sans" w:cs="Open Sans"/>
          <w:color w:val="272833"/>
          <w:sz w:val="24"/>
          <w:szCs w:val="24"/>
          <w:lang w:val="en-GB" w:eastAsia="nb-NO"/>
        </w:rPr>
        <w:t xml:space="preserve">assessment of qualifications, legal authority for temporary </w:t>
      </w:r>
      <w:r w:rsidR="003E6B86">
        <w:rPr>
          <w:rFonts w:ascii="Open Sans" w:eastAsia="Times New Roman" w:hAnsi="Open Sans" w:cs="Open Sans"/>
          <w:color w:val="272833"/>
          <w:sz w:val="24"/>
          <w:szCs w:val="24"/>
          <w:lang w:val="en-GB" w:eastAsia="nb-NO"/>
        </w:rPr>
        <w:t>appointments</w:t>
      </w:r>
      <w:r w:rsidR="00DA67B9">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and applicants with special rights. If the opinion of a majority of the </w:t>
      </w:r>
      <w:r w:rsidR="003E6B86">
        <w:rPr>
          <w:rFonts w:ascii="Open Sans" w:eastAsia="Times New Roman" w:hAnsi="Open Sans" w:cs="Open Sans"/>
          <w:color w:val="272833"/>
          <w:sz w:val="24"/>
          <w:szCs w:val="24"/>
          <w:lang w:val="en-GB" w:eastAsia="nb-NO"/>
        </w:rPr>
        <w:t xml:space="preserve">members of the </w:t>
      </w:r>
      <w:r w:rsidRPr="00752661">
        <w:rPr>
          <w:rFonts w:ascii="Open Sans" w:eastAsia="Times New Roman" w:hAnsi="Open Sans" w:cs="Open Sans"/>
          <w:color w:val="272833"/>
          <w:sz w:val="24"/>
          <w:szCs w:val="24"/>
          <w:lang w:val="en-GB" w:eastAsia="nb-NO"/>
        </w:rPr>
        <w:t>appointments committee is that the information about the matter is inadequate, the matter can be returned to the nominating authority for a new assessment.</w:t>
      </w:r>
    </w:p>
    <w:p w14:paraId="277CD931" w14:textId="7644BC73"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nomination submitted by the nominating authority must be comprehensive enough to provide the appointments committee with an adequate basis for assessment. If a member of an appointments committee or a board wishes to appoint an applicant who has not been nominated, a written assessment of the applicant must be obtained from the nominating body see</w:t>
      </w:r>
      <w:r w:rsidR="003E6B86">
        <w:rPr>
          <w:rFonts w:ascii="Open Sans" w:eastAsia="Times New Roman" w:hAnsi="Open Sans" w:cs="Open Sans"/>
          <w:color w:val="272833"/>
          <w:sz w:val="24"/>
          <w:szCs w:val="24"/>
          <w:lang w:val="en-GB" w:eastAsia="nb-NO"/>
        </w:rPr>
        <w:t xml:space="preserve"> section 6.3 of the Public Employees Act </w:t>
      </w:r>
      <w:hyperlink r:id="rId25" w:anchor="%C2%A76" w:history="1">
        <w:r w:rsidRPr="00752661">
          <w:rPr>
            <w:rFonts w:ascii="Open Sans" w:eastAsia="Times New Roman" w:hAnsi="Open Sans" w:cs="Open Sans"/>
            <w:color w:val="0B5FFF"/>
            <w:sz w:val="24"/>
            <w:szCs w:val="24"/>
            <w:u w:val="single"/>
            <w:lang w:val="en-GB" w:eastAsia="nb-NO"/>
          </w:rPr>
          <w:t>(in Norwegia</w:t>
        </w:r>
        <w:r w:rsidR="00880430">
          <w:rPr>
            <w:rFonts w:ascii="Open Sans" w:eastAsia="Times New Roman" w:hAnsi="Open Sans" w:cs="Open Sans"/>
            <w:color w:val="0B5FFF"/>
            <w:sz w:val="24"/>
            <w:szCs w:val="24"/>
            <w:u w:val="single"/>
            <w:lang w:val="en-GB" w:eastAsia="nb-NO"/>
          </w:rPr>
          <w:t xml:space="preserve">n: </w:t>
        </w:r>
        <w:proofErr w:type="spellStart"/>
        <w:r w:rsidR="00880430">
          <w:rPr>
            <w:rFonts w:ascii="Open Sans" w:eastAsia="Times New Roman" w:hAnsi="Open Sans" w:cs="Open Sans"/>
            <w:color w:val="0B5FFF"/>
            <w:sz w:val="24"/>
            <w:szCs w:val="24"/>
            <w:u w:val="single"/>
            <w:lang w:val="en-GB" w:eastAsia="nb-NO"/>
          </w:rPr>
          <w:t>Statsansatteloven</w:t>
        </w:r>
        <w:proofErr w:type="spellEnd"/>
      </w:hyperlink>
      <w:r w:rsidRPr="00752661">
        <w:rPr>
          <w:rFonts w:ascii="Open Sans" w:eastAsia="Times New Roman" w:hAnsi="Open Sans" w:cs="Open Sans"/>
          <w:color w:val="272833"/>
          <w:sz w:val="24"/>
          <w:szCs w:val="24"/>
          <w:lang w:val="en-GB" w:eastAsia="nb-NO"/>
        </w:rPr>
        <w:t>).</w:t>
      </w:r>
    </w:p>
    <w:p w14:paraId="7BA4F268" w14:textId="10F7F05A"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The final appointment decision is included in minutes signed by everyone or approved electronically. The matter is decided by </w:t>
      </w:r>
      <w:r w:rsidR="003E6B86">
        <w:rPr>
          <w:rFonts w:ascii="Open Sans" w:eastAsia="Times New Roman" w:hAnsi="Open Sans" w:cs="Open Sans"/>
          <w:color w:val="272833"/>
          <w:sz w:val="24"/>
          <w:szCs w:val="24"/>
          <w:lang w:val="en-GB" w:eastAsia="nb-NO"/>
        </w:rPr>
        <w:t>a general</w:t>
      </w:r>
      <w:r w:rsidRPr="00752661">
        <w:rPr>
          <w:rFonts w:ascii="Open Sans" w:eastAsia="Times New Roman" w:hAnsi="Open Sans" w:cs="Open Sans"/>
          <w:color w:val="272833"/>
          <w:sz w:val="24"/>
          <w:szCs w:val="24"/>
          <w:lang w:val="en-GB" w:eastAsia="nb-NO"/>
        </w:rPr>
        <w:t xml:space="preserve"> majority </w:t>
      </w:r>
      <w:r w:rsidR="003E6B86">
        <w:rPr>
          <w:rFonts w:ascii="Open Sans" w:eastAsia="Times New Roman" w:hAnsi="Open Sans" w:cs="Open Sans"/>
          <w:color w:val="272833"/>
          <w:sz w:val="24"/>
          <w:szCs w:val="24"/>
          <w:lang w:val="en-GB" w:eastAsia="nb-NO"/>
        </w:rPr>
        <w:t>decision</w:t>
      </w:r>
      <w:r w:rsidRPr="00752661">
        <w:rPr>
          <w:rFonts w:ascii="Open Sans" w:eastAsia="Times New Roman" w:hAnsi="Open Sans" w:cs="Open Sans"/>
          <w:color w:val="272833"/>
          <w:sz w:val="24"/>
          <w:szCs w:val="24"/>
          <w:lang w:val="en-GB" w:eastAsia="nb-NO"/>
        </w:rPr>
        <w:t>; if the vote is tied, the chair has the deciding vote.</w:t>
      </w:r>
    </w:p>
    <w:p w14:paraId="01F4762C"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decision on appointment and the employment contract shall indicate whether:</w:t>
      </w:r>
    </w:p>
    <w:p w14:paraId="1A66292A" w14:textId="77777777" w:rsidR="00752661" w:rsidRPr="00752661" w:rsidRDefault="00752661" w:rsidP="003E6B86">
      <w:pPr>
        <w:numPr>
          <w:ilvl w:val="0"/>
          <w:numId w:val="17"/>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person appointed is required to demonstrate knowledge of Norwegian or another Scandinavian language (Swedish or Danish).</w:t>
      </w:r>
    </w:p>
    <w:p w14:paraId="5C45E60F" w14:textId="77777777" w:rsidR="00752661" w:rsidRPr="00752661" w:rsidRDefault="00752661" w:rsidP="003E6B86">
      <w:pPr>
        <w:numPr>
          <w:ilvl w:val="0"/>
          <w:numId w:val="17"/>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person appointed is required to complete a course in university teaching within the work plan.</w:t>
      </w:r>
    </w:p>
    <w:p w14:paraId="0097A7F7" w14:textId="1003E4EE" w:rsidR="00752661" w:rsidRPr="00752661" w:rsidRDefault="00752661" w:rsidP="003E6B86">
      <w:pPr>
        <w:numPr>
          <w:ilvl w:val="0"/>
          <w:numId w:val="17"/>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the person appointed who does not </w:t>
      </w:r>
      <w:r w:rsidR="003E6B86">
        <w:rPr>
          <w:rFonts w:ascii="Open Sans" w:eastAsia="Times New Roman" w:hAnsi="Open Sans" w:cs="Open Sans"/>
          <w:color w:val="272833"/>
          <w:sz w:val="24"/>
          <w:szCs w:val="24"/>
          <w:lang w:val="en-GB" w:eastAsia="nb-NO"/>
        </w:rPr>
        <w:t>fulfil</w:t>
      </w:r>
      <w:r w:rsidRPr="00752661">
        <w:rPr>
          <w:rFonts w:ascii="Open Sans" w:eastAsia="Times New Roman" w:hAnsi="Open Sans" w:cs="Open Sans"/>
          <w:color w:val="272833"/>
          <w:sz w:val="24"/>
          <w:szCs w:val="24"/>
          <w:lang w:val="en-GB" w:eastAsia="nb-NO"/>
        </w:rPr>
        <w:t xml:space="preserve"> the requirements for teaching competence, instead of an offer of permanent appointment, is to be offered temporary appointment for up to 2 years pending complete fulfilment of the qualification requirements; see Section 1-2 of the </w:t>
      </w:r>
      <w:hyperlink r:id="rId26" w:history="1">
        <w:r w:rsidRPr="00067A13">
          <w:rPr>
            <w:rStyle w:val="Hyperkobling"/>
            <w:rFonts w:ascii="Open Sans" w:eastAsia="Times New Roman" w:hAnsi="Open Sans" w:cs="Open Sans"/>
            <w:sz w:val="24"/>
            <w:szCs w:val="24"/>
            <w:lang w:val="en-GB" w:eastAsia="nb-NO"/>
          </w:rPr>
          <w:t>Regulations</w:t>
        </w:r>
        <w:r w:rsidR="003E6B86" w:rsidRPr="00067A13">
          <w:rPr>
            <w:rStyle w:val="Hyperkobling"/>
            <w:rFonts w:ascii="Open Sans" w:eastAsia="Times New Roman" w:hAnsi="Open Sans" w:cs="Open Sans"/>
            <w:sz w:val="24"/>
            <w:szCs w:val="24"/>
            <w:lang w:val="en-GB" w:eastAsia="nb-NO"/>
          </w:rPr>
          <w:t xml:space="preserve"> concerning appointment and promotion to teaching and research posts</w:t>
        </w:r>
      </w:hyperlink>
      <w:r w:rsidRPr="00752661">
        <w:rPr>
          <w:rFonts w:ascii="Open Sans" w:eastAsia="Times New Roman" w:hAnsi="Open Sans" w:cs="Open Sans"/>
          <w:color w:val="272833"/>
          <w:sz w:val="24"/>
          <w:szCs w:val="24"/>
          <w:lang w:val="en-GB" w:eastAsia="nb-NO"/>
        </w:rPr>
        <w:t>.</w:t>
      </w:r>
    </w:p>
    <w:p w14:paraId="55137264" w14:textId="6BA301F3" w:rsidR="00752661" w:rsidRPr="00752661" w:rsidRDefault="00752661" w:rsidP="003E6B86">
      <w:pPr>
        <w:numPr>
          <w:ilvl w:val="0"/>
          <w:numId w:val="17"/>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lastRenderedPageBreak/>
        <w:t>the person appointed who does not fulfil the requirements for academic competence, instead of an offer of permanent appointment, is to be offered temporary appointment for up to 3 years with the possibility of extension for up to 6 months pending complete fulfilment of the qualification requirements for a permanent position. A prerequisite for this is that it is unlikely that a qualified applicant will respond to a new advertisement. For more detailed provisions, see</w:t>
      </w:r>
      <w:r w:rsidR="00067A13">
        <w:rPr>
          <w:rFonts w:ascii="Open Sans" w:eastAsia="Times New Roman" w:hAnsi="Open Sans" w:cs="Open Sans"/>
          <w:color w:val="272833"/>
          <w:sz w:val="24"/>
          <w:szCs w:val="24"/>
          <w:lang w:val="en-GB" w:eastAsia="nb-NO"/>
        </w:rPr>
        <w:t xml:space="preserve"> section 6-5 of</w:t>
      </w:r>
      <w:r w:rsidR="00994657">
        <w:rPr>
          <w:rFonts w:ascii="Open Sans" w:eastAsia="Times New Roman" w:hAnsi="Open Sans" w:cs="Open Sans"/>
          <w:color w:val="272833"/>
          <w:sz w:val="24"/>
          <w:szCs w:val="24"/>
          <w:lang w:val="en-GB" w:eastAsia="nb-NO"/>
        </w:rPr>
        <w:t xml:space="preserve"> the</w:t>
      </w:r>
      <w:r w:rsidR="00067A13">
        <w:rPr>
          <w:rFonts w:ascii="Open Sans" w:eastAsia="Times New Roman" w:hAnsi="Open Sans" w:cs="Open Sans"/>
          <w:color w:val="272833"/>
          <w:sz w:val="24"/>
          <w:szCs w:val="24"/>
          <w:lang w:val="en-GB" w:eastAsia="nb-NO"/>
        </w:rPr>
        <w:t xml:space="preserve"> </w:t>
      </w:r>
      <w:hyperlink r:id="rId27" w:history="1">
        <w:r w:rsidRPr="00752661">
          <w:rPr>
            <w:rFonts w:ascii="Open Sans" w:eastAsia="Times New Roman" w:hAnsi="Open Sans" w:cs="Open Sans"/>
            <w:color w:val="0B5FFF"/>
            <w:sz w:val="24"/>
            <w:szCs w:val="24"/>
            <w:u w:val="single"/>
            <w:lang w:val="en-GB" w:eastAsia="nb-NO"/>
          </w:rPr>
          <w:t>Universities and University Colleges Act</w:t>
        </w:r>
      </w:hyperlink>
      <w:r w:rsidRPr="00752661">
        <w:rPr>
          <w:rFonts w:ascii="Open Sans" w:eastAsia="Times New Roman" w:hAnsi="Open Sans" w:cs="Open Sans"/>
          <w:color w:val="272833"/>
          <w:sz w:val="24"/>
          <w:szCs w:val="24"/>
          <w:lang w:val="en-GB" w:eastAsia="nb-NO"/>
        </w:rPr>
        <w:t>.</w:t>
      </w:r>
    </w:p>
    <w:p w14:paraId="661840FE" w14:textId="77777777" w:rsidR="00752661" w:rsidRPr="00752661" w:rsidRDefault="00752661" w:rsidP="003E6B86">
      <w:pPr>
        <w:numPr>
          <w:ilvl w:val="0"/>
          <w:numId w:val="17"/>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it is a prerequisite for the person’s appointment in an additional position (</w:t>
      </w:r>
      <w:proofErr w:type="spellStart"/>
      <w:r w:rsidRPr="00752661">
        <w:rPr>
          <w:rFonts w:ascii="Open Sans" w:eastAsia="Times New Roman" w:hAnsi="Open Sans" w:cs="Open Sans"/>
          <w:color w:val="272833"/>
          <w:sz w:val="24"/>
          <w:szCs w:val="24"/>
          <w:lang w:val="en-GB" w:eastAsia="nb-NO"/>
        </w:rPr>
        <w:t>bistilling</w:t>
      </w:r>
      <w:proofErr w:type="spellEnd"/>
      <w:r w:rsidRPr="00752661">
        <w:rPr>
          <w:rFonts w:ascii="Open Sans" w:eastAsia="Times New Roman" w:hAnsi="Open Sans" w:cs="Open Sans"/>
          <w:color w:val="272833"/>
          <w:sz w:val="24"/>
          <w:szCs w:val="24"/>
          <w:lang w:val="en-GB" w:eastAsia="nb-NO"/>
        </w:rPr>
        <w:t>) that their main position involves attachment to a specific external organization.</w:t>
      </w:r>
    </w:p>
    <w:p w14:paraId="4B822D56" w14:textId="056057F7" w:rsidR="00752661" w:rsidRPr="00752661" w:rsidRDefault="005049B6"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Pr>
          <w:rFonts w:ascii="Open Sans" w:eastAsia="Times New Roman" w:hAnsi="Open Sans" w:cs="Open Sans"/>
          <w:b/>
          <w:bCs/>
          <w:color w:val="272833"/>
          <w:sz w:val="27"/>
          <w:szCs w:val="27"/>
          <w:lang w:val="en-GB" w:eastAsia="nb-NO"/>
        </w:rPr>
        <w:t>8</w:t>
      </w:r>
      <w:r w:rsidR="00752661" w:rsidRPr="00752661">
        <w:rPr>
          <w:rFonts w:ascii="Open Sans" w:eastAsia="Times New Roman" w:hAnsi="Open Sans" w:cs="Open Sans"/>
          <w:b/>
          <w:bCs/>
          <w:color w:val="272833"/>
          <w:sz w:val="27"/>
          <w:szCs w:val="27"/>
          <w:lang w:val="en-GB" w:eastAsia="nb-NO"/>
        </w:rPr>
        <w:t>. Notification of appointment</w:t>
      </w:r>
    </w:p>
    <w:p w14:paraId="5C1206A5" w14:textId="6EFB01E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person who is appointed must be notified of the appointment in writing in the form of an offer of employment. An employment contract in writing must be made in accordance with</w:t>
      </w:r>
      <w:r w:rsidR="00994657">
        <w:rPr>
          <w:rFonts w:ascii="Open Sans" w:eastAsia="Times New Roman" w:hAnsi="Open Sans" w:cs="Open Sans"/>
          <w:color w:val="272833"/>
          <w:sz w:val="24"/>
          <w:szCs w:val="24"/>
          <w:lang w:val="en-GB" w:eastAsia="nb-NO"/>
        </w:rPr>
        <w:t xml:space="preserve"> sections 14-5 and 14-6 of the</w:t>
      </w:r>
      <w:r w:rsidRPr="00752661">
        <w:rPr>
          <w:rFonts w:ascii="Open Sans" w:eastAsia="Times New Roman" w:hAnsi="Open Sans" w:cs="Open Sans"/>
          <w:color w:val="272833"/>
          <w:sz w:val="24"/>
          <w:szCs w:val="24"/>
          <w:lang w:val="en-GB" w:eastAsia="nb-NO"/>
        </w:rPr>
        <w:t> </w:t>
      </w:r>
      <w:hyperlink r:id="rId28" w:history="1">
        <w:r w:rsidRPr="00752661">
          <w:rPr>
            <w:rFonts w:ascii="Open Sans" w:eastAsia="Times New Roman" w:hAnsi="Open Sans" w:cs="Open Sans"/>
            <w:color w:val="0B5FFF"/>
            <w:sz w:val="24"/>
            <w:szCs w:val="24"/>
            <w:u w:val="single"/>
            <w:lang w:val="en-GB" w:eastAsia="nb-NO"/>
          </w:rPr>
          <w:t>Working Envi</w:t>
        </w:r>
        <w:r w:rsidRPr="00752661">
          <w:rPr>
            <w:rFonts w:ascii="Open Sans" w:eastAsia="Times New Roman" w:hAnsi="Open Sans" w:cs="Open Sans"/>
            <w:color w:val="0B5FFF"/>
            <w:sz w:val="24"/>
            <w:szCs w:val="24"/>
            <w:u w:val="single"/>
            <w:lang w:val="en-GB" w:eastAsia="nb-NO"/>
          </w:rPr>
          <w:t>r</w:t>
        </w:r>
        <w:r w:rsidRPr="00752661">
          <w:rPr>
            <w:rFonts w:ascii="Open Sans" w:eastAsia="Times New Roman" w:hAnsi="Open Sans" w:cs="Open Sans"/>
            <w:color w:val="0B5FFF"/>
            <w:sz w:val="24"/>
            <w:szCs w:val="24"/>
            <w:u w:val="single"/>
            <w:lang w:val="en-GB" w:eastAsia="nb-NO"/>
          </w:rPr>
          <w:t>onment Act</w:t>
        </w:r>
      </w:hyperlink>
      <w:r w:rsidRPr="00752661">
        <w:rPr>
          <w:rFonts w:ascii="Open Sans" w:eastAsia="Times New Roman" w:hAnsi="Open Sans" w:cs="Open Sans"/>
          <w:color w:val="272833"/>
          <w:sz w:val="24"/>
          <w:szCs w:val="24"/>
          <w:lang w:val="en-GB" w:eastAsia="nb-NO"/>
        </w:rPr>
        <w:t>. The time limit for the person in question to confirm the offer must be indicated in the offer of employment.</w:t>
      </w:r>
    </w:p>
    <w:p w14:paraId="3A95CFF1" w14:textId="77777777"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offer of employment must also include provisions relating to a trial period, if applicable. The person appointed confirms in writing that such information has been received by signing the employment contract.</w:t>
      </w:r>
    </w:p>
    <w:p w14:paraId="755754DC" w14:textId="23E1E2D5" w:rsidR="00E5659E"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 xml:space="preserve">In the case of temporary appointments, the offer of employment and the employment contract must also state the duration of the appointment or specify the assignments to be carried out. </w:t>
      </w:r>
    </w:p>
    <w:p w14:paraId="2B80D366" w14:textId="435AEF09" w:rsidR="00E5659E" w:rsidRPr="00752661" w:rsidRDefault="00E5659E" w:rsidP="00E5659E">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The other applicants must be notified as soon as possible that the position has been filled. The notification must include the name of the applicant who has been appointed to the position (see</w:t>
      </w:r>
      <w:r>
        <w:rPr>
          <w:rFonts w:ascii="Open Sans" w:eastAsia="Times New Roman" w:hAnsi="Open Sans" w:cs="Open Sans"/>
          <w:color w:val="272833"/>
          <w:sz w:val="24"/>
          <w:szCs w:val="24"/>
          <w:lang w:val="en-GB" w:eastAsia="nb-NO"/>
        </w:rPr>
        <w:t xml:space="preserve"> </w:t>
      </w:r>
      <w:hyperlink r:id="rId29" w:history="1">
        <w:r w:rsidRPr="00CD4CD0">
          <w:rPr>
            <w:rStyle w:val="Hyperkobling"/>
            <w:rFonts w:ascii="Open Sans" w:eastAsia="Times New Roman" w:hAnsi="Open Sans" w:cs="Open Sans"/>
            <w:sz w:val="24"/>
            <w:szCs w:val="24"/>
            <w:lang w:val="en-GB" w:eastAsia="nb-NO"/>
          </w:rPr>
          <w:t>section 27 of the Public Administration Act</w:t>
        </w:r>
      </w:hyperlink>
      <w:r w:rsidRPr="00752661">
        <w:rPr>
          <w:rFonts w:ascii="Open Sans" w:eastAsia="Times New Roman" w:hAnsi="Open Sans" w:cs="Open Sans"/>
          <w:color w:val="272833"/>
          <w:sz w:val="24"/>
          <w:szCs w:val="24"/>
          <w:lang w:val="en-GB" w:eastAsia="nb-NO"/>
        </w:rPr>
        <w:t>.</w:t>
      </w:r>
    </w:p>
    <w:p w14:paraId="01AD7AD5" w14:textId="77777777" w:rsidR="00752661" w:rsidRPr="00752661" w:rsidRDefault="00752661" w:rsidP="00752661">
      <w:pPr>
        <w:shd w:val="clear" w:color="auto" w:fill="FFFFFF"/>
        <w:spacing w:after="100" w:afterAutospacing="1" w:line="240" w:lineRule="auto"/>
        <w:outlineLvl w:val="1"/>
        <w:rPr>
          <w:rFonts w:ascii="Open Sans" w:eastAsia="Times New Roman" w:hAnsi="Open Sans" w:cs="Open Sans"/>
          <w:b/>
          <w:bCs/>
          <w:color w:val="272833"/>
          <w:sz w:val="36"/>
          <w:szCs w:val="36"/>
          <w:lang w:val="en-GB" w:eastAsia="nb-NO"/>
        </w:rPr>
      </w:pPr>
      <w:r w:rsidRPr="00752661">
        <w:rPr>
          <w:rFonts w:ascii="Open Sans" w:eastAsia="Times New Roman" w:hAnsi="Open Sans" w:cs="Open Sans"/>
          <w:b/>
          <w:bCs/>
          <w:color w:val="272833"/>
          <w:sz w:val="36"/>
          <w:szCs w:val="36"/>
          <w:lang w:val="en-GB" w:eastAsia="nb-NO"/>
        </w:rPr>
        <w:t>Part IV Other provisions</w:t>
      </w:r>
    </w:p>
    <w:p w14:paraId="774DFBB7" w14:textId="214434E0" w:rsidR="00752661" w:rsidRPr="00752661" w:rsidRDefault="005049B6"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Pr>
          <w:rFonts w:ascii="Open Sans" w:eastAsia="Times New Roman" w:hAnsi="Open Sans" w:cs="Open Sans"/>
          <w:b/>
          <w:bCs/>
          <w:color w:val="272833"/>
          <w:sz w:val="27"/>
          <w:szCs w:val="27"/>
          <w:lang w:val="en-GB" w:eastAsia="nb-NO"/>
        </w:rPr>
        <w:t>9</w:t>
      </w:r>
      <w:r w:rsidR="00752661" w:rsidRPr="00752661">
        <w:rPr>
          <w:rFonts w:ascii="Open Sans" w:eastAsia="Times New Roman" w:hAnsi="Open Sans" w:cs="Open Sans"/>
          <w:b/>
          <w:bCs/>
          <w:color w:val="272833"/>
          <w:sz w:val="27"/>
          <w:szCs w:val="27"/>
          <w:lang w:val="en-GB" w:eastAsia="nb-NO"/>
        </w:rPr>
        <w:t>. Impartiality</w:t>
      </w:r>
    </w:p>
    <w:p w14:paraId="05BEA07C" w14:textId="0945FA2C"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Impartiality must be considered in accordance with</w:t>
      </w:r>
      <w:r w:rsidR="00994657">
        <w:rPr>
          <w:rFonts w:ascii="Open Sans" w:eastAsia="Times New Roman" w:hAnsi="Open Sans" w:cs="Open Sans"/>
          <w:color w:val="272833"/>
          <w:sz w:val="24"/>
          <w:szCs w:val="24"/>
          <w:lang w:val="en-GB" w:eastAsia="nb-NO"/>
        </w:rPr>
        <w:t xml:space="preserve"> section</w:t>
      </w:r>
      <w:r w:rsidR="00E5659E">
        <w:rPr>
          <w:rFonts w:ascii="Open Sans" w:eastAsia="Times New Roman" w:hAnsi="Open Sans" w:cs="Open Sans"/>
          <w:color w:val="272833"/>
          <w:sz w:val="24"/>
          <w:szCs w:val="24"/>
          <w:lang w:val="en-GB" w:eastAsia="nb-NO"/>
        </w:rPr>
        <w:t>s</w:t>
      </w:r>
      <w:r w:rsidR="00994657">
        <w:rPr>
          <w:rFonts w:ascii="Open Sans" w:eastAsia="Times New Roman" w:hAnsi="Open Sans" w:cs="Open Sans"/>
          <w:color w:val="272833"/>
          <w:sz w:val="24"/>
          <w:szCs w:val="24"/>
          <w:lang w:val="en-GB" w:eastAsia="nb-NO"/>
        </w:rPr>
        <w:t xml:space="preserve"> 6,</w:t>
      </w:r>
      <w:r w:rsidR="00E5659E">
        <w:rPr>
          <w:rFonts w:ascii="Open Sans" w:eastAsia="Times New Roman" w:hAnsi="Open Sans" w:cs="Open Sans"/>
          <w:color w:val="272833"/>
          <w:sz w:val="24"/>
          <w:szCs w:val="24"/>
          <w:lang w:val="en-GB" w:eastAsia="nb-NO"/>
        </w:rPr>
        <w:t xml:space="preserve"> </w:t>
      </w:r>
      <w:r w:rsidR="00994657">
        <w:rPr>
          <w:rFonts w:ascii="Open Sans" w:eastAsia="Times New Roman" w:hAnsi="Open Sans" w:cs="Open Sans"/>
          <w:color w:val="272833"/>
          <w:sz w:val="24"/>
          <w:szCs w:val="24"/>
          <w:lang w:val="en-GB" w:eastAsia="nb-NO"/>
        </w:rPr>
        <w:t>7</w:t>
      </w:r>
      <w:r w:rsidR="005E13AD">
        <w:rPr>
          <w:rFonts w:ascii="Open Sans" w:eastAsia="Times New Roman" w:hAnsi="Open Sans" w:cs="Open Sans"/>
          <w:color w:val="272833"/>
          <w:sz w:val="24"/>
          <w:szCs w:val="24"/>
          <w:lang w:val="en-GB" w:eastAsia="nb-NO"/>
        </w:rPr>
        <w:t>,</w:t>
      </w:r>
      <w:r w:rsidR="00994657">
        <w:rPr>
          <w:rFonts w:ascii="Open Sans" w:eastAsia="Times New Roman" w:hAnsi="Open Sans" w:cs="Open Sans"/>
          <w:color w:val="272833"/>
          <w:sz w:val="24"/>
          <w:szCs w:val="24"/>
          <w:lang w:val="en-GB" w:eastAsia="nb-NO"/>
        </w:rPr>
        <w:t xml:space="preserve"> and 8 of the </w:t>
      </w:r>
      <w:hyperlink r:id="rId30" w:history="1">
        <w:r w:rsidR="00994657" w:rsidRPr="00E5659E">
          <w:rPr>
            <w:rStyle w:val="Hyperkobling"/>
            <w:rFonts w:ascii="Open Sans" w:eastAsia="Times New Roman" w:hAnsi="Open Sans" w:cs="Open Sans"/>
            <w:sz w:val="24"/>
            <w:szCs w:val="24"/>
            <w:lang w:val="en-GB" w:eastAsia="nb-NO"/>
          </w:rPr>
          <w:t>Public Administration Act</w:t>
        </w:r>
      </w:hyperlink>
      <w:r w:rsidRPr="00752661">
        <w:rPr>
          <w:rFonts w:ascii="Open Sans" w:eastAsia="Times New Roman" w:hAnsi="Open Sans" w:cs="Open Sans"/>
          <w:color w:val="272833"/>
          <w:sz w:val="24"/>
          <w:szCs w:val="24"/>
          <w:lang w:val="en-GB" w:eastAsia="nb-NO"/>
        </w:rPr>
        <w:t>. The appointing body decides whether a member has a conflict of interest. The person in question does not take part in this decision. If possible, the member of the appointing body is to be replaced by their deputy member when the member has a conflict of interest. The members are obliged on their own initiative to inform the appointing body of circumstances that may be material to the question of impartiality.</w:t>
      </w:r>
    </w:p>
    <w:p w14:paraId="7D1F68F8" w14:textId="7AB23999" w:rsidR="00752661" w:rsidRPr="00752661" w:rsidRDefault="005049B6"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Pr>
          <w:rFonts w:ascii="Open Sans" w:eastAsia="Times New Roman" w:hAnsi="Open Sans" w:cs="Open Sans"/>
          <w:b/>
          <w:bCs/>
          <w:color w:val="272833"/>
          <w:sz w:val="27"/>
          <w:szCs w:val="27"/>
          <w:lang w:val="en-GB" w:eastAsia="nb-NO"/>
        </w:rPr>
        <w:lastRenderedPageBreak/>
        <w:t>10</w:t>
      </w:r>
      <w:r w:rsidR="00752661" w:rsidRPr="00752661">
        <w:rPr>
          <w:rFonts w:ascii="Open Sans" w:eastAsia="Times New Roman" w:hAnsi="Open Sans" w:cs="Open Sans"/>
          <w:b/>
          <w:bCs/>
          <w:color w:val="272833"/>
          <w:sz w:val="27"/>
          <w:szCs w:val="27"/>
          <w:lang w:val="en-GB" w:eastAsia="nb-NO"/>
        </w:rPr>
        <w:t>. Duty of confidentiality</w:t>
      </w:r>
    </w:p>
    <w:p w14:paraId="390AED94" w14:textId="72466C6C"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Practice regarding the duty of confidentiality is in accordance with</w:t>
      </w:r>
      <w:r w:rsidR="00994657">
        <w:rPr>
          <w:rFonts w:ascii="Open Sans" w:eastAsia="Times New Roman" w:hAnsi="Open Sans" w:cs="Open Sans"/>
          <w:color w:val="272833"/>
          <w:sz w:val="24"/>
          <w:szCs w:val="24"/>
          <w:lang w:val="en-GB" w:eastAsia="nb-NO"/>
        </w:rPr>
        <w:t xml:space="preserve"> section 13 of the </w:t>
      </w:r>
      <w:hyperlink r:id="rId31" w:history="1">
        <w:r w:rsidR="00994657" w:rsidRPr="00E5659E">
          <w:rPr>
            <w:rStyle w:val="Hyperkobling"/>
            <w:rFonts w:ascii="Open Sans" w:eastAsia="Times New Roman" w:hAnsi="Open Sans" w:cs="Open Sans"/>
            <w:sz w:val="24"/>
            <w:szCs w:val="24"/>
            <w:lang w:val="en-GB" w:eastAsia="nb-NO"/>
          </w:rPr>
          <w:t>Public Administration Act</w:t>
        </w:r>
      </w:hyperlink>
      <w:r w:rsidRPr="00752661">
        <w:rPr>
          <w:rFonts w:ascii="Open Sans" w:eastAsia="Times New Roman" w:hAnsi="Open Sans" w:cs="Open Sans"/>
          <w:color w:val="272833"/>
          <w:sz w:val="24"/>
          <w:szCs w:val="24"/>
          <w:lang w:val="en-GB" w:eastAsia="nb-NO"/>
        </w:rPr>
        <w:t>. The members of the appointing body have a duty of confidentiality regarding information of which they become aware in connection with an appointment case. Those who are involved in appointment cases in other respects are subject to the same duty of confidentiality as the members of the appointing body.</w:t>
      </w:r>
    </w:p>
    <w:p w14:paraId="7349076D" w14:textId="776FEA73" w:rsidR="00752661" w:rsidRPr="00752661" w:rsidRDefault="005049B6"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Pr>
          <w:rFonts w:ascii="Open Sans" w:eastAsia="Times New Roman" w:hAnsi="Open Sans" w:cs="Open Sans"/>
          <w:b/>
          <w:bCs/>
          <w:color w:val="272833"/>
          <w:sz w:val="27"/>
          <w:szCs w:val="27"/>
          <w:lang w:val="en-GB" w:eastAsia="nb-NO"/>
        </w:rPr>
        <w:t>11</w:t>
      </w:r>
      <w:r w:rsidR="00752661" w:rsidRPr="00752661">
        <w:rPr>
          <w:rFonts w:ascii="Open Sans" w:eastAsia="Times New Roman" w:hAnsi="Open Sans" w:cs="Open Sans"/>
          <w:b/>
          <w:bCs/>
          <w:color w:val="272833"/>
          <w:sz w:val="27"/>
          <w:szCs w:val="27"/>
          <w:lang w:val="en-GB" w:eastAsia="nb-NO"/>
        </w:rPr>
        <w:t>. Trial period</w:t>
      </w:r>
    </w:p>
    <w:p w14:paraId="53AED76F" w14:textId="72F70D2D" w:rsidR="00752661" w:rsidRPr="00752661" w:rsidRDefault="005049B6"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b/>
          <w:bCs/>
          <w:color w:val="272833"/>
          <w:sz w:val="24"/>
          <w:szCs w:val="24"/>
          <w:lang w:val="en-GB" w:eastAsia="nb-NO"/>
        </w:rPr>
        <w:t>11</w:t>
      </w:r>
      <w:r w:rsidR="00752661" w:rsidRPr="00752661">
        <w:rPr>
          <w:rFonts w:ascii="Open Sans" w:eastAsia="Times New Roman" w:hAnsi="Open Sans" w:cs="Open Sans"/>
          <w:b/>
          <w:bCs/>
          <w:color w:val="272833"/>
          <w:sz w:val="24"/>
          <w:szCs w:val="24"/>
          <w:lang w:val="en-GB" w:eastAsia="nb-NO"/>
        </w:rPr>
        <w:t>.1</w:t>
      </w:r>
      <w:r w:rsidR="00752661" w:rsidRPr="00752661">
        <w:rPr>
          <w:rFonts w:ascii="Open Sans" w:eastAsia="Times New Roman" w:hAnsi="Open Sans" w:cs="Open Sans"/>
          <w:color w:val="272833"/>
          <w:sz w:val="24"/>
          <w:szCs w:val="24"/>
          <w:lang w:val="en-GB" w:eastAsia="nb-NO"/>
        </w:rPr>
        <w:t> For the first six months, all employees serve a trial period according to</w:t>
      </w:r>
      <w:r w:rsidR="00994657">
        <w:rPr>
          <w:rFonts w:ascii="Open Sans" w:eastAsia="Times New Roman" w:hAnsi="Open Sans" w:cs="Open Sans"/>
          <w:color w:val="272833"/>
          <w:sz w:val="24"/>
          <w:szCs w:val="24"/>
          <w:lang w:val="en-GB" w:eastAsia="nb-NO"/>
        </w:rPr>
        <w:t xml:space="preserve"> section 15 of the Public Employees Act</w:t>
      </w:r>
      <w:r w:rsidR="00752661" w:rsidRPr="00752661">
        <w:rPr>
          <w:rFonts w:ascii="Open Sans" w:eastAsia="Times New Roman" w:hAnsi="Open Sans" w:cs="Open Sans"/>
          <w:color w:val="272833"/>
          <w:sz w:val="24"/>
          <w:szCs w:val="24"/>
          <w:lang w:val="en-GB" w:eastAsia="nb-NO"/>
        </w:rPr>
        <w:t> </w:t>
      </w:r>
      <w:hyperlink r:id="rId32" w:anchor="%C2%A715" w:history="1">
        <w:r w:rsidR="00752661" w:rsidRPr="00752661">
          <w:rPr>
            <w:rFonts w:ascii="Open Sans" w:eastAsia="Times New Roman" w:hAnsi="Open Sans" w:cs="Open Sans"/>
            <w:color w:val="0B5FFF"/>
            <w:sz w:val="24"/>
            <w:szCs w:val="24"/>
            <w:u w:val="single"/>
            <w:lang w:val="en-GB" w:eastAsia="nb-NO"/>
          </w:rPr>
          <w:t>(in Norwegia</w:t>
        </w:r>
        <w:r w:rsidR="00CD4CD0">
          <w:rPr>
            <w:rFonts w:ascii="Open Sans" w:eastAsia="Times New Roman" w:hAnsi="Open Sans" w:cs="Open Sans"/>
            <w:color w:val="0B5FFF"/>
            <w:sz w:val="24"/>
            <w:szCs w:val="24"/>
            <w:u w:val="single"/>
            <w:lang w:val="en-GB" w:eastAsia="nb-NO"/>
          </w:rPr>
          <w:t xml:space="preserve">n: </w:t>
        </w:r>
        <w:proofErr w:type="spellStart"/>
        <w:r w:rsidR="00CD4CD0">
          <w:rPr>
            <w:rFonts w:ascii="Open Sans" w:eastAsia="Times New Roman" w:hAnsi="Open Sans" w:cs="Open Sans"/>
            <w:color w:val="0B5FFF"/>
            <w:sz w:val="24"/>
            <w:szCs w:val="24"/>
            <w:u w:val="single"/>
            <w:lang w:val="en-GB" w:eastAsia="nb-NO"/>
          </w:rPr>
          <w:t>Statsansatteloven</w:t>
        </w:r>
        <w:proofErr w:type="spellEnd"/>
      </w:hyperlink>
      <w:r w:rsidR="00752661" w:rsidRPr="00752661">
        <w:rPr>
          <w:rFonts w:ascii="Open Sans" w:eastAsia="Times New Roman" w:hAnsi="Open Sans" w:cs="Open Sans"/>
          <w:color w:val="272833"/>
          <w:sz w:val="24"/>
          <w:szCs w:val="24"/>
          <w:lang w:val="en-GB" w:eastAsia="nb-NO"/>
        </w:rPr>
        <w:t>), unless the appointing body has expressly decided that the trial period will not apply.</w:t>
      </w:r>
    </w:p>
    <w:p w14:paraId="758B9A75" w14:textId="6DA7657E" w:rsidR="00752661" w:rsidRPr="00752661" w:rsidRDefault="005049B6"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b/>
          <w:bCs/>
          <w:color w:val="272833"/>
          <w:sz w:val="24"/>
          <w:szCs w:val="24"/>
          <w:lang w:val="en-GB" w:eastAsia="nb-NO"/>
        </w:rPr>
        <w:t>11</w:t>
      </w:r>
      <w:r w:rsidR="00752661" w:rsidRPr="00752661">
        <w:rPr>
          <w:rFonts w:ascii="Open Sans" w:eastAsia="Times New Roman" w:hAnsi="Open Sans" w:cs="Open Sans"/>
          <w:b/>
          <w:bCs/>
          <w:color w:val="272833"/>
          <w:sz w:val="24"/>
          <w:szCs w:val="24"/>
          <w:lang w:val="en-GB" w:eastAsia="nb-NO"/>
        </w:rPr>
        <w:t>.2</w:t>
      </w:r>
      <w:r w:rsidR="00752661" w:rsidRPr="00752661">
        <w:rPr>
          <w:rFonts w:ascii="Open Sans" w:eastAsia="Times New Roman" w:hAnsi="Open Sans" w:cs="Open Sans"/>
          <w:color w:val="272833"/>
          <w:sz w:val="24"/>
          <w:szCs w:val="24"/>
          <w:lang w:val="en-GB" w:eastAsia="nb-NO"/>
        </w:rPr>
        <w:t> If a trial period is imposed in connection with the transfer from one position at NTNU to another, it is a prerequisite that the earned entitlement to protection against dismissal and periods of notice is maintained. A condition for application of the provisions of the Public Employees Act regarding dismissal in the trial period is that the employee has received regular follow-up with feedback, etc.</w:t>
      </w:r>
    </w:p>
    <w:p w14:paraId="07B1723E" w14:textId="0A7E0E78" w:rsidR="00752661" w:rsidRPr="00752661" w:rsidRDefault="005049B6"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b/>
          <w:bCs/>
          <w:color w:val="272833"/>
          <w:sz w:val="24"/>
          <w:szCs w:val="24"/>
          <w:lang w:val="en-GB" w:eastAsia="nb-NO"/>
        </w:rPr>
        <w:t>11</w:t>
      </w:r>
      <w:r w:rsidR="00752661" w:rsidRPr="00752661">
        <w:rPr>
          <w:rFonts w:ascii="Open Sans" w:eastAsia="Times New Roman" w:hAnsi="Open Sans" w:cs="Open Sans"/>
          <w:b/>
          <w:bCs/>
          <w:color w:val="272833"/>
          <w:sz w:val="24"/>
          <w:szCs w:val="24"/>
          <w:lang w:val="en-GB" w:eastAsia="nb-NO"/>
        </w:rPr>
        <w:t>.3 </w:t>
      </w:r>
      <w:r w:rsidR="00752661" w:rsidRPr="00752661">
        <w:rPr>
          <w:rFonts w:ascii="Open Sans" w:eastAsia="Times New Roman" w:hAnsi="Open Sans" w:cs="Open Sans"/>
          <w:color w:val="272833"/>
          <w:sz w:val="24"/>
          <w:szCs w:val="24"/>
          <w:lang w:val="en-GB" w:eastAsia="nb-NO"/>
        </w:rPr>
        <w:t>In the calculation of the employment period in terms of</w:t>
      </w:r>
      <w:r w:rsidR="00994657">
        <w:rPr>
          <w:rFonts w:ascii="Open Sans" w:eastAsia="Times New Roman" w:hAnsi="Open Sans" w:cs="Open Sans"/>
          <w:color w:val="272833"/>
          <w:sz w:val="24"/>
          <w:szCs w:val="24"/>
          <w:lang w:val="en-GB" w:eastAsia="nb-NO"/>
        </w:rPr>
        <w:t xml:space="preserve"> section 23 of the Public Employees Act</w:t>
      </w:r>
      <w:r w:rsidR="00752661" w:rsidRPr="00752661">
        <w:rPr>
          <w:rFonts w:ascii="Open Sans" w:eastAsia="Times New Roman" w:hAnsi="Open Sans" w:cs="Open Sans"/>
          <w:color w:val="272833"/>
          <w:sz w:val="24"/>
          <w:szCs w:val="24"/>
          <w:lang w:val="en-GB" w:eastAsia="nb-NO"/>
        </w:rPr>
        <w:t> </w:t>
      </w:r>
      <w:hyperlink r:id="rId33" w:anchor="%C2%A723" w:history="1">
        <w:r w:rsidR="00752661" w:rsidRPr="00752661">
          <w:rPr>
            <w:rFonts w:ascii="Open Sans" w:eastAsia="Times New Roman" w:hAnsi="Open Sans" w:cs="Open Sans"/>
            <w:color w:val="0B5FFF"/>
            <w:sz w:val="24"/>
            <w:szCs w:val="24"/>
            <w:u w:val="single"/>
            <w:lang w:val="en-GB" w:eastAsia="nb-NO"/>
          </w:rPr>
          <w:t>(in Norwegia</w:t>
        </w:r>
        <w:r w:rsidR="00CD4CD0">
          <w:rPr>
            <w:rFonts w:ascii="Open Sans" w:eastAsia="Times New Roman" w:hAnsi="Open Sans" w:cs="Open Sans"/>
            <w:color w:val="0B5FFF"/>
            <w:sz w:val="24"/>
            <w:szCs w:val="24"/>
            <w:u w:val="single"/>
            <w:lang w:val="en-GB" w:eastAsia="nb-NO"/>
          </w:rPr>
          <w:t xml:space="preserve">n: </w:t>
        </w:r>
        <w:proofErr w:type="spellStart"/>
        <w:r w:rsidR="00CD4CD0">
          <w:rPr>
            <w:rFonts w:ascii="Open Sans" w:eastAsia="Times New Roman" w:hAnsi="Open Sans" w:cs="Open Sans"/>
            <w:color w:val="0B5FFF"/>
            <w:sz w:val="24"/>
            <w:szCs w:val="24"/>
            <w:u w:val="single"/>
            <w:lang w:val="en-GB" w:eastAsia="nb-NO"/>
          </w:rPr>
          <w:t>Statsansatteloven</w:t>
        </w:r>
        <w:proofErr w:type="spellEnd"/>
      </w:hyperlink>
      <w:r w:rsidR="00752661" w:rsidRPr="00752661">
        <w:rPr>
          <w:rFonts w:ascii="Open Sans" w:eastAsia="Times New Roman" w:hAnsi="Open Sans" w:cs="Open Sans"/>
          <w:color w:val="272833"/>
          <w:sz w:val="24"/>
          <w:szCs w:val="24"/>
          <w:lang w:val="en-GB" w:eastAsia="nb-NO"/>
        </w:rPr>
        <w:t>), all uninterrupted service at NTNU is to be used as the basis, including the length of service at previous organizations that have been incorporated in NTNU through transfer of an undertaking.</w:t>
      </w:r>
    </w:p>
    <w:p w14:paraId="3D787231" w14:textId="71FF344E" w:rsidR="00752661" w:rsidRPr="00752661" w:rsidRDefault="00752661"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sidRPr="00752661">
        <w:rPr>
          <w:rFonts w:ascii="Open Sans" w:eastAsia="Times New Roman" w:hAnsi="Open Sans" w:cs="Open Sans"/>
          <w:b/>
          <w:bCs/>
          <w:color w:val="272833"/>
          <w:sz w:val="27"/>
          <w:szCs w:val="27"/>
          <w:lang w:val="en-GB" w:eastAsia="nb-NO"/>
        </w:rPr>
        <w:t>1</w:t>
      </w:r>
      <w:r w:rsidR="005049B6">
        <w:rPr>
          <w:rFonts w:ascii="Open Sans" w:eastAsia="Times New Roman" w:hAnsi="Open Sans" w:cs="Open Sans"/>
          <w:b/>
          <w:bCs/>
          <w:color w:val="272833"/>
          <w:sz w:val="27"/>
          <w:szCs w:val="27"/>
          <w:lang w:val="en-GB" w:eastAsia="nb-NO"/>
        </w:rPr>
        <w:t>2</w:t>
      </w:r>
      <w:r w:rsidRPr="00752661">
        <w:rPr>
          <w:rFonts w:ascii="Open Sans" w:eastAsia="Times New Roman" w:hAnsi="Open Sans" w:cs="Open Sans"/>
          <w:b/>
          <w:bCs/>
          <w:color w:val="272833"/>
          <w:sz w:val="27"/>
          <w:szCs w:val="27"/>
          <w:lang w:val="en-GB" w:eastAsia="nb-NO"/>
        </w:rPr>
        <w:t>. Leaves of absence in connection with training, transfer to another position, etc.</w:t>
      </w:r>
    </w:p>
    <w:p w14:paraId="50C18815" w14:textId="5C9B1B5C"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1</w:t>
      </w:r>
      <w:r w:rsidR="005049B6">
        <w:rPr>
          <w:rFonts w:ascii="Open Sans" w:eastAsia="Times New Roman" w:hAnsi="Open Sans" w:cs="Open Sans"/>
          <w:b/>
          <w:bCs/>
          <w:color w:val="272833"/>
          <w:sz w:val="24"/>
          <w:szCs w:val="24"/>
          <w:lang w:val="en-GB" w:eastAsia="nb-NO"/>
        </w:rPr>
        <w:t>2</w:t>
      </w:r>
      <w:r w:rsidRPr="00752661">
        <w:rPr>
          <w:rFonts w:ascii="Open Sans" w:eastAsia="Times New Roman" w:hAnsi="Open Sans" w:cs="Open Sans"/>
          <w:b/>
          <w:bCs/>
          <w:color w:val="272833"/>
          <w:sz w:val="24"/>
          <w:szCs w:val="24"/>
          <w:lang w:val="en-GB" w:eastAsia="nb-NO"/>
        </w:rPr>
        <w:t>.1</w:t>
      </w:r>
      <w:r w:rsidRPr="00752661">
        <w:rPr>
          <w:rFonts w:ascii="Open Sans" w:eastAsia="Times New Roman" w:hAnsi="Open Sans" w:cs="Open Sans"/>
          <w:color w:val="272833"/>
          <w:sz w:val="24"/>
          <w:szCs w:val="24"/>
          <w:lang w:val="en-GB" w:eastAsia="nb-NO"/>
        </w:rPr>
        <w:t> Time off duty in connection with academic development, courses</w:t>
      </w:r>
      <w:r w:rsidR="005E13AD">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and similar initiatives for development of competence is granted in accordance with the guidelines laid down in the State’s</w:t>
      </w:r>
      <w:r w:rsidR="00E5659E">
        <w:rPr>
          <w:rFonts w:ascii="Open Sans" w:eastAsia="Times New Roman" w:hAnsi="Open Sans" w:cs="Open Sans"/>
          <w:color w:val="272833"/>
          <w:sz w:val="24"/>
          <w:szCs w:val="24"/>
          <w:lang w:val="en-GB" w:eastAsia="nb-NO"/>
        </w:rPr>
        <w:t xml:space="preserve"> </w:t>
      </w:r>
      <w:r w:rsidR="00E5659E" w:rsidRPr="00752661">
        <w:rPr>
          <w:rFonts w:ascii="Open Sans" w:eastAsia="Times New Roman" w:hAnsi="Open Sans" w:cs="Open Sans"/>
          <w:color w:val="272833"/>
          <w:sz w:val="24"/>
          <w:szCs w:val="24"/>
          <w:lang w:val="en-GB" w:eastAsia="nb-NO"/>
        </w:rPr>
        <w:t>Special agreement on leave and financial terms for continuing and further education, courses and the like</w:t>
      </w:r>
      <w:r w:rsidRPr="00752661">
        <w:rPr>
          <w:rFonts w:ascii="Open Sans" w:eastAsia="Times New Roman" w:hAnsi="Open Sans" w:cs="Open Sans"/>
          <w:color w:val="272833"/>
          <w:sz w:val="24"/>
          <w:szCs w:val="24"/>
          <w:lang w:val="en-GB" w:eastAsia="nb-NO"/>
        </w:rPr>
        <w:t xml:space="preserve"> </w:t>
      </w:r>
      <w:r w:rsidR="00E5659E">
        <w:rPr>
          <w:rFonts w:ascii="Open Sans" w:eastAsia="Times New Roman" w:hAnsi="Open Sans" w:cs="Open Sans"/>
          <w:color w:val="272833"/>
          <w:sz w:val="24"/>
          <w:szCs w:val="24"/>
          <w:lang w:val="en-GB" w:eastAsia="nb-NO"/>
        </w:rPr>
        <w:t xml:space="preserve">(in Norwegian: </w:t>
      </w:r>
      <w:hyperlink r:id="rId34" w:anchor="kap9.11" w:history="1">
        <w:proofErr w:type="spellStart"/>
        <w:r w:rsidRPr="00752661">
          <w:rPr>
            <w:rFonts w:ascii="Open Sans" w:eastAsia="Times New Roman" w:hAnsi="Open Sans" w:cs="Open Sans"/>
            <w:color w:val="0B5FFF"/>
            <w:sz w:val="24"/>
            <w:szCs w:val="24"/>
            <w:u w:val="single"/>
            <w:lang w:val="en-GB" w:eastAsia="nb-NO"/>
          </w:rPr>
          <w:t>Særavtale</w:t>
        </w:r>
        <w:proofErr w:type="spellEnd"/>
        <w:r w:rsidRPr="00752661">
          <w:rPr>
            <w:rFonts w:ascii="Open Sans" w:eastAsia="Times New Roman" w:hAnsi="Open Sans" w:cs="Open Sans"/>
            <w:color w:val="0B5FFF"/>
            <w:sz w:val="24"/>
            <w:szCs w:val="24"/>
            <w:u w:val="single"/>
            <w:lang w:val="en-GB" w:eastAsia="nb-NO"/>
          </w:rPr>
          <w:t xml:space="preserve"> om </w:t>
        </w:r>
        <w:proofErr w:type="spellStart"/>
        <w:r w:rsidRPr="00752661">
          <w:rPr>
            <w:rFonts w:ascii="Open Sans" w:eastAsia="Times New Roman" w:hAnsi="Open Sans" w:cs="Open Sans"/>
            <w:color w:val="0B5FFF"/>
            <w:sz w:val="24"/>
            <w:szCs w:val="24"/>
            <w:u w:val="single"/>
            <w:lang w:val="en-GB" w:eastAsia="nb-NO"/>
          </w:rPr>
          <w:t>permisjon</w:t>
        </w:r>
        <w:proofErr w:type="spellEnd"/>
        <w:r w:rsidRPr="00752661">
          <w:rPr>
            <w:rFonts w:ascii="Open Sans" w:eastAsia="Times New Roman" w:hAnsi="Open Sans" w:cs="Open Sans"/>
            <w:color w:val="0B5FFF"/>
            <w:sz w:val="24"/>
            <w:szCs w:val="24"/>
            <w:u w:val="single"/>
            <w:lang w:val="en-GB" w:eastAsia="nb-NO"/>
          </w:rPr>
          <w:t xml:space="preserve"> </w:t>
        </w:r>
        <w:proofErr w:type="spellStart"/>
        <w:r w:rsidRPr="00752661">
          <w:rPr>
            <w:rFonts w:ascii="Open Sans" w:eastAsia="Times New Roman" w:hAnsi="Open Sans" w:cs="Open Sans"/>
            <w:color w:val="0B5FFF"/>
            <w:sz w:val="24"/>
            <w:szCs w:val="24"/>
            <w:u w:val="single"/>
            <w:lang w:val="en-GB" w:eastAsia="nb-NO"/>
          </w:rPr>
          <w:t>og</w:t>
        </w:r>
        <w:proofErr w:type="spellEnd"/>
        <w:r w:rsidRPr="00752661">
          <w:rPr>
            <w:rFonts w:ascii="Open Sans" w:eastAsia="Times New Roman" w:hAnsi="Open Sans" w:cs="Open Sans"/>
            <w:color w:val="0B5FFF"/>
            <w:sz w:val="24"/>
            <w:szCs w:val="24"/>
            <w:u w:val="single"/>
            <w:lang w:val="en-GB" w:eastAsia="nb-NO"/>
          </w:rPr>
          <w:t xml:space="preserve"> </w:t>
        </w:r>
        <w:proofErr w:type="spellStart"/>
        <w:r w:rsidRPr="00752661">
          <w:rPr>
            <w:rFonts w:ascii="Open Sans" w:eastAsia="Times New Roman" w:hAnsi="Open Sans" w:cs="Open Sans"/>
            <w:color w:val="0B5FFF"/>
            <w:sz w:val="24"/>
            <w:szCs w:val="24"/>
            <w:u w:val="single"/>
            <w:lang w:val="en-GB" w:eastAsia="nb-NO"/>
          </w:rPr>
          <w:t>økonomiske</w:t>
        </w:r>
        <w:proofErr w:type="spellEnd"/>
        <w:r w:rsidRPr="00752661">
          <w:rPr>
            <w:rFonts w:ascii="Open Sans" w:eastAsia="Times New Roman" w:hAnsi="Open Sans" w:cs="Open Sans"/>
            <w:color w:val="0B5FFF"/>
            <w:sz w:val="24"/>
            <w:szCs w:val="24"/>
            <w:u w:val="single"/>
            <w:lang w:val="en-GB" w:eastAsia="nb-NO"/>
          </w:rPr>
          <w:t xml:space="preserve"> </w:t>
        </w:r>
        <w:proofErr w:type="spellStart"/>
        <w:r w:rsidRPr="00752661">
          <w:rPr>
            <w:rFonts w:ascii="Open Sans" w:eastAsia="Times New Roman" w:hAnsi="Open Sans" w:cs="Open Sans"/>
            <w:color w:val="0B5FFF"/>
            <w:sz w:val="24"/>
            <w:szCs w:val="24"/>
            <w:u w:val="single"/>
            <w:lang w:val="en-GB" w:eastAsia="nb-NO"/>
          </w:rPr>
          <w:t>vilkår</w:t>
        </w:r>
        <w:proofErr w:type="spellEnd"/>
        <w:r w:rsidRPr="00752661">
          <w:rPr>
            <w:rFonts w:ascii="Open Sans" w:eastAsia="Times New Roman" w:hAnsi="Open Sans" w:cs="Open Sans"/>
            <w:color w:val="0B5FFF"/>
            <w:sz w:val="24"/>
            <w:szCs w:val="24"/>
            <w:u w:val="single"/>
            <w:lang w:val="en-GB" w:eastAsia="nb-NO"/>
          </w:rPr>
          <w:t xml:space="preserve"> </w:t>
        </w:r>
        <w:proofErr w:type="spellStart"/>
        <w:r w:rsidRPr="00752661">
          <w:rPr>
            <w:rFonts w:ascii="Open Sans" w:eastAsia="Times New Roman" w:hAnsi="Open Sans" w:cs="Open Sans"/>
            <w:color w:val="0B5FFF"/>
            <w:sz w:val="24"/>
            <w:szCs w:val="24"/>
            <w:u w:val="single"/>
            <w:lang w:val="en-GB" w:eastAsia="nb-NO"/>
          </w:rPr>
          <w:t>ved</w:t>
        </w:r>
        <w:proofErr w:type="spellEnd"/>
        <w:r w:rsidRPr="00752661">
          <w:rPr>
            <w:rFonts w:ascii="Open Sans" w:eastAsia="Times New Roman" w:hAnsi="Open Sans" w:cs="Open Sans"/>
            <w:color w:val="0B5FFF"/>
            <w:sz w:val="24"/>
            <w:szCs w:val="24"/>
            <w:u w:val="single"/>
            <w:lang w:val="en-GB" w:eastAsia="nb-NO"/>
          </w:rPr>
          <w:t xml:space="preserve"> </w:t>
        </w:r>
        <w:proofErr w:type="spellStart"/>
        <w:r w:rsidRPr="00752661">
          <w:rPr>
            <w:rFonts w:ascii="Open Sans" w:eastAsia="Times New Roman" w:hAnsi="Open Sans" w:cs="Open Sans"/>
            <w:color w:val="0B5FFF"/>
            <w:sz w:val="24"/>
            <w:szCs w:val="24"/>
            <w:u w:val="single"/>
            <w:lang w:val="en-GB" w:eastAsia="nb-NO"/>
          </w:rPr>
          <w:t>etter</w:t>
        </w:r>
        <w:proofErr w:type="spellEnd"/>
        <w:r w:rsidRPr="00752661">
          <w:rPr>
            <w:rFonts w:ascii="Open Sans" w:eastAsia="Times New Roman" w:hAnsi="Open Sans" w:cs="Open Sans"/>
            <w:color w:val="0B5FFF"/>
            <w:sz w:val="24"/>
            <w:szCs w:val="24"/>
            <w:u w:val="single"/>
            <w:lang w:val="en-GB" w:eastAsia="nb-NO"/>
          </w:rPr>
          <w:t xml:space="preserve">- </w:t>
        </w:r>
        <w:proofErr w:type="spellStart"/>
        <w:r w:rsidRPr="00752661">
          <w:rPr>
            <w:rFonts w:ascii="Open Sans" w:eastAsia="Times New Roman" w:hAnsi="Open Sans" w:cs="Open Sans"/>
            <w:color w:val="0B5FFF"/>
            <w:sz w:val="24"/>
            <w:szCs w:val="24"/>
            <w:u w:val="single"/>
            <w:lang w:val="en-GB" w:eastAsia="nb-NO"/>
          </w:rPr>
          <w:t>og</w:t>
        </w:r>
        <w:proofErr w:type="spellEnd"/>
        <w:r w:rsidRPr="00752661">
          <w:rPr>
            <w:rFonts w:ascii="Open Sans" w:eastAsia="Times New Roman" w:hAnsi="Open Sans" w:cs="Open Sans"/>
            <w:color w:val="0B5FFF"/>
            <w:sz w:val="24"/>
            <w:szCs w:val="24"/>
            <w:u w:val="single"/>
            <w:lang w:val="en-GB" w:eastAsia="nb-NO"/>
          </w:rPr>
          <w:t xml:space="preserve"> </w:t>
        </w:r>
        <w:proofErr w:type="spellStart"/>
        <w:r w:rsidRPr="00752661">
          <w:rPr>
            <w:rFonts w:ascii="Open Sans" w:eastAsia="Times New Roman" w:hAnsi="Open Sans" w:cs="Open Sans"/>
            <w:color w:val="0B5FFF"/>
            <w:sz w:val="24"/>
            <w:szCs w:val="24"/>
            <w:u w:val="single"/>
            <w:lang w:val="en-GB" w:eastAsia="nb-NO"/>
          </w:rPr>
          <w:t>videreutdanning</w:t>
        </w:r>
        <w:proofErr w:type="spellEnd"/>
        <w:r w:rsidRPr="00752661">
          <w:rPr>
            <w:rFonts w:ascii="Open Sans" w:eastAsia="Times New Roman" w:hAnsi="Open Sans" w:cs="Open Sans"/>
            <w:color w:val="0B5FFF"/>
            <w:sz w:val="24"/>
            <w:szCs w:val="24"/>
            <w:u w:val="single"/>
            <w:lang w:val="en-GB" w:eastAsia="nb-NO"/>
          </w:rPr>
          <w:t xml:space="preserve">, </w:t>
        </w:r>
        <w:proofErr w:type="spellStart"/>
        <w:r w:rsidRPr="00752661">
          <w:rPr>
            <w:rFonts w:ascii="Open Sans" w:eastAsia="Times New Roman" w:hAnsi="Open Sans" w:cs="Open Sans"/>
            <w:color w:val="0B5FFF"/>
            <w:sz w:val="24"/>
            <w:szCs w:val="24"/>
            <w:u w:val="single"/>
            <w:lang w:val="en-GB" w:eastAsia="nb-NO"/>
          </w:rPr>
          <w:t>kurs</w:t>
        </w:r>
        <w:proofErr w:type="spellEnd"/>
        <w:r w:rsidRPr="00752661">
          <w:rPr>
            <w:rFonts w:ascii="Open Sans" w:eastAsia="Times New Roman" w:hAnsi="Open Sans" w:cs="Open Sans"/>
            <w:color w:val="0B5FFF"/>
            <w:sz w:val="24"/>
            <w:szCs w:val="24"/>
            <w:u w:val="single"/>
            <w:lang w:val="en-GB" w:eastAsia="nb-NO"/>
          </w:rPr>
          <w:t xml:space="preserve"> mv.”</w:t>
        </w:r>
      </w:hyperlink>
      <w:r w:rsidRPr="00752661">
        <w:rPr>
          <w:rFonts w:ascii="Open Sans" w:eastAsia="Times New Roman" w:hAnsi="Open Sans" w:cs="Open Sans"/>
          <w:color w:val="272833"/>
          <w:sz w:val="24"/>
          <w:szCs w:val="24"/>
          <w:lang w:val="en-GB" w:eastAsia="nb-NO"/>
        </w:rPr>
        <w:t>). Also see the provisions on study leave in</w:t>
      </w:r>
      <w:r w:rsidR="00F32F8B">
        <w:rPr>
          <w:rFonts w:ascii="Open Sans" w:eastAsia="Times New Roman" w:hAnsi="Open Sans" w:cs="Open Sans"/>
          <w:color w:val="272833"/>
          <w:sz w:val="24"/>
          <w:szCs w:val="24"/>
          <w:lang w:val="en-GB" w:eastAsia="nb-NO"/>
        </w:rPr>
        <w:t xml:space="preserve"> section 12-11 of the </w:t>
      </w:r>
      <w:hyperlink r:id="rId35" w:anchor="shareModal" w:history="1">
        <w:r w:rsidRPr="00752661">
          <w:rPr>
            <w:rFonts w:ascii="Open Sans" w:eastAsia="Times New Roman" w:hAnsi="Open Sans" w:cs="Open Sans"/>
            <w:color w:val="0B5FFF"/>
            <w:sz w:val="24"/>
            <w:szCs w:val="24"/>
            <w:u w:val="single"/>
            <w:lang w:val="en-GB" w:eastAsia="nb-NO"/>
          </w:rPr>
          <w:t>Working Environment Act</w:t>
        </w:r>
      </w:hyperlink>
      <w:r w:rsidRPr="00752661">
        <w:rPr>
          <w:rFonts w:ascii="Open Sans" w:eastAsia="Times New Roman" w:hAnsi="Open Sans" w:cs="Open Sans"/>
          <w:color w:val="272833"/>
          <w:sz w:val="24"/>
          <w:szCs w:val="24"/>
          <w:lang w:val="en-GB" w:eastAsia="nb-NO"/>
        </w:rPr>
        <w:t>.</w:t>
      </w:r>
    </w:p>
    <w:p w14:paraId="2B8E7601" w14:textId="7BCA4F35"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1</w:t>
      </w:r>
      <w:r w:rsidR="005049B6">
        <w:rPr>
          <w:rFonts w:ascii="Open Sans" w:eastAsia="Times New Roman" w:hAnsi="Open Sans" w:cs="Open Sans"/>
          <w:b/>
          <w:bCs/>
          <w:color w:val="272833"/>
          <w:sz w:val="24"/>
          <w:szCs w:val="24"/>
          <w:lang w:val="en-GB" w:eastAsia="nb-NO"/>
        </w:rPr>
        <w:t>2</w:t>
      </w:r>
      <w:r w:rsidRPr="00752661">
        <w:rPr>
          <w:rFonts w:ascii="Open Sans" w:eastAsia="Times New Roman" w:hAnsi="Open Sans" w:cs="Open Sans"/>
          <w:b/>
          <w:bCs/>
          <w:color w:val="272833"/>
          <w:sz w:val="24"/>
          <w:szCs w:val="24"/>
          <w:lang w:val="en-GB" w:eastAsia="nb-NO"/>
        </w:rPr>
        <w:t>.2</w:t>
      </w:r>
      <w:r w:rsidRPr="00752661">
        <w:rPr>
          <w:rFonts w:ascii="Open Sans" w:eastAsia="Times New Roman" w:hAnsi="Open Sans" w:cs="Open Sans"/>
          <w:color w:val="272833"/>
          <w:sz w:val="24"/>
          <w:szCs w:val="24"/>
          <w:lang w:val="en-GB" w:eastAsia="nb-NO"/>
        </w:rPr>
        <w:t> In connection with transfer to another position, any application for leave of absence must be decided after weighing the interests of the applicant and the employer.</w:t>
      </w:r>
    </w:p>
    <w:p w14:paraId="1351DF2E" w14:textId="09E4EE1F"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lastRenderedPageBreak/>
        <w:t>1</w:t>
      </w:r>
      <w:r w:rsidR="005049B6">
        <w:rPr>
          <w:rFonts w:ascii="Open Sans" w:eastAsia="Times New Roman" w:hAnsi="Open Sans" w:cs="Open Sans"/>
          <w:b/>
          <w:bCs/>
          <w:color w:val="272833"/>
          <w:sz w:val="24"/>
          <w:szCs w:val="24"/>
          <w:lang w:val="en-GB" w:eastAsia="nb-NO"/>
        </w:rPr>
        <w:t>2</w:t>
      </w:r>
      <w:r w:rsidRPr="00752661">
        <w:rPr>
          <w:rFonts w:ascii="Open Sans" w:eastAsia="Times New Roman" w:hAnsi="Open Sans" w:cs="Open Sans"/>
          <w:b/>
          <w:bCs/>
          <w:color w:val="272833"/>
          <w:sz w:val="24"/>
          <w:szCs w:val="24"/>
          <w:lang w:val="en-GB" w:eastAsia="nb-NO"/>
        </w:rPr>
        <w:t>.3</w:t>
      </w:r>
      <w:r w:rsidRPr="00752661">
        <w:rPr>
          <w:rFonts w:ascii="Open Sans" w:eastAsia="Times New Roman" w:hAnsi="Open Sans" w:cs="Open Sans"/>
          <w:color w:val="272833"/>
          <w:sz w:val="24"/>
          <w:szCs w:val="24"/>
          <w:lang w:val="en-GB" w:eastAsia="nb-NO"/>
        </w:rPr>
        <w:t> NTNU wishes to stimulate greater internal mobility to contribute to the individual’s professional development and optimal use of the university’s human resources.</w:t>
      </w:r>
    </w:p>
    <w:p w14:paraId="5887C848" w14:textId="3C0A183D"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1</w:t>
      </w:r>
      <w:r w:rsidR="005049B6">
        <w:rPr>
          <w:rFonts w:ascii="Open Sans" w:eastAsia="Times New Roman" w:hAnsi="Open Sans" w:cs="Open Sans"/>
          <w:b/>
          <w:bCs/>
          <w:color w:val="272833"/>
          <w:sz w:val="24"/>
          <w:szCs w:val="24"/>
          <w:lang w:val="en-GB" w:eastAsia="nb-NO"/>
        </w:rPr>
        <w:t>2</w:t>
      </w:r>
      <w:r w:rsidRPr="00752661">
        <w:rPr>
          <w:rFonts w:ascii="Open Sans" w:eastAsia="Times New Roman" w:hAnsi="Open Sans" w:cs="Open Sans"/>
          <w:b/>
          <w:bCs/>
          <w:color w:val="272833"/>
          <w:sz w:val="24"/>
          <w:szCs w:val="24"/>
          <w:lang w:val="en-GB" w:eastAsia="nb-NO"/>
        </w:rPr>
        <w:t>.4</w:t>
      </w:r>
      <w:r w:rsidRPr="00752661">
        <w:rPr>
          <w:rFonts w:ascii="Open Sans" w:eastAsia="Times New Roman" w:hAnsi="Open Sans" w:cs="Open Sans"/>
          <w:color w:val="272833"/>
          <w:sz w:val="24"/>
          <w:szCs w:val="24"/>
          <w:lang w:val="en-GB" w:eastAsia="nb-NO"/>
        </w:rPr>
        <w:t xml:space="preserve"> The period of leave in connection with </w:t>
      </w:r>
      <w:r w:rsidR="00F32F8B">
        <w:rPr>
          <w:rFonts w:ascii="Open Sans" w:eastAsia="Times New Roman" w:hAnsi="Open Sans" w:cs="Open Sans"/>
          <w:color w:val="272833"/>
          <w:sz w:val="24"/>
          <w:szCs w:val="24"/>
          <w:lang w:val="en-GB" w:eastAsia="nb-NO"/>
        </w:rPr>
        <w:t xml:space="preserve">a </w:t>
      </w:r>
      <w:r w:rsidRPr="00752661">
        <w:rPr>
          <w:rFonts w:ascii="Open Sans" w:eastAsia="Times New Roman" w:hAnsi="Open Sans" w:cs="Open Sans"/>
          <w:color w:val="272833"/>
          <w:sz w:val="24"/>
          <w:szCs w:val="24"/>
          <w:lang w:val="en-GB" w:eastAsia="nb-NO"/>
        </w:rPr>
        <w:t>transfer to another permanent position should normally not exceed one year.</w:t>
      </w:r>
      <w:r w:rsidR="005E13AD">
        <w:rPr>
          <w:rFonts w:ascii="Open Sans" w:eastAsia="Times New Roman" w:hAnsi="Open Sans" w:cs="Open Sans"/>
          <w:color w:val="272833"/>
          <w:sz w:val="24"/>
          <w:szCs w:val="24"/>
          <w:lang w:val="en-GB" w:eastAsia="nb-NO"/>
        </w:rPr>
        <w:t xml:space="preserve"> </w:t>
      </w:r>
      <w:r w:rsidRPr="00752661">
        <w:rPr>
          <w:rFonts w:ascii="Open Sans" w:eastAsia="Times New Roman" w:hAnsi="Open Sans" w:cs="Open Sans"/>
          <w:color w:val="272833"/>
          <w:sz w:val="24"/>
          <w:szCs w:val="24"/>
          <w:lang w:val="en-GB" w:eastAsia="nb-NO"/>
        </w:rPr>
        <w:t xml:space="preserve">The decision on leave of absence according to the </w:t>
      </w:r>
      <w:r w:rsidR="00F32F8B">
        <w:rPr>
          <w:rFonts w:ascii="Open Sans" w:eastAsia="Times New Roman" w:hAnsi="Open Sans" w:cs="Open Sans"/>
          <w:color w:val="272833"/>
          <w:sz w:val="24"/>
          <w:szCs w:val="24"/>
          <w:lang w:val="en-GB" w:eastAsia="nb-NO"/>
        </w:rPr>
        <w:t>above-mentioned</w:t>
      </w:r>
      <w:r w:rsidRPr="00752661">
        <w:rPr>
          <w:rFonts w:ascii="Open Sans" w:eastAsia="Times New Roman" w:hAnsi="Open Sans" w:cs="Open Sans"/>
          <w:color w:val="272833"/>
          <w:sz w:val="24"/>
          <w:szCs w:val="24"/>
          <w:lang w:val="en-GB" w:eastAsia="nb-NO"/>
        </w:rPr>
        <w:t xml:space="preserve"> rules is made by the immediate superior.</w:t>
      </w:r>
    </w:p>
    <w:p w14:paraId="6C1B4540" w14:textId="186EEE00" w:rsidR="00752661" w:rsidRPr="00752661" w:rsidRDefault="00752661"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sidRPr="00752661">
        <w:rPr>
          <w:rFonts w:ascii="Open Sans" w:eastAsia="Times New Roman" w:hAnsi="Open Sans" w:cs="Open Sans"/>
          <w:b/>
          <w:bCs/>
          <w:color w:val="272833"/>
          <w:sz w:val="27"/>
          <w:szCs w:val="27"/>
          <w:lang w:val="en-GB" w:eastAsia="nb-NO"/>
        </w:rPr>
        <w:t>1</w:t>
      </w:r>
      <w:r w:rsidR="005049B6">
        <w:rPr>
          <w:rFonts w:ascii="Open Sans" w:eastAsia="Times New Roman" w:hAnsi="Open Sans" w:cs="Open Sans"/>
          <w:b/>
          <w:bCs/>
          <w:color w:val="272833"/>
          <w:sz w:val="27"/>
          <w:szCs w:val="27"/>
          <w:lang w:val="en-GB" w:eastAsia="nb-NO"/>
        </w:rPr>
        <w:t>3</w:t>
      </w:r>
      <w:r w:rsidRPr="00752661">
        <w:rPr>
          <w:rFonts w:ascii="Open Sans" w:eastAsia="Times New Roman" w:hAnsi="Open Sans" w:cs="Open Sans"/>
          <w:b/>
          <w:bCs/>
          <w:color w:val="272833"/>
          <w:sz w:val="27"/>
          <w:szCs w:val="27"/>
          <w:lang w:val="en-GB" w:eastAsia="nb-NO"/>
        </w:rPr>
        <w:t>. Appeals body</w:t>
      </w:r>
    </w:p>
    <w:p w14:paraId="6D3C92F2" w14:textId="521719BD" w:rsid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If, in accordance with the Public Administration Act, a government employee appeals against a decision on termination of employment, disciplinary measures, suspension or dismissal, the appeal body is the Board of NTNU in cases where decisions are not made by the Board of NTNU itself. Where the Board of NTNU has made the decision, the appeals body is the ministry for the sector.</w:t>
      </w:r>
    </w:p>
    <w:p w14:paraId="6322102D" w14:textId="62C94BD9" w:rsidR="005049B6" w:rsidRPr="00E5659E" w:rsidRDefault="005049B6" w:rsidP="005049B6">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sidRPr="00E5659E">
        <w:rPr>
          <w:rFonts w:ascii="Open Sans" w:eastAsia="Times New Roman" w:hAnsi="Open Sans" w:cs="Open Sans"/>
          <w:b/>
          <w:bCs/>
          <w:color w:val="272833"/>
          <w:sz w:val="27"/>
          <w:szCs w:val="27"/>
          <w:lang w:val="en-GB" w:eastAsia="nb-NO"/>
        </w:rPr>
        <w:t>14. Access to documents</w:t>
      </w:r>
    </w:p>
    <w:p w14:paraId="5F6FA83C" w14:textId="087BFB4F" w:rsidR="005049B6" w:rsidRPr="005049B6" w:rsidRDefault="000C69CB" w:rsidP="005049B6">
      <w:pPr>
        <w:shd w:val="clear" w:color="auto" w:fill="FFFFFF"/>
        <w:spacing w:after="100" w:afterAutospacing="1" w:line="240" w:lineRule="auto"/>
        <w:outlineLvl w:val="2"/>
        <w:rPr>
          <w:rFonts w:ascii="Open Sans" w:eastAsia="Times New Roman" w:hAnsi="Open Sans" w:cs="Open Sans"/>
          <w:color w:val="272833"/>
          <w:sz w:val="27"/>
          <w:szCs w:val="27"/>
          <w:lang w:val="en-GB" w:eastAsia="nb-NO"/>
        </w:rPr>
      </w:pPr>
      <w:r>
        <w:rPr>
          <w:rFonts w:ascii="Open Sans" w:eastAsia="Times New Roman" w:hAnsi="Open Sans" w:cs="Open Sans"/>
          <w:color w:val="272833"/>
          <w:sz w:val="27"/>
          <w:szCs w:val="27"/>
          <w:lang w:val="en-GB" w:eastAsia="nb-NO"/>
        </w:rPr>
        <w:t>Applicants’</w:t>
      </w:r>
      <w:r w:rsidR="005049B6" w:rsidRPr="005049B6">
        <w:rPr>
          <w:rFonts w:ascii="Open Sans" w:eastAsia="Times New Roman" w:hAnsi="Open Sans" w:cs="Open Sans"/>
          <w:color w:val="272833"/>
          <w:sz w:val="27"/>
          <w:szCs w:val="27"/>
          <w:lang w:val="en-GB" w:eastAsia="nb-NO"/>
        </w:rPr>
        <w:t xml:space="preserve"> (parties) access to </w:t>
      </w:r>
      <w:r w:rsidR="005049B6">
        <w:rPr>
          <w:rFonts w:ascii="Open Sans" w:eastAsia="Times New Roman" w:hAnsi="Open Sans" w:cs="Open Sans"/>
          <w:color w:val="272833"/>
          <w:sz w:val="27"/>
          <w:szCs w:val="27"/>
          <w:lang w:val="en-GB" w:eastAsia="nb-NO"/>
        </w:rPr>
        <w:t>formal nomination</w:t>
      </w:r>
      <w:r>
        <w:rPr>
          <w:rFonts w:ascii="Open Sans" w:eastAsia="Times New Roman" w:hAnsi="Open Sans" w:cs="Open Sans"/>
          <w:color w:val="272833"/>
          <w:sz w:val="27"/>
          <w:szCs w:val="27"/>
          <w:lang w:val="en-GB" w:eastAsia="nb-NO"/>
        </w:rPr>
        <w:t xml:space="preserve"> documents is</w:t>
      </w:r>
      <w:r w:rsidR="005049B6">
        <w:rPr>
          <w:rFonts w:ascii="Open Sans" w:eastAsia="Times New Roman" w:hAnsi="Open Sans" w:cs="Open Sans"/>
          <w:color w:val="272833"/>
          <w:sz w:val="27"/>
          <w:szCs w:val="27"/>
          <w:lang w:val="en-GB" w:eastAsia="nb-NO"/>
        </w:rPr>
        <w:t xml:space="preserve"> </w:t>
      </w:r>
      <w:r w:rsidR="006E358B">
        <w:rPr>
          <w:rFonts w:ascii="Open Sans" w:eastAsia="Times New Roman" w:hAnsi="Open Sans" w:cs="Open Sans"/>
          <w:color w:val="272833"/>
          <w:sz w:val="27"/>
          <w:szCs w:val="27"/>
          <w:lang w:val="en-GB" w:eastAsia="nb-NO"/>
        </w:rPr>
        <w:t>set</w:t>
      </w:r>
      <w:r w:rsidR="005049B6">
        <w:rPr>
          <w:rFonts w:ascii="Open Sans" w:eastAsia="Times New Roman" w:hAnsi="Open Sans" w:cs="Open Sans"/>
          <w:color w:val="272833"/>
          <w:sz w:val="27"/>
          <w:szCs w:val="27"/>
          <w:lang w:val="en-GB" w:eastAsia="nb-NO"/>
        </w:rPr>
        <w:t xml:space="preserve"> by </w:t>
      </w:r>
      <w:r w:rsidR="00F32F8B">
        <w:rPr>
          <w:rFonts w:ascii="Open Sans" w:eastAsia="Times New Roman" w:hAnsi="Open Sans" w:cs="Open Sans"/>
          <w:color w:val="272833"/>
          <w:sz w:val="27"/>
          <w:szCs w:val="27"/>
          <w:lang w:val="en-GB" w:eastAsia="nb-NO"/>
        </w:rPr>
        <w:t xml:space="preserve">section 16 in </w:t>
      </w:r>
      <w:r>
        <w:rPr>
          <w:rFonts w:ascii="Open Sans" w:eastAsia="Times New Roman" w:hAnsi="Open Sans" w:cs="Open Sans"/>
          <w:color w:val="272833"/>
          <w:sz w:val="27"/>
          <w:szCs w:val="27"/>
          <w:lang w:val="en-GB" w:eastAsia="nb-NO"/>
        </w:rPr>
        <w:t xml:space="preserve">the </w:t>
      </w:r>
      <w:r w:rsidRPr="006E358B">
        <w:rPr>
          <w:rFonts w:ascii="Open Sans" w:eastAsia="Times New Roman" w:hAnsi="Open Sans" w:cs="Open Sans"/>
          <w:color w:val="272833"/>
          <w:sz w:val="27"/>
          <w:szCs w:val="27"/>
          <w:lang w:val="en-GB" w:eastAsia="nb-NO"/>
        </w:rPr>
        <w:t xml:space="preserve">Regulations </w:t>
      </w:r>
      <w:r w:rsidR="006E358B" w:rsidRPr="006E358B">
        <w:rPr>
          <w:rFonts w:ascii="Open Sans" w:eastAsia="Times New Roman" w:hAnsi="Open Sans" w:cs="Open Sans"/>
          <w:color w:val="272833"/>
          <w:sz w:val="27"/>
          <w:szCs w:val="27"/>
          <w:lang w:val="en-GB" w:eastAsia="nb-NO"/>
        </w:rPr>
        <w:t>concerning</w:t>
      </w:r>
      <w:r w:rsidRPr="006E358B">
        <w:rPr>
          <w:rFonts w:ascii="Open Sans" w:eastAsia="Times New Roman" w:hAnsi="Open Sans" w:cs="Open Sans"/>
          <w:color w:val="272833"/>
          <w:sz w:val="27"/>
          <w:szCs w:val="27"/>
          <w:lang w:val="en-GB" w:eastAsia="nb-NO"/>
        </w:rPr>
        <w:t xml:space="preserve"> </w:t>
      </w:r>
      <w:r w:rsidR="005049B6" w:rsidRPr="006E358B">
        <w:rPr>
          <w:rFonts w:ascii="Open Sans" w:eastAsia="Times New Roman" w:hAnsi="Open Sans" w:cs="Open Sans"/>
          <w:color w:val="272833"/>
          <w:sz w:val="27"/>
          <w:szCs w:val="27"/>
          <w:lang w:val="en-GB" w:eastAsia="nb-NO"/>
        </w:rPr>
        <w:t>the</w:t>
      </w:r>
      <w:r w:rsidRPr="006E358B">
        <w:rPr>
          <w:rFonts w:ascii="Open Sans" w:eastAsia="Times New Roman" w:hAnsi="Open Sans" w:cs="Open Sans"/>
          <w:color w:val="272833"/>
          <w:sz w:val="27"/>
          <w:szCs w:val="27"/>
          <w:lang w:val="en-GB" w:eastAsia="nb-NO"/>
        </w:rPr>
        <w:t xml:space="preserve"> </w:t>
      </w:r>
      <w:r w:rsidR="005049B6" w:rsidRPr="006E358B">
        <w:rPr>
          <w:rFonts w:ascii="Open Sans" w:eastAsia="Times New Roman" w:hAnsi="Open Sans" w:cs="Open Sans"/>
          <w:color w:val="272833"/>
          <w:sz w:val="27"/>
          <w:szCs w:val="27"/>
          <w:lang w:val="en-GB" w:eastAsia="nb-NO"/>
        </w:rPr>
        <w:t>Public Administration Act</w:t>
      </w:r>
      <w:r w:rsidR="006E358B">
        <w:rPr>
          <w:rFonts w:ascii="Open Sans" w:eastAsia="Times New Roman" w:hAnsi="Open Sans" w:cs="Open Sans"/>
          <w:color w:val="272833"/>
          <w:sz w:val="27"/>
          <w:szCs w:val="27"/>
          <w:lang w:val="en-GB" w:eastAsia="nb-NO"/>
        </w:rPr>
        <w:t xml:space="preserve"> [</w:t>
      </w:r>
      <w:r w:rsidR="00E5659E">
        <w:rPr>
          <w:rFonts w:ascii="Open Sans" w:eastAsia="Times New Roman" w:hAnsi="Open Sans" w:cs="Open Sans"/>
          <w:color w:val="272833"/>
          <w:sz w:val="27"/>
          <w:szCs w:val="27"/>
          <w:lang w:val="en-GB" w:eastAsia="nb-NO"/>
        </w:rPr>
        <w:t xml:space="preserve">in Norwegian: </w:t>
      </w:r>
      <w:hyperlink r:id="rId36" w:history="1">
        <w:proofErr w:type="spellStart"/>
        <w:r w:rsidR="006E358B" w:rsidRPr="006E358B">
          <w:rPr>
            <w:rStyle w:val="Hyperkobling"/>
            <w:rFonts w:ascii="Open Sans" w:eastAsia="Times New Roman" w:hAnsi="Open Sans" w:cs="Open Sans"/>
            <w:sz w:val="27"/>
            <w:szCs w:val="27"/>
            <w:lang w:val="en-GB" w:eastAsia="nb-NO"/>
          </w:rPr>
          <w:t>Forskrift</w:t>
        </w:r>
        <w:proofErr w:type="spellEnd"/>
        <w:r w:rsidR="006E358B" w:rsidRPr="006E358B">
          <w:rPr>
            <w:rStyle w:val="Hyperkobling"/>
            <w:rFonts w:ascii="Open Sans" w:eastAsia="Times New Roman" w:hAnsi="Open Sans" w:cs="Open Sans"/>
            <w:sz w:val="27"/>
            <w:szCs w:val="27"/>
            <w:lang w:val="en-GB" w:eastAsia="nb-NO"/>
          </w:rPr>
          <w:t xml:space="preserve"> </w:t>
        </w:r>
        <w:proofErr w:type="spellStart"/>
        <w:r w:rsidR="006E358B" w:rsidRPr="006E358B">
          <w:rPr>
            <w:rStyle w:val="Hyperkobling"/>
            <w:rFonts w:ascii="Open Sans" w:eastAsia="Times New Roman" w:hAnsi="Open Sans" w:cs="Open Sans"/>
            <w:sz w:val="27"/>
            <w:szCs w:val="27"/>
            <w:lang w:val="en-GB" w:eastAsia="nb-NO"/>
          </w:rPr>
          <w:t>til</w:t>
        </w:r>
        <w:proofErr w:type="spellEnd"/>
        <w:r w:rsidR="006E358B" w:rsidRPr="006E358B">
          <w:rPr>
            <w:rStyle w:val="Hyperkobling"/>
            <w:rFonts w:ascii="Open Sans" w:eastAsia="Times New Roman" w:hAnsi="Open Sans" w:cs="Open Sans"/>
            <w:sz w:val="27"/>
            <w:szCs w:val="27"/>
            <w:lang w:val="en-GB" w:eastAsia="nb-NO"/>
          </w:rPr>
          <w:t xml:space="preserve"> </w:t>
        </w:r>
        <w:proofErr w:type="spellStart"/>
        <w:r w:rsidR="006E358B" w:rsidRPr="006E358B">
          <w:rPr>
            <w:rStyle w:val="Hyperkobling"/>
            <w:rFonts w:ascii="Open Sans" w:eastAsia="Times New Roman" w:hAnsi="Open Sans" w:cs="Open Sans"/>
            <w:sz w:val="27"/>
            <w:szCs w:val="27"/>
            <w:lang w:val="en-GB" w:eastAsia="nb-NO"/>
          </w:rPr>
          <w:t>forvaltningsloven</w:t>
        </w:r>
        <w:proofErr w:type="spellEnd"/>
      </w:hyperlink>
      <w:r w:rsidR="006E358B">
        <w:rPr>
          <w:rFonts w:ascii="Open Sans" w:eastAsia="Times New Roman" w:hAnsi="Open Sans" w:cs="Open Sans"/>
          <w:color w:val="272833"/>
          <w:sz w:val="27"/>
          <w:szCs w:val="27"/>
          <w:lang w:val="en-GB" w:eastAsia="nb-NO"/>
        </w:rPr>
        <w:t>]</w:t>
      </w:r>
      <w:r>
        <w:rPr>
          <w:rFonts w:ascii="Open Sans" w:eastAsia="Times New Roman" w:hAnsi="Open Sans" w:cs="Open Sans"/>
          <w:color w:val="272833"/>
          <w:sz w:val="27"/>
          <w:szCs w:val="27"/>
          <w:lang w:val="en-GB" w:eastAsia="nb-NO"/>
        </w:rPr>
        <w:t>.</w:t>
      </w:r>
    </w:p>
    <w:p w14:paraId="47DE40EE" w14:textId="47BA6623" w:rsidR="00752661" w:rsidRPr="00752661" w:rsidRDefault="00752661" w:rsidP="00752661">
      <w:pPr>
        <w:shd w:val="clear" w:color="auto" w:fill="FFFFFF"/>
        <w:spacing w:after="100" w:afterAutospacing="1" w:line="240" w:lineRule="auto"/>
        <w:outlineLvl w:val="2"/>
        <w:rPr>
          <w:rFonts w:ascii="Open Sans" w:eastAsia="Times New Roman" w:hAnsi="Open Sans" w:cs="Open Sans"/>
          <w:b/>
          <w:bCs/>
          <w:color w:val="272833"/>
          <w:sz w:val="27"/>
          <w:szCs w:val="27"/>
          <w:lang w:eastAsia="nb-NO"/>
        </w:rPr>
      </w:pPr>
      <w:r w:rsidRPr="00752661">
        <w:rPr>
          <w:rFonts w:ascii="Open Sans" w:eastAsia="Times New Roman" w:hAnsi="Open Sans" w:cs="Open Sans"/>
          <w:b/>
          <w:bCs/>
          <w:color w:val="272833"/>
          <w:sz w:val="27"/>
          <w:szCs w:val="27"/>
          <w:lang w:eastAsia="nb-NO"/>
        </w:rPr>
        <w:t>1</w:t>
      </w:r>
      <w:r w:rsidR="005049B6">
        <w:rPr>
          <w:rFonts w:ascii="Open Sans" w:eastAsia="Times New Roman" w:hAnsi="Open Sans" w:cs="Open Sans"/>
          <w:b/>
          <w:bCs/>
          <w:color w:val="272833"/>
          <w:sz w:val="27"/>
          <w:szCs w:val="27"/>
          <w:lang w:eastAsia="nb-NO"/>
        </w:rPr>
        <w:t>5</w:t>
      </w:r>
      <w:r w:rsidRPr="00752661">
        <w:rPr>
          <w:rFonts w:ascii="Open Sans" w:eastAsia="Times New Roman" w:hAnsi="Open Sans" w:cs="Open Sans"/>
          <w:b/>
          <w:bCs/>
          <w:color w:val="272833"/>
          <w:sz w:val="27"/>
          <w:szCs w:val="27"/>
          <w:lang w:eastAsia="nb-NO"/>
        </w:rPr>
        <w:t xml:space="preserve">. </w:t>
      </w:r>
      <w:proofErr w:type="spellStart"/>
      <w:r w:rsidRPr="00752661">
        <w:rPr>
          <w:rFonts w:ascii="Open Sans" w:eastAsia="Times New Roman" w:hAnsi="Open Sans" w:cs="Open Sans"/>
          <w:b/>
          <w:bCs/>
          <w:color w:val="272833"/>
          <w:sz w:val="27"/>
          <w:szCs w:val="27"/>
          <w:lang w:eastAsia="nb-NO"/>
        </w:rPr>
        <w:t>Other</w:t>
      </w:r>
      <w:proofErr w:type="spellEnd"/>
      <w:r w:rsidRPr="00752661">
        <w:rPr>
          <w:rFonts w:ascii="Open Sans" w:eastAsia="Times New Roman" w:hAnsi="Open Sans" w:cs="Open Sans"/>
          <w:b/>
          <w:bCs/>
          <w:color w:val="272833"/>
          <w:sz w:val="27"/>
          <w:szCs w:val="27"/>
          <w:lang w:eastAsia="nb-NO"/>
        </w:rPr>
        <w:t xml:space="preserve"> </w:t>
      </w:r>
      <w:proofErr w:type="spellStart"/>
      <w:r w:rsidRPr="00752661">
        <w:rPr>
          <w:rFonts w:ascii="Open Sans" w:eastAsia="Times New Roman" w:hAnsi="Open Sans" w:cs="Open Sans"/>
          <w:b/>
          <w:bCs/>
          <w:color w:val="272833"/>
          <w:sz w:val="27"/>
          <w:szCs w:val="27"/>
          <w:lang w:eastAsia="nb-NO"/>
        </w:rPr>
        <w:t>provisions</w:t>
      </w:r>
      <w:proofErr w:type="spellEnd"/>
    </w:p>
    <w:p w14:paraId="346DBD68" w14:textId="77777777" w:rsidR="00752661" w:rsidRPr="00752661" w:rsidRDefault="00752661" w:rsidP="00752661">
      <w:pPr>
        <w:numPr>
          <w:ilvl w:val="0"/>
          <w:numId w:val="9"/>
        </w:numPr>
        <w:shd w:val="clear" w:color="auto" w:fill="FFFFFF"/>
        <w:spacing w:before="100" w:beforeAutospacing="1" w:after="100" w:afterAutospacing="1" w:line="240" w:lineRule="auto"/>
        <w:rPr>
          <w:rFonts w:ascii="Open Sans" w:eastAsia="Times New Roman" w:hAnsi="Open Sans" w:cs="Open Sans"/>
          <w:color w:val="272833"/>
          <w:sz w:val="24"/>
          <w:szCs w:val="24"/>
          <w:lang w:eastAsia="nb-NO"/>
        </w:rPr>
      </w:pPr>
      <w:proofErr w:type="spellStart"/>
      <w:r w:rsidRPr="00752661">
        <w:rPr>
          <w:rFonts w:ascii="Open Sans" w:eastAsia="Times New Roman" w:hAnsi="Open Sans" w:cs="Open Sans"/>
          <w:color w:val="272833"/>
          <w:sz w:val="24"/>
          <w:szCs w:val="24"/>
          <w:lang w:eastAsia="nb-NO"/>
        </w:rPr>
        <w:t>Working</w:t>
      </w:r>
      <w:proofErr w:type="spellEnd"/>
      <w:r w:rsidRPr="00752661">
        <w:rPr>
          <w:rFonts w:ascii="Open Sans" w:eastAsia="Times New Roman" w:hAnsi="Open Sans" w:cs="Open Sans"/>
          <w:color w:val="272833"/>
          <w:sz w:val="24"/>
          <w:szCs w:val="24"/>
          <w:lang w:eastAsia="nb-NO"/>
        </w:rPr>
        <w:t xml:space="preserve"> </w:t>
      </w:r>
      <w:proofErr w:type="spellStart"/>
      <w:r w:rsidRPr="00752661">
        <w:rPr>
          <w:rFonts w:ascii="Open Sans" w:eastAsia="Times New Roman" w:hAnsi="Open Sans" w:cs="Open Sans"/>
          <w:color w:val="272833"/>
          <w:sz w:val="24"/>
          <w:szCs w:val="24"/>
          <w:lang w:eastAsia="nb-NO"/>
        </w:rPr>
        <w:t>hours</w:t>
      </w:r>
      <w:proofErr w:type="spellEnd"/>
      <w:r w:rsidRPr="00752661">
        <w:rPr>
          <w:rFonts w:ascii="Open Sans" w:eastAsia="Times New Roman" w:hAnsi="Open Sans" w:cs="Open Sans"/>
          <w:color w:val="272833"/>
          <w:sz w:val="24"/>
          <w:szCs w:val="24"/>
          <w:lang w:eastAsia="nb-NO"/>
        </w:rPr>
        <w:t>: </w:t>
      </w:r>
      <w:proofErr w:type="spellStart"/>
      <w:r w:rsidR="00A56B52">
        <w:fldChar w:fldCharType="begin"/>
      </w:r>
      <w:r w:rsidR="00A56B52">
        <w:instrText>HYPERLINK "https://i.ntnu.no/wiki/-/wiki/English/Working+hours"</w:instrText>
      </w:r>
      <w:r w:rsidR="00A56B52">
        <w:fldChar w:fldCharType="separate"/>
      </w:r>
      <w:r w:rsidRPr="00752661">
        <w:rPr>
          <w:rFonts w:ascii="Open Sans" w:eastAsia="Times New Roman" w:hAnsi="Open Sans" w:cs="Open Sans"/>
          <w:color w:val="0B5FFF"/>
          <w:sz w:val="24"/>
          <w:szCs w:val="24"/>
          <w:u w:val="single"/>
          <w:lang w:eastAsia="nb-NO"/>
        </w:rPr>
        <w:t>Working</w:t>
      </w:r>
      <w:proofErr w:type="spellEnd"/>
      <w:r w:rsidRPr="00752661">
        <w:rPr>
          <w:rFonts w:ascii="Open Sans" w:eastAsia="Times New Roman" w:hAnsi="Open Sans" w:cs="Open Sans"/>
          <w:color w:val="0B5FFF"/>
          <w:sz w:val="24"/>
          <w:szCs w:val="24"/>
          <w:u w:val="single"/>
          <w:lang w:eastAsia="nb-NO"/>
        </w:rPr>
        <w:t xml:space="preserve"> </w:t>
      </w:r>
      <w:proofErr w:type="spellStart"/>
      <w:r w:rsidRPr="00752661">
        <w:rPr>
          <w:rFonts w:ascii="Open Sans" w:eastAsia="Times New Roman" w:hAnsi="Open Sans" w:cs="Open Sans"/>
          <w:color w:val="0B5FFF"/>
          <w:sz w:val="24"/>
          <w:szCs w:val="24"/>
          <w:u w:val="single"/>
          <w:lang w:eastAsia="nb-NO"/>
        </w:rPr>
        <w:t>h</w:t>
      </w:r>
      <w:r w:rsidRPr="00752661">
        <w:rPr>
          <w:rFonts w:ascii="Open Sans" w:eastAsia="Times New Roman" w:hAnsi="Open Sans" w:cs="Open Sans"/>
          <w:color w:val="0B5FFF"/>
          <w:sz w:val="24"/>
          <w:szCs w:val="24"/>
          <w:u w:val="single"/>
          <w:lang w:eastAsia="nb-NO"/>
        </w:rPr>
        <w:t>ours</w:t>
      </w:r>
      <w:proofErr w:type="spellEnd"/>
      <w:r w:rsidR="00A56B52">
        <w:rPr>
          <w:rFonts w:ascii="Open Sans" w:eastAsia="Times New Roman" w:hAnsi="Open Sans" w:cs="Open Sans"/>
          <w:color w:val="0B5FFF"/>
          <w:sz w:val="24"/>
          <w:szCs w:val="24"/>
          <w:u w:val="single"/>
          <w:lang w:eastAsia="nb-NO"/>
        </w:rPr>
        <w:fldChar w:fldCharType="end"/>
      </w:r>
    </w:p>
    <w:p w14:paraId="71081B8A" w14:textId="77777777" w:rsidR="00752661" w:rsidRPr="00752661" w:rsidRDefault="00752661" w:rsidP="00752661">
      <w:pPr>
        <w:numPr>
          <w:ilvl w:val="0"/>
          <w:numId w:val="9"/>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Periods of compassionate leave: </w:t>
      </w:r>
      <w:hyperlink r:id="rId37" w:history="1">
        <w:r w:rsidRPr="00752661">
          <w:rPr>
            <w:rFonts w:ascii="Open Sans" w:eastAsia="Times New Roman" w:hAnsi="Open Sans" w:cs="Open Sans"/>
            <w:color w:val="0B5FFF"/>
            <w:sz w:val="24"/>
            <w:szCs w:val="24"/>
            <w:u w:val="single"/>
            <w:lang w:val="en-GB" w:eastAsia="nb-NO"/>
          </w:rPr>
          <w:t>Compassio</w:t>
        </w:r>
        <w:r w:rsidRPr="00752661">
          <w:rPr>
            <w:rFonts w:ascii="Open Sans" w:eastAsia="Times New Roman" w:hAnsi="Open Sans" w:cs="Open Sans"/>
            <w:color w:val="0B5FFF"/>
            <w:sz w:val="24"/>
            <w:szCs w:val="24"/>
            <w:u w:val="single"/>
            <w:lang w:val="en-GB" w:eastAsia="nb-NO"/>
          </w:rPr>
          <w:t>n</w:t>
        </w:r>
        <w:r w:rsidRPr="00752661">
          <w:rPr>
            <w:rFonts w:ascii="Open Sans" w:eastAsia="Times New Roman" w:hAnsi="Open Sans" w:cs="Open Sans"/>
            <w:color w:val="0B5FFF"/>
            <w:sz w:val="24"/>
            <w:szCs w:val="24"/>
            <w:u w:val="single"/>
            <w:lang w:val="en-GB" w:eastAsia="nb-NO"/>
          </w:rPr>
          <w:t>ate leave</w:t>
        </w:r>
      </w:hyperlink>
    </w:p>
    <w:p w14:paraId="5F157863" w14:textId="3BFF4697" w:rsidR="00752661" w:rsidRPr="00752661" w:rsidRDefault="00752661" w:rsidP="00752661">
      <w:pPr>
        <w:numPr>
          <w:ilvl w:val="0"/>
          <w:numId w:val="9"/>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Vacation: </w:t>
      </w:r>
      <w:hyperlink r:id="rId38" w:history="1">
        <w:r w:rsidR="00D671E3">
          <w:rPr>
            <w:rFonts w:ascii="Open Sans" w:eastAsia="Times New Roman" w:hAnsi="Open Sans" w:cs="Open Sans"/>
            <w:color w:val="0B5FFF"/>
            <w:sz w:val="24"/>
            <w:szCs w:val="24"/>
            <w:u w:val="single"/>
            <w:lang w:val="en-GB" w:eastAsia="nb-NO"/>
          </w:rPr>
          <w:t>Act relating to Holidays</w:t>
        </w:r>
      </w:hyperlink>
      <w:r w:rsidRPr="00752661">
        <w:rPr>
          <w:rFonts w:ascii="Open Sans" w:eastAsia="Times New Roman" w:hAnsi="Open Sans" w:cs="Open Sans"/>
          <w:color w:val="272833"/>
          <w:sz w:val="24"/>
          <w:szCs w:val="24"/>
          <w:lang w:val="en-GB" w:eastAsia="nb-NO"/>
        </w:rPr>
        <w:t>, with special agreement: </w:t>
      </w:r>
      <w:hyperlink r:id="rId39" w:history="1">
        <w:r w:rsidRPr="00752661">
          <w:rPr>
            <w:rFonts w:ascii="Open Sans" w:eastAsia="Times New Roman" w:hAnsi="Open Sans" w:cs="Open Sans"/>
            <w:color w:val="0B5FFF"/>
            <w:sz w:val="24"/>
            <w:szCs w:val="24"/>
            <w:u w:val="single"/>
            <w:lang w:val="en-GB" w:eastAsia="nb-NO"/>
          </w:rPr>
          <w:t>Special agr</w:t>
        </w:r>
        <w:r w:rsidRPr="00752661">
          <w:rPr>
            <w:rFonts w:ascii="Open Sans" w:eastAsia="Times New Roman" w:hAnsi="Open Sans" w:cs="Open Sans"/>
            <w:color w:val="0B5FFF"/>
            <w:sz w:val="24"/>
            <w:szCs w:val="24"/>
            <w:u w:val="single"/>
            <w:lang w:val="en-GB" w:eastAsia="nb-NO"/>
          </w:rPr>
          <w:t>e</w:t>
        </w:r>
        <w:r w:rsidRPr="00752661">
          <w:rPr>
            <w:rFonts w:ascii="Open Sans" w:eastAsia="Times New Roman" w:hAnsi="Open Sans" w:cs="Open Sans"/>
            <w:color w:val="0B5FFF"/>
            <w:sz w:val="24"/>
            <w:szCs w:val="24"/>
            <w:u w:val="single"/>
            <w:lang w:val="en-GB" w:eastAsia="nb-NO"/>
          </w:rPr>
          <w:t>ement</w:t>
        </w:r>
        <w:r w:rsidR="005E13AD">
          <w:rPr>
            <w:rFonts w:ascii="Open Sans" w:eastAsia="Times New Roman" w:hAnsi="Open Sans" w:cs="Open Sans"/>
            <w:color w:val="0B5FFF"/>
            <w:sz w:val="24"/>
            <w:szCs w:val="24"/>
            <w:u w:val="single"/>
            <w:lang w:val="en-GB" w:eastAsia="nb-NO"/>
          </w:rPr>
          <w:t xml:space="preserve"> on vacation in the public administr</w:t>
        </w:r>
        <w:r w:rsidR="005E13AD">
          <w:rPr>
            <w:rFonts w:ascii="Open Sans" w:eastAsia="Times New Roman" w:hAnsi="Open Sans" w:cs="Open Sans"/>
            <w:color w:val="0B5FFF"/>
            <w:sz w:val="24"/>
            <w:szCs w:val="24"/>
            <w:u w:val="single"/>
            <w:lang w:val="en-GB" w:eastAsia="nb-NO"/>
          </w:rPr>
          <w:t>a</w:t>
        </w:r>
        <w:r w:rsidR="005E13AD">
          <w:rPr>
            <w:rFonts w:ascii="Open Sans" w:eastAsia="Times New Roman" w:hAnsi="Open Sans" w:cs="Open Sans"/>
            <w:color w:val="0B5FFF"/>
            <w:sz w:val="24"/>
            <w:szCs w:val="24"/>
            <w:u w:val="single"/>
            <w:lang w:val="en-GB" w:eastAsia="nb-NO"/>
          </w:rPr>
          <w:t>tion</w:t>
        </w:r>
        <w:r w:rsidRPr="00752661">
          <w:rPr>
            <w:rFonts w:ascii="Open Sans" w:eastAsia="Times New Roman" w:hAnsi="Open Sans" w:cs="Open Sans"/>
            <w:color w:val="0B5FFF"/>
            <w:sz w:val="24"/>
            <w:szCs w:val="24"/>
            <w:u w:val="single"/>
            <w:lang w:val="en-GB" w:eastAsia="nb-NO"/>
          </w:rPr>
          <w:t xml:space="preserve"> (in Norwegian</w:t>
        </w:r>
      </w:hyperlink>
      <w:r w:rsidRPr="00752661">
        <w:rPr>
          <w:rFonts w:ascii="Open Sans" w:eastAsia="Times New Roman" w:hAnsi="Open Sans" w:cs="Open Sans"/>
          <w:color w:val="272833"/>
          <w:sz w:val="24"/>
          <w:szCs w:val="24"/>
          <w:lang w:val="en-GB" w:eastAsia="nb-NO"/>
        </w:rPr>
        <w:t>)</w:t>
      </w:r>
    </w:p>
    <w:p w14:paraId="55B86686" w14:textId="2FC464A3" w:rsidR="00752661" w:rsidRPr="00752661" w:rsidRDefault="00752661" w:rsidP="00752661">
      <w:pPr>
        <w:numPr>
          <w:ilvl w:val="0"/>
          <w:numId w:val="9"/>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Prohibition of gifts in official service:</w:t>
      </w:r>
      <w:hyperlink r:id="rId40" w:history="1">
        <w:r w:rsidRPr="00CD4CD0">
          <w:rPr>
            <w:rStyle w:val="Hyperkobling"/>
            <w:rFonts w:ascii="Open Sans" w:eastAsia="Times New Roman" w:hAnsi="Open Sans" w:cs="Open Sans"/>
            <w:sz w:val="24"/>
            <w:szCs w:val="24"/>
            <w:lang w:val="en-GB" w:eastAsia="nb-NO"/>
          </w:rPr>
          <w:t> </w:t>
        </w:r>
        <w:r w:rsidR="00D671E3" w:rsidRPr="00CD4CD0">
          <w:rPr>
            <w:rStyle w:val="Hyperkobling"/>
            <w:rFonts w:ascii="Open Sans" w:eastAsia="Times New Roman" w:hAnsi="Open Sans" w:cs="Open Sans"/>
            <w:sz w:val="24"/>
            <w:szCs w:val="24"/>
            <w:lang w:val="en-GB" w:eastAsia="nb-NO"/>
          </w:rPr>
          <w:t xml:space="preserve">Public </w:t>
        </w:r>
        <w:r w:rsidR="00CD4CD0" w:rsidRPr="00CD4CD0">
          <w:rPr>
            <w:rStyle w:val="Hyperkobling"/>
            <w:rFonts w:ascii="Open Sans" w:eastAsia="Times New Roman" w:hAnsi="Open Sans" w:cs="Open Sans"/>
            <w:sz w:val="24"/>
            <w:szCs w:val="24"/>
            <w:lang w:val="en-GB" w:eastAsia="nb-NO"/>
          </w:rPr>
          <w:t>Employee</w:t>
        </w:r>
        <w:r w:rsidR="00D671E3" w:rsidRPr="00CD4CD0">
          <w:rPr>
            <w:rStyle w:val="Hyperkobling"/>
            <w:rFonts w:ascii="Open Sans" w:eastAsia="Times New Roman" w:hAnsi="Open Sans" w:cs="Open Sans"/>
            <w:sz w:val="24"/>
            <w:szCs w:val="24"/>
            <w:lang w:val="en-GB" w:eastAsia="nb-NO"/>
          </w:rPr>
          <w:t xml:space="preserve"> </w:t>
        </w:r>
        <w:r w:rsidR="00D671E3" w:rsidRPr="00CD4CD0">
          <w:rPr>
            <w:rStyle w:val="Hyperkobling"/>
            <w:rFonts w:ascii="Open Sans" w:eastAsia="Times New Roman" w:hAnsi="Open Sans" w:cs="Open Sans"/>
            <w:sz w:val="24"/>
            <w:szCs w:val="24"/>
            <w:lang w:val="en-GB" w:eastAsia="nb-NO"/>
          </w:rPr>
          <w:t>Act section 39</w:t>
        </w:r>
        <w:r w:rsidRPr="00CD4CD0">
          <w:rPr>
            <w:rStyle w:val="Hyperkobling"/>
            <w:rFonts w:ascii="Open Sans" w:eastAsia="Times New Roman" w:hAnsi="Open Sans" w:cs="Open Sans"/>
            <w:sz w:val="24"/>
            <w:szCs w:val="24"/>
            <w:lang w:val="en-GB" w:eastAsia="nb-NO"/>
          </w:rPr>
          <w:t xml:space="preserve"> (in Nor</w:t>
        </w:r>
        <w:r w:rsidRPr="00CD4CD0">
          <w:rPr>
            <w:rStyle w:val="Hyperkobling"/>
            <w:rFonts w:ascii="Open Sans" w:eastAsia="Times New Roman" w:hAnsi="Open Sans" w:cs="Open Sans"/>
            <w:sz w:val="24"/>
            <w:szCs w:val="24"/>
            <w:lang w:val="en-GB" w:eastAsia="nb-NO"/>
          </w:rPr>
          <w:t>w</w:t>
        </w:r>
        <w:r w:rsidRPr="00CD4CD0">
          <w:rPr>
            <w:rStyle w:val="Hyperkobling"/>
            <w:rFonts w:ascii="Open Sans" w:eastAsia="Times New Roman" w:hAnsi="Open Sans" w:cs="Open Sans"/>
            <w:sz w:val="24"/>
            <w:szCs w:val="24"/>
            <w:lang w:val="en-GB" w:eastAsia="nb-NO"/>
          </w:rPr>
          <w:t>e</w:t>
        </w:r>
        <w:r w:rsidRPr="00CD4CD0">
          <w:rPr>
            <w:rStyle w:val="Hyperkobling"/>
            <w:rFonts w:ascii="Open Sans" w:eastAsia="Times New Roman" w:hAnsi="Open Sans" w:cs="Open Sans"/>
            <w:sz w:val="24"/>
            <w:szCs w:val="24"/>
            <w:lang w:val="en-GB" w:eastAsia="nb-NO"/>
          </w:rPr>
          <w:t>g</w:t>
        </w:r>
        <w:r w:rsidRPr="00CD4CD0">
          <w:rPr>
            <w:rStyle w:val="Hyperkobling"/>
            <w:rFonts w:ascii="Open Sans" w:eastAsia="Times New Roman" w:hAnsi="Open Sans" w:cs="Open Sans"/>
            <w:sz w:val="24"/>
            <w:szCs w:val="24"/>
            <w:lang w:val="en-GB" w:eastAsia="nb-NO"/>
          </w:rPr>
          <w:t>ian)</w:t>
        </w:r>
      </w:hyperlink>
    </w:p>
    <w:p w14:paraId="1E42067D" w14:textId="36BF7E6D" w:rsidR="00752661" w:rsidRPr="00D671E3" w:rsidRDefault="007575B8" w:rsidP="00752661">
      <w:pPr>
        <w:numPr>
          <w:ilvl w:val="0"/>
          <w:numId w:val="9"/>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Reference from the employer</w:t>
      </w:r>
      <w:r w:rsidR="00752661" w:rsidRPr="00D671E3">
        <w:rPr>
          <w:rFonts w:ascii="Open Sans" w:eastAsia="Times New Roman" w:hAnsi="Open Sans" w:cs="Open Sans"/>
          <w:color w:val="272833"/>
          <w:sz w:val="24"/>
          <w:szCs w:val="24"/>
          <w:lang w:val="en-GB" w:eastAsia="nb-NO"/>
        </w:rPr>
        <w:t>: </w:t>
      </w:r>
      <w:hyperlink r:id="rId41" w:anchor="KAPITTEL_17" w:history="1">
        <w:r w:rsidR="00D671E3" w:rsidRPr="00D671E3">
          <w:rPr>
            <w:rFonts w:ascii="Open Sans" w:eastAsia="Times New Roman" w:hAnsi="Open Sans" w:cs="Open Sans"/>
            <w:color w:val="0B5FFF"/>
            <w:sz w:val="24"/>
            <w:szCs w:val="24"/>
            <w:u w:val="single"/>
            <w:lang w:val="en-GB" w:eastAsia="nb-NO"/>
          </w:rPr>
          <w:t xml:space="preserve">Working Environment </w:t>
        </w:r>
        <w:r w:rsidR="00D671E3">
          <w:rPr>
            <w:rFonts w:ascii="Open Sans" w:eastAsia="Times New Roman" w:hAnsi="Open Sans" w:cs="Open Sans"/>
            <w:color w:val="0B5FFF"/>
            <w:sz w:val="24"/>
            <w:szCs w:val="24"/>
            <w:u w:val="single"/>
            <w:lang w:val="en-GB" w:eastAsia="nb-NO"/>
          </w:rPr>
          <w:t>Act section 15-15</w:t>
        </w:r>
      </w:hyperlink>
    </w:p>
    <w:p w14:paraId="65FF9AC9" w14:textId="267A4374" w:rsidR="00752661" w:rsidRPr="006426D1" w:rsidRDefault="00752661" w:rsidP="00752661">
      <w:pPr>
        <w:shd w:val="clear" w:color="auto" w:fill="FFFFFF"/>
        <w:spacing w:after="100" w:afterAutospacing="1" w:line="240" w:lineRule="auto"/>
        <w:outlineLvl w:val="2"/>
        <w:rPr>
          <w:rFonts w:ascii="Open Sans" w:eastAsia="Times New Roman" w:hAnsi="Open Sans" w:cs="Open Sans"/>
          <w:b/>
          <w:bCs/>
          <w:color w:val="272833"/>
          <w:sz w:val="27"/>
          <w:szCs w:val="27"/>
          <w:lang w:val="en-GB" w:eastAsia="nb-NO"/>
        </w:rPr>
      </w:pPr>
      <w:r w:rsidRPr="006426D1">
        <w:rPr>
          <w:rFonts w:ascii="Open Sans" w:eastAsia="Times New Roman" w:hAnsi="Open Sans" w:cs="Open Sans"/>
          <w:b/>
          <w:bCs/>
          <w:color w:val="272833"/>
          <w:sz w:val="27"/>
          <w:szCs w:val="27"/>
          <w:lang w:val="en-GB" w:eastAsia="nb-NO"/>
        </w:rPr>
        <w:t>1</w:t>
      </w:r>
      <w:r w:rsidR="005049B6" w:rsidRPr="006426D1">
        <w:rPr>
          <w:rFonts w:ascii="Open Sans" w:eastAsia="Times New Roman" w:hAnsi="Open Sans" w:cs="Open Sans"/>
          <w:b/>
          <w:bCs/>
          <w:color w:val="272833"/>
          <w:sz w:val="27"/>
          <w:szCs w:val="27"/>
          <w:lang w:val="en-GB" w:eastAsia="nb-NO"/>
        </w:rPr>
        <w:t>6</w:t>
      </w:r>
      <w:r w:rsidRPr="006426D1">
        <w:rPr>
          <w:rFonts w:ascii="Open Sans" w:eastAsia="Times New Roman" w:hAnsi="Open Sans" w:cs="Open Sans"/>
          <w:b/>
          <w:bCs/>
          <w:color w:val="272833"/>
          <w:sz w:val="27"/>
          <w:szCs w:val="27"/>
          <w:lang w:val="en-GB" w:eastAsia="nb-NO"/>
        </w:rPr>
        <w:t>. Entry into force and revision</w:t>
      </w:r>
    </w:p>
    <w:p w14:paraId="19E205C3" w14:textId="19131C85"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1</w:t>
      </w:r>
      <w:r w:rsidR="005049B6">
        <w:rPr>
          <w:rFonts w:ascii="Open Sans" w:eastAsia="Times New Roman" w:hAnsi="Open Sans" w:cs="Open Sans"/>
          <w:b/>
          <w:bCs/>
          <w:color w:val="272833"/>
          <w:sz w:val="24"/>
          <w:szCs w:val="24"/>
          <w:lang w:val="en-GB" w:eastAsia="nb-NO"/>
        </w:rPr>
        <w:t>6</w:t>
      </w:r>
      <w:r w:rsidRPr="00752661">
        <w:rPr>
          <w:rFonts w:ascii="Open Sans" w:eastAsia="Times New Roman" w:hAnsi="Open Sans" w:cs="Open Sans"/>
          <w:b/>
          <w:bCs/>
          <w:color w:val="272833"/>
          <w:sz w:val="24"/>
          <w:szCs w:val="24"/>
          <w:lang w:val="en-GB" w:eastAsia="nb-NO"/>
        </w:rPr>
        <w:t>.1</w:t>
      </w:r>
      <w:r w:rsidRPr="00752661">
        <w:rPr>
          <w:rFonts w:ascii="Open Sans" w:eastAsia="Times New Roman" w:hAnsi="Open Sans" w:cs="Open Sans"/>
          <w:color w:val="272833"/>
          <w:sz w:val="24"/>
          <w:szCs w:val="24"/>
          <w:lang w:val="en-GB" w:eastAsia="nb-NO"/>
        </w:rPr>
        <w:t> These staff regulations have been negotiated between NTNU and the following union confederations: LO Stat, U</w:t>
      </w:r>
      <w:r w:rsidR="006426D1">
        <w:rPr>
          <w:rFonts w:ascii="Open Sans" w:eastAsia="Times New Roman" w:hAnsi="Open Sans" w:cs="Open Sans"/>
          <w:color w:val="272833"/>
          <w:sz w:val="24"/>
          <w:szCs w:val="24"/>
          <w:lang w:val="en-GB" w:eastAsia="nb-NO"/>
        </w:rPr>
        <w:t>NIO</w:t>
      </w:r>
      <w:r w:rsidRPr="00752661">
        <w:rPr>
          <w:rFonts w:ascii="Open Sans" w:eastAsia="Times New Roman" w:hAnsi="Open Sans" w:cs="Open Sans"/>
          <w:color w:val="272833"/>
          <w:sz w:val="24"/>
          <w:szCs w:val="24"/>
          <w:lang w:val="en-GB" w:eastAsia="nb-NO"/>
        </w:rPr>
        <w:t xml:space="preserve">, </w:t>
      </w:r>
      <w:proofErr w:type="spellStart"/>
      <w:r w:rsidRPr="00752661">
        <w:rPr>
          <w:rFonts w:ascii="Open Sans" w:eastAsia="Times New Roman" w:hAnsi="Open Sans" w:cs="Open Sans"/>
          <w:color w:val="272833"/>
          <w:sz w:val="24"/>
          <w:szCs w:val="24"/>
          <w:lang w:val="en-GB" w:eastAsia="nb-NO"/>
        </w:rPr>
        <w:t>Akademikerne</w:t>
      </w:r>
      <w:proofErr w:type="spellEnd"/>
      <w:r w:rsidR="006426D1">
        <w:rPr>
          <w:rFonts w:ascii="Open Sans" w:eastAsia="Times New Roman" w:hAnsi="Open Sans" w:cs="Open Sans"/>
          <w:color w:val="272833"/>
          <w:sz w:val="24"/>
          <w:szCs w:val="24"/>
          <w:lang w:val="en-GB" w:eastAsia="nb-NO"/>
        </w:rPr>
        <w:t>,</w:t>
      </w:r>
      <w:r w:rsidRPr="00752661">
        <w:rPr>
          <w:rFonts w:ascii="Open Sans" w:eastAsia="Times New Roman" w:hAnsi="Open Sans" w:cs="Open Sans"/>
          <w:color w:val="272833"/>
          <w:sz w:val="24"/>
          <w:szCs w:val="24"/>
          <w:lang w:val="en-GB" w:eastAsia="nb-NO"/>
        </w:rPr>
        <w:t xml:space="preserve"> and YS Stat. The Staff Regulations cover the conditions that are specified as subject to negotiation in the Public Employees Act and are in accordance with the requirements in</w:t>
      </w:r>
      <w:r w:rsidR="00F32F8B">
        <w:rPr>
          <w:rFonts w:ascii="Open Sans" w:eastAsia="Times New Roman" w:hAnsi="Open Sans" w:cs="Open Sans"/>
          <w:color w:val="272833"/>
          <w:sz w:val="24"/>
          <w:szCs w:val="24"/>
          <w:lang w:val="en-GB" w:eastAsia="nb-NO"/>
        </w:rPr>
        <w:t xml:space="preserve"> section 2.4 </w:t>
      </w:r>
      <w:hyperlink r:id="rId42" w:anchor="%C2%A72" w:history="1">
        <w:r w:rsidRPr="00752661">
          <w:rPr>
            <w:rFonts w:ascii="Open Sans" w:eastAsia="Times New Roman" w:hAnsi="Open Sans" w:cs="Open Sans"/>
            <w:color w:val="0B5FFF"/>
            <w:sz w:val="24"/>
            <w:szCs w:val="24"/>
            <w:u w:val="single"/>
            <w:lang w:val="en-GB" w:eastAsia="nb-NO"/>
          </w:rPr>
          <w:t>(</w:t>
        </w:r>
        <w:r w:rsidR="00E5659E">
          <w:rPr>
            <w:rFonts w:ascii="Open Sans" w:eastAsia="Times New Roman" w:hAnsi="Open Sans" w:cs="Open Sans"/>
            <w:color w:val="0B5FFF"/>
            <w:sz w:val="24"/>
            <w:szCs w:val="24"/>
            <w:u w:val="single"/>
            <w:lang w:val="en-GB" w:eastAsia="nb-NO"/>
          </w:rPr>
          <w:t xml:space="preserve">in Norwegian: </w:t>
        </w:r>
        <w:proofErr w:type="spellStart"/>
        <w:r w:rsidR="00F32F8B">
          <w:rPr>
            <w:rFonts w:ascii="Open Sans" w:eastAsia="Times New Roman" w:hAnsi="Open Sans" w:cs="Open Sans"/>
            <w:color w:val="0B5FFF"/>
            <w:sz w:val="24"/>
            <w:szCs w:val="24"/>
            <w:u w:val="single"/>
            <w:lang w:val="en-GB" w:eastAsia="nb-NO"/>
          </w:rPr>
          <w:t>Statsansatteloven</w:t>
        </w:r>
        <w:proofErr w:type="spellEnd"/>
      </w:hyperlink>
      <w:r w:rsidRPr="00752661">
        <w:rPr>
          <w:rFonts w:ascii="Open Sans" w:eastAsia="Times New Roman" w:hAnsi="Open Sans" w:cs="Open Sans"/>
          <w:color w:val="272833"/>
          <w:sz w:val="24"/>
          <w:szCs w:val="24"/>
          <w:lang w:val="en-GB" w:eastAsia="nb-NO"/>
        </w:rPr>
        <w:t>). In addition, they include local procedural rules on which the parties agree.</w:t>
      </w:r>
    </w:p>
    <w:p w14:paraId="0F03BD2B" w14:textId="40A7F4DD"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lastRenderedPageBreak/>
        <w:t>1</w:t>
      </w:r>
      <w:r w:rsidR="005049B6">
        <w:rPr>
          <w:rFonts w:ascii="Open Sans" w:eastAsia="Times New Roman" w:hAnsi="Open Sans" w:cs="Open Sans"/>
          <w:b/>
          <w:bCs/>
          <w:color w:val="272833"/>
          <w:sz w:val="24"/>
          <w:szCs w:val="24"/>
          <w:lang w:val="en-GB" w:eastAsia="nb-NO"/>
        </w:rPr>
        <w:t>6</w:t>
      </w:r>
      <w:r w:rsidRPr="00752661">
        <w:rPr>
          <w:rFonts w:ascii="Open Sans" w:eastAsia="Times New Roman" w:hAnsi="Open Sans" w:cs="Open Sans"/>
          <w:b/>
          <w:bCs/>
          <w:color w:val="272833"/>
          <w:sz w:val="24"/>
          <w:szCs w:val="24"/>
          <w:lang w:val="en-GB" w:eastAsia="nb-NO"/>
        </w:rPr>
        <w:t>.2 </w:t>
      </w:r>
      <w:r w:rsidRPr="00752661">
        <w:rPr>
          <w:rFonts w:ascii="Open Sans" w:eastAsia="Times New Roman" w:hAnsi="Open Sans" w:cs="Open Sans"/>
          <w:color w:val="272833"/>
          <w:sz w:val="24"/>
          <w:szCs w:val="24"/>
          <w:lang w:val="en-GB" w:eastAsia="nb-NO"/>
        </w:rPr>
        <w:t>When the Regulations refer to statutory provisions, the purpose is to provide consistency in the text. The references are not intended to create rights or obligations beyond those laid down in the statutory provisions themselves.</w:t>
      </w:r>
    </w:p>
    <w:p w14:paraId="1D7CDE5C" w14:textId="1643097A"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1</w:t>
      </w:r>
      <w:r w:rsidR="005049B6">
        <w:rPr>
          <w:rFonts w:ascii="Open Sans" w:eastAsia="Times New Roman" w:hAnsi="Open Sans" w:cs="Open Sans"/>
          <w:b/>
          <w:bCs/>
          <w:color w:val="272833"/>
          <w:sz w:val="24"/>
          <w:szCs w:val="24"/>
          <w:lang w:val="en-GB" w:eastAsia="nb-NO"/>
        </w:rPr>
        <w:t>6</w:t>
      </w:r>
      <w:r w:rsidRPr="00752661">
        <w:rPr>
          <w:rFonts w:ascii="Open Sans" w:eastAsia="Times New Roman" w:hAnsi="Open Sans" w:cs="Open Sans"/>
          <w:b/>
          <w:bCs/>
          <w:color w:val="272833"/>
          <w:sz w:val="24"/>
          <w:szCs w:val="24"/>
          <w:lang w:val="en-GB" w:eastAsia="nb-NO"/>
        </w:rPr>
        <w:t>.3</w:t>
      </w:r>
      <w:r w:rsidRPr="00752661">
        <w:rPr>
          <w:rFonts w:ascii="Open Sans" w:eastAsia="Times New Roman" w:hAnsi="Open Sans" w:cs="Open Sans"/>
          <w:color w:val="272833"/>
          <w:sz w:val="24"/>
          <w:szCs w:val="24"/>
          <w:lang w:val="en-GB" w:eastAsia="nb-NO"/>
        </w:rPr>
        <w:t> The Staff Regulations enter into force on 1 Ju</w:t>
      </w:r>
      <w:r w:rsidR="007575B8">
        <w:rPr>
          <w:rFonts w:ascii="Open Sans" w:eastAsia="Times New Roman" w:hAnsi="Open Sans" w:cs="Open Sans"/>
          <w:color w:val="272833"/>
          <w:sz w:val="24"/>
          <w:szCs w:val="24"/>
          <w:lang w:val="en-GB" w:eastAsia="nb-NO"/>
        </w:rPr>
        <w:t>ne</w:t>
      </w:r>
      <w:r w:rsidRPr="00752661">
        <w:rPr>
          <w:rFonts w:ascii="Open Sans" w:eastAsia="Times New Roman" w:hAnsi="Open Sans" w:cs="Open Sans"/>
          <w:color w:val="272833"/>
          <w:sz w:val="24"/>
          <w:szCs w:val="24"/>
          <w:lang w:val="en-GB" w:eastAsia="nb-NO"/>
        </w:rPr>
        <w:t xml:space="preserve"> 20</w:t>
      </w:r>
      <w:r w:rsidR="007575B8">
        <w:rPr>
          <w:rFonts w:ascii="Open Sans" w:eastAsia="Times New Roman" w:hAnsi="Open Sans" w:cs="Open Sans"/>
          <w:color w:val="272833"/>
          <w:sz w:val="24"/>
          <w:szCs w:val="24"/>
          <w:lang w:val="en-GB" w:eastAsia="nb-NO"/>
        </w:rPr>
        <w:t>21</w:t>
      </w:r>
      <w:r w:rsidRPr="00752661">
        <w:rPr>
          <w:rFonts w:ascii="Open Sans" w:eastAsia="Times New Roman" w:hAnsi="Open Sans" w:cs="Open Sans"/>
          <w:color w:val="272833"/>
          <w:sz w:val="24"/>
          <w:szCs w:val="24"/>
          <w:lang w:val="en-GB" w:eastAsia="nb-NO"/>
        </w:rPr>
        <w:t xml:space="preserve"> in accordance with what the parties have agreed; see</w:t>
      </w:r>
      <w:r w:rsidR="00F32F8B">
        <w:rPr>
          <w:rFonts w:ascii="Open Sans" w:eastAsia="Times New Roman" w:hAnsi="Open Sans" w:cs="Open Sans"/>
          <w:color w:val="272833"/>
          <w:sz w:val="24"/>
          <w:szCs w:val="24"/>
          <w:lang w:val="en-GB" w:eastAsia="nb-NO"/>
        </w:rPr>
        <w:t xml:space="preserve"> section 2.1 of the Public Employees Act</w:t>
      </w:r>
      <w:r w:rsidRPr="00752661">
        <w:rPr>
          <w:rFonts w:ascii="Open Sans" w:eastAsia="Times New Roman" w:hAnsi="Open Sans" w:cs="Open Sans"/>
          <w:color w:val="272833"/>
          <w:sz w:val="24"/>
          <w:szCs w:val="24"/>
          <w:lang w:val="en-GB" w:eastAsia="nb-NO"/>
        </w:rPr>
        <w:t> </w:t>
      </w:r>
      <w:hyperlink r:id="rId43" w:anchor="%C2%A72" w:history="1">
        <w:r w:rsidRPr="00752661">
          <w:rPr>
            <w:rFonts w:ascii="Open Sans" w:eastAsia="Times New Roman" w:hAnsi="Open Sans" w:cs="Open Sans"/>
            <w:color w:val="0B5FFF"/>
            <w:sz w:val="24"/>
            <w:szCs w:val="24"/>
            <w:u w:val="single"/>
            <w:lang w:val="en-GB" w:eastAsia="nb-NO"/>
          </w:rPr>
          <w:t>(</w:t>
        </w:r>
        <w:r w:rsidR="00E5659E">
          <w:rPr>
            <w:rFonts w:ascii="Open Sans" w:eastAsia="Times New Roman" w:hAnsi="Open Sans" w:cs="Open Sans"/>
            <w:color w:val="0B5FFF"/>
            <w:sz w:val="24"/>
            <w:szCs w:val="24"/>
            <w:u w:val="single"/>
            <w:lang w:val="en-GB" w:eastAsia="nb-NO"/>
          </w:rPr>
          <w:t>in Norwegian</w:t>
        </w:r>
      </w:hyperlink>
      <w:r w:rsidR="00E5659E">
        <w:rPr>
          <w:rFonts w:ascii="Open Sans" w:eastAsia="Times New Roman" w:hAnsi="Open Sans" w:cs="Open Sans"/>
          <w:color w:val="0B5FFF"/>
          <w:sz w:val="24"/>
          <w:szCs w:val="24"/>
          <w:u w:val="single"/>
          <w:lang w:val="en-GB" w:eastAsia="nb-NO"/>
        </w:rPr>
        <w:t xml:space="preserve">: </w:t>
      </w:r>
      <w:proofErr w:type="spellStart"/>
      <w:r w:rsidR="00E5659E">
        <w:rPr>
          <w:rFonts w:ascii="Open Sans" w:eastAsia="Times New Roman" w:hAnsi="Open Sans" w:cs="Open Sans"/>
          <w:color w:val="0B5FFF"/>
          <w:sz w:val="24"/>
          <w:szCs w:val="24"/>
          <w:u w:val="single"/>
          <w:lang w:val="en-GB" w:eastAsia="nb-NO"/>
        </w:rPr>
        <w:t>Statsansatteloven</w:t>
      </w:r>
      <w:proofErr w:type="spellEnd"/>
      <w:r w:rsidRPr="00752661">
        <w:rPr>
          <w:rFonts w:ascii="Open Sans" w:eastAsia="Times New Roman" w:hAnsi="Open Sans" w:cs="Open Sans"/>
          <w:color w:val="272833"/>
          <w:sz w:val="24"/>
          <w:szCs w:val="24"/>
          <w:lang w:val="en-GB" w:eastAsia="nb-NO"/>
        </w:rPr>
        <w:t>) and</w:t>
      </w:r>
      <w:r w:rsidR="00F32F8B">
        <w:rPr>
          <w:rFonts w:ascii="Open Sans" w:eastAsia="Times New Roman" w:hAnsi="Open Sans" w:cs="Open Sans"/>
          <w:color w:val="272833"/>
          <w:sz w:val="24"/>
          <w:szCs w:val="24"/>
          <w:lang w:val="en-GB" w:eastAsia="nb-NO"/>
        </w:rPr>
        <w:t xml:space="preserve"> section 19.2</w:t>
      </w:r>
      <w:r w:rsidR="007575B8">
        <w:rPr>
          <w:rFonts w:ascii="Open Sans" w:eastAsia="Times New Roman" w:hAnsi="Open Sans" w:cs="Open Sans"/>
          <w:color w:val="272833"/>
          <w:sz w:val="24"/>
          <w:szCs w:val="24"/>
          <w:lang w:val="en-GB" w:eastAsia="nb-NO"/>
        </w:rPr>
        <w:t>b</w:t>
      </w:r>
      <w:r w:rsidR="00F32F8B">
        <w:rPr>
          <w:rFonts w:ascii="Open Sans" w:eastAsia="Times New Roman" w:hAnsi="Open Sans" w:cs="Open Sans"/>
          <w:color w:val="272833"/>
          <w:sz w:val="24"/>
          <w:szCs w:val="24"/>
          <w:lang w:val="en-GB" w:eastAsia="nb-NO"/>
        </w:rPr>
        <w:t xml:space="preserve"> of the Basic Collective Agreement </w:t>
      </w:r>
      <w:r w:rsidRPr="00752661">
        <w:rPr>
          <w:rFonts w:ascii="Open Sans" w:eastAsia="Times New Roman" w:hAnsi="Open Sans" w:cs="Open Sans"/>
          <w:color w:val="0B5FFF"/>
          <w:sz w:val="24"/>
          <w:szCs w:val="24"/>
          <w:u w:val="single"/>
          <w:lang w:val="en-GB" w:eastAsia="nb-NO"/>
        </w:rPr>
        <w:t>(</w:t>
      </w:r>
      <w:r w:rsidR="006426D1">
        <w:rPr>
          <w:rFonts w:ascii="Open Sans" w:eastAsia="Times New Roman" w:hAnsi="Open Sans" w:cs="Open Sans"/>
          <w:color w:val="0B5FFF"/>
          <w:sz w:val="24"/>
          <w:szCs w:val="24"/>
          <w:u w:val="single"/>
          <w:lang w:val="en-GB" w:eastAsia="nb-NO"/>
        </w:rPr>
        <w:t xml:space="preserve">in Norwegian: </w:t>
      </w:r>
      <w:proofErr w:type="spellStart"/>
      <w:r w:rsidR="00F32F8B">
        <w:rPr>
          <w:rFonts w:ascii="Open Sans" w:eastAsia="Times New Roman" w:hAnsi="Open Sans" w:cs="Open Sans"/>
          <w:color w:val="0B5FFF"/>
          <w:sz w:val="24"/>
          <w:szCs w:val="24"/>
          <w:u w:val="single"/>
          <w:lang w:val="en-GB" w:eastAsia="nb-NO"/>
        </w:rPr>
        <w:t>Hovedtariffavtalen</w:t>
      </w:r>
      <w:proofErr w:type="spellEnd"/>
      <w:r w:rsidR="00F32F8B">
        <w:rPr>
          <w:rFonts w:ascii="Open Sans" w:eastAsia="Times New Roman" w:hAnsi="Open Sans" w:cs="Open Sans"/>
          <w:color w:val="0B5FFF"/>
          <w:sz w:val="24"/>
          <w:szCs w:val="24"/>
          <w:u w:val="single"/>
          <w:lang w:val="en-GB" w:eastAsia="nb-NO"/>
        </w:rPr>
        <w:t xml:space="preserve"> i </w:t>
      </w:r>
      <w:proofErr w:type="spellStart"/>
      <w:r w:rsidR="00F32F8B">
        <w:rPr>
          <w:rFonts w:ascii="Open Sans" w:eastAsia="Times New Roman" w:hAnsi="Open Sans" w:cs="Open Sans"/>
          <w:color w:val="0B5FFF"/>
          <w:sz w:val="24"/>
          <w:szCs w:val="24"/>
          <w:u w:val="single"/>
          <w:lang w:val="en-GB" w:eastAsia="nb-NO"/>
        </w:rPr>
        <w:t>staten</w:t>
      </w:r>
      <w:proofErr w:type="spellEnd"/>
      <w:r w:rsidRPr="00752661">
        <w:rPr>
          <w:rFonts w:ascii="Open Sans" w:eastAsia="Times New Roman" w:hAnsi="Open Sans" w:cs="Open Sans"/>
          <w:color w:val="272833"/>
          <w:sz w:val="24"/>
          <w:szCs w:val="24"/>
          <w:lang w:val="en-GB" w:eastAsia="nb-NO"/>
        </w:rPr>
        <w:t>).</w:t>
      </w:r>
    </w:p>
    <w:p w14:paraId="5A6B2AB0" w14:textId="24CF4C7D"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b/>
          <w:bCs/>
          <w:color w:val="272833"/>
          <w:sz w:val="24"/>
          <w:szCs w:val="24"/>
          <w:lang w:val="en-GB" w:eastAsia="nb-NO"/>
        </w:rPr>
        <w:t>1</w:t>
      </w:r>
      <w:r w:rsidR="005049B6">
        <w:rPr>
          <w:rFonts w:ascii="Open Sans" w:eastAsia="Times New Roman" w:hAnsi="Open Sans" w:cs="Open Sans"/>
          <w:b/>
          <w:bCs/>
          <w:color w:val="272833"/>
          <w:sz w:val="24"/>
          <w:szCs w:val="24"/>
          <w:lang w:val="en-GB" w:eastAsia="nb-NO"/>
        </w:rPr>
        <w:t>6</w:t>
      </w:r>
      <w:r w:rsidRPr="00752661">
        <w:rPr>
          <w:rFonts w:ascii="Open Sans" w:eastAsia="Times New Roman" w:hAnsi="Open Sans" w:cs="Open Sans"/>
          <w:b/>
          <w:bCs/>
          <w:color w:val="272833"/>
          <w:sz w:val="24"/>
          <w:szCs w:val="24"/>
          <w:lang w:val="en-GB" w:eastAsia="nb-NO"/>
        </w:rPr>
        <w:t>.4</w:t>
      </w:r>
      <w:r w:rsidRPr="00752661">
        <w:rPr>
          <w:rFonts w:ascii="Open Sans" w:eastAsia="Times New Roman" w:hAnsi="Open Sans" w:cs="Open Sans"/>
          <w:color w:val="272833"/>
          <w:sz w:val="24"/>
          <w:szCs w:val="24"/>
          <w:lang w:val="en-GB" w:eastAsia="nb-NO"/>
        </w:rPr>
        <w:t> Each of the parties in the institution and the specialist department may at any time require that revision of the staff regulations be considered; see</w:t>
      </w:r>
      <w:r w:rsidR="00F32F8B">
        <w:rPr>
          <w:rFonts w:ascii="Open Sans" w:eastAsia="Times New Roman" w:hAnsi="Open Sans" w:cs="Open Sans"/>
          <w:color w:val="272833"/>
          <w:sz w:val="24"/>
          <w:szCs w:val="24"/>
          <w:lang w:val="en-GB" w:eastAsia="nb-NO"/>
        </w:rPr>
        <w:t xml:space="preserve"> section 2.5 of the Public Employees Act</w:t>
      </w:r>
      <w:r w:rsidRPr="00752661">
        <w:rPr>
          <w:rFonts w:ascii="Open Sans" w:eastAsia="Times New Roman" w:hAnsi="Open Sans" w:cs="Open Sans"/>
          <w:color w:val="272833"/>
          <w:sz w:val="24"/>
          <w:szCs w:val="24"/>
          <w:lang w:val="en-GB" w:eastAsia="nb-NO"/>
        </w:rPr>
        <w:t> </w:t>
      </w:r>
      <w:hyperlink r:id="rId44" w:anchor="%C2%A72" w:history="1">
        <w:r w:rsidRPr="00752661">
          <w:rPr>
            <w:rFonts w:ascii="Open Sans" w:eastAsia="Times New Roman" w:hAnsi="Open Sans" w:cs="Open Sans"/>
            <w:color w:val="0B5FFF"/>
            <w:sz w:val="24"/>
            <w:szCs w:val="24"/>
            <w:u w:val="single"/>
            <w:lang w:val="en-GB" w:eastAsia="nb-NO"/>
          </w:rPr>
          <w:t>(</w:t>
        </w:r>
        <w:r w:rsidR="00E5659E">
          <w:rPr>
            <w:rFonts w:ascii="Open Sans" w:eastAsia="Times New Roman" w:hAnsi="Open Sans" w:cs="Open Sans"/>
            <w:color w:val="0B5FFF"/>
            <w:sz w:val="24"/>
            <w:szCs w:val="24"/>
            <w:u w:val="single"/>
            <w:lang w:val="en-GB" w:eastAsia="nb-NO"/>
          </w:rPr>
          <w:t xml:space="preserve">in Norwegian: </w:t>
        </w:r>
        <w:proofErr w:type="spellStart"/>
        <w:r w:rsidR="00F32F8B">
          <w:rPr>
            <w:rFonts w:ascii="Open Sans" w:eastAsia="Times New Roman" w:hAnsi="Open Sans" w:cs="Open Sans"/>
            <w:color w:val="0B5FFF"/>
            <w:sz w:val="24"/>
            <w:szCs w:val="24"/>
            <w:u w:val="single"/>
            <w:lang w:val="en-GB" w:eastAsia="nb-NO"/>
          </w:rPr>
          <w:t>Statsansatteloven</w:t>
        </w:r>
        <w:proofErr w:type="spellEnd"/>
      </w:hyperlink>
      <w:r w:rsidRPr="00752661">
        <w:rPr>
          <w:rFonts w:ascii="Open Sans" w:eastAsia="Times New Roman" w:hAnsi="Open Sans" w:cs="Open Sans"/>
          <w:color w:val="272833"/>
          <w:sz w:val="24"/>
          <w:szCs w:val="24"/>
          <w:lang w:val="en-GB" w:eastAsia="nb-NO"/>
        </w:rPr>
        <w:t xml:space="preserve">). </w:t>
      </w:r>
    </w:p>
    <w:p w14:paraId="5C5195C6" w14:textId="77777777" w:rsidR="00752661" w:rsidRPr="00752661" w:rsidRDefault="00752661" w:rsidP="00752661">
      <w:pPr>
        <w:shd w:val="clear" w:color="auto" w:fill="FFFFFF"/>
        <w:spacing w:after="100" w:afterAutospacing="1" w:line="240" w:lineRule="auto"/>
        <w:outlineLvl w:val="1"/>
        <w:rPr>
          <w:rFonts w:ascii="Open Sans" w:eastAsia="Times New Roman" w:hAnsi="Open Sans" w:cs="Open Sans"/>
          <w:b/>
          <w:bCs/>
          <w:color w:val="272833"/>
          <w:sz w:val="36"/>
          <w:szCs w:val="36"/>
          <w:lang w:eastAsia="nb-NO"/>
        </w:rPr>
      </w:pPr>
      <w:r w:rsidRPr="00752661">
        <w:rPr>
          <w:rFonts w:ascii="Open Sans" w:eastAsia="Times New Roman" w:hAnsi="Open Sans" w:cs="Open Sans"/>
          <w:b/>
          <w:bCs/>
          <w:color w:val="272833"/>
          <w:sz w:val="36"/>
          <w:szCs w:val="36"/>
          <w:lang w:eastAsia="nb-NO"/>
        </w:rPr>
        <w:t xml:space="preserve">The </w:t>
      </w:r>
      <w:proofErr w:type="spellStart"/>
      <w:r w:rsidRPr="00752661">
        <w:rPr>
          <w:rFonts w:ascii="Open Sans" w:eastAsia="Times New Roman" w:hAnsi="Open Sans" w:cs="Open Sans"/>
          <w:b/>
          <w:bCs/>
          <w:color w:val="272833"/>
          <w:sz w:val="36"/>
          <w:szCs w:val="36"/>
          <w:lang w:eastAsia="nb-NO"/>
        </w:rPr>
        <w:t>parties</w:t>
      </w:r>
      <w:proofErr w:type="spellEnd"/>
    </w:p>
    <w:p w14:paraId="40EBC617" w14:textId="37B2AF14"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eastAsia="nb-NO"/>
        </w:rPr>
      </w:pPr>
      <w:r w:rsidRPr="00752661">
        <w:rPr>
          <w:rFonts w:ascii="Open Sans" w:eastAsia="Times New Roman" w:hAnsi="Open Sans" w:cs="Open Sans"/>
          <w:color w:val="272833"/>
          <w:sz w:val="24"/>
          <w:szCs w:val="24"/>
          <w:lang w:eastAsia="nb-NO"/>
        </w:rPr>
        <w:t>NTNU, 2</w:t>
      </w:r>
      <w:r w:rsidR="006426D1">
        <w:rPr>
          <w:rFonts w:ascii="Open Sans" w:eastAsia="Times New Roman" w:hAnsi="Open Sans" w:cs="Open Sans"/>
          <w:color w:val="272833"/>
          <w:sz w:val="24"/>
          <w:szCs w:val="24"/>
          <w:lang w:eastAsia="nb-NO"/>
        </w:rPr>
        <w:t>8</w:t>
      </w:r>
      <w:r w:rsidRPr="00752661">
        <w:rPr>
          <w:rFonts w:ascii="Open Sans" w:eastAsia="Times New Roman" w:hAnsi="Open Sans" w:cs="Open Sans"/>
          <w:color w:val="272833"/>
          <w:sz w:val="24"/>
          <w:szCs w:val="24"/>
          <w:lang w:eastAsia="nb-NO"/>
        </w:rPr>
        <w:t xml:space="preserve"> </w:t>
      </w:r>
      <w:r w:rsidR="006426D1">
        <w:rPr>
          <w:rFonts w:ascii="Open Sans" w:eastAsia="Times New Roman" w:hAnsi="Open Sans" w:cs="Open Sans"/>
          <w:color w:val="272833"/>
          <w:sz w:val="24"/>
          <w:szCs w:val="24"/>
          <w:lang w:eastAsia="nb-NO"/>
        </w:rPr>
        <w:t>June</w:t>
      </w:r>
      <w:r w:rsidRPr="00752661">
        <w:rPr>
          <w:rFonts w:ascii="Open Sans" w:eastAsia="Times New Roman" w:hAnsi="Open Sans" w:cs="Open Sans"/>
          <w:color w:val="272833"/>
          <w:sz w:val="24"/>
          <w:szCs w:val="24"/>
          <w:lang w:eastAsia="nb-NO"/>
        </w:rPr>
        <w:t xml:space="preserve"> 20</w:t>
      </w:r>
      <w:r w:rsidR="006426D1">
        <w:rPr>
          <w:rFonts w:ascii="Open Sans" w:eastAsia="Times New Roman" w:hAnsi="Open Sans" w:cs="Open Sans"/>
          <w:color w:val="272833"/>
          <w:sz w:val="24"/>
          <w:szCs w:val="24"/>
          <w:lang w:eastAsia="nb-NO"/>
        </w:rPr>
        <w:t>21</w:t>
      </w:r>
    </w:p>
    <w:p w14:paraId="301B2F2E" w14:textId="20305571" w:rsidR="00752661" w:rsidRPr="00752661" w:rsidRDefault="00752661" w:rsidP="00752661">
      <w:pPr>
        <w:numPr>
          <w:ilvl w:val="0"/>
          <w:numId w:val="10"/>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Arne Kr. Hestnes,</w:t>
      </w:r>
      <w:r w:rsidR="006426D1">
        <w:rPr>
          <w:rFonts w:ascii="Open Sans" w:eastAsia="Times New Roman" w:hAnsi="Open Sans" w:cs="Open Sans"/>
          <w:color w:val="272833"/>
          <w:sz w:val="24"/>
          <w:szCs w:val="24"/>
          <w:lang w:val="en-GB" w:eastAsia="nb-NO"/>
        </w:rPr>
        <w:t xml:space="preserve"> </w:t>
      </w:r>
      <w:r w:rsidRPr="00752661">
        <w:rPr>
          <w:rFonts w:ascii="Open Sans" w:eastAsia="Times New Roman" w:hAnsi="Open Sans" w:cs="Open Sans"/>
          <w:color w:val="272833"/>
          <w:sz w:val="24"/>
          <w:szCs w:val="24"/>
          <w:lang w:val="en-GB" w:eastAsia="nb-NO"/>
        </w:rPr>
        <w:t xml:space="preserve">Director of the </w:t>
      </w:r>
      <w:r w:rsidR="006426D1">
        <w:rPr>
          <w:rFonts w:ascii="Open Sans" w:eastAsia="Times New Roman" w:hAnsi="Open Sans" w:cs="Open Sans"/>
          <w:color w:val="272833"/>
          <w:sz w:val="24"/>
          <w:szCs w:val="24"/>
          <w:lang w:val="en-GB" w:eastAsia="nb-NO"/>
        </w:rPr>
        <w:t xml:space="preserve">HR and HSE </w:t>
      </w:r>
      <w:r w:rsidRPr="00752661">
        <w:rPr>
          <w:rFonts w:ascii="Open Sans" w:eastAsia="Times New Roman" w:hAnsi="Open Sans" w:cs="Open Sans"/>
          <w:color w:val="272833"/>
          <w:sz w:val="24"/>
          <w:szCs w:val="24"/>
          <w:lang w:val="en-GB" w:eastAsia="nb-NO"/>
        </w:rPr>
        <w:t>Division</w:t>
      </w:r>
    </w:p>
    <w:p w14:paraId="1DEDD4D9" w14:textId="5DB904C5" w:rsidR="00752661" w:rsidRPr="00752661" w:rsidRDefault="00752661" w:rsidP="00752661">
      <w:pPr>
        <w:numPr>
          <w:ilvl w:val="0"/>
          <w:numId w:val="10"/>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Morten Mørch, Parat</w:t>
      </w:r>
      <w:r w:rsidR="006426D1">
        <w:rPr>
          <w:rFonts w:ascii="Open Sans" w:eastAsia="Times New Roman" w:hAnsi="Open Sans" w:cs="Open Sans"/>
          <w:color w:val="272833"/>
          <w:sz w:val="24"/>
          <w:szCs w:val="24"/>
          <w:lang w:val="en-GB" w:eastAsia="nb-NO"/>
        </w:rPr>
        <w:t xml:space="preserve"> (YS Stat - </w:t>
      </w:r>
      <w:r w:rsidR="006426D1" w:rsidRPr="00752661">
        <w:rPr>
          <w:rFonts w:ascii="Open Sans" w:eastAsia="Times New Roman" w:hAnsi="Open Sans" w:cs="Open Sans"/>
          <w:color w:val="272833"/>
          <w:sz w:val="24"/>
          <w:szCs w:val="24"/>
          <w:lang w:val="en-GB" w:eastAsia="nb-NO"/>
        </w:rPr>
        <w:t>Confederation of Vocational Unions</w:t>
      </w:r>
      <w:r w:rsidR="006426D1">
        <w:rPr>
          <w:rFonts w:ascii="Open Sans" w:eastAsia="Times New Roman" w:hAnsi="Open Sans" w:cs="Open Sans"/>
          <w:color w:val="272833"/>
          <w:sz w:val="24"/>
          <w:szCs w:val="24"/>
          <w:lang w:val="en-GB" w:eastAsia="nb-NO"/>
        </w:rPr>
        <w:t>)</w:t>
      </w:r>
    </w:p>
    <w:p w14:paraId="480B5A34" w14:textId="6D39AD48" w:rsidR="00752661" w:rsidRPr="00752661" w:rsidRDefault="00752661" w:rsidP="00752661">
      <w:pPr>
        <w:numPr>
          <w:ilvl w:val="0"/>
          <w:numId w:val="10"/>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Sturla Søpstad, NTL (LO Stat</w:t>
      </w:r>
      <w:r w:rsidR="006426D1">
        <w:rPr>
          <w:rFonts w:ascii="Open Sans" w:eastAsia="Times New Roman" w:hAnsi="Open Sans" w:cs="Open Sans"/>
          <w:color w:val="272833"/>
          <w:sz w:val="24"/>
          <w:szCs w:val="24"/>
          <w:lang w:val="en-GB" w:eastAsia="nb-NO"/>
        </w:rPr>
        <w:t xml:space="preserve"> - </w:t>
      </w:r>
      <w:r w:rsidR="006426D1" w:rsidRPr="00752661">
        <w:rPr>
          <w:rFonts w:ascii="Open Sans" w:eastAsia="Times New Roman" w:hAnsi="Open Sans" w:cs="Open Sans"/>
          <w:color w:val="272833"/>
          <w:sz w:val="24"/>
          <w:szCs w:val="24"/>
          <w:lang w:val="en-GB" w:eastAsia="nb-NO"/>
        </w:rPr>
        <w:t>Norwegian Confederation of Trade Unions</w:t>
      </w:r>
      <w:r w:rsidR="006426D1">
        <w:rPr>
          <w:rFonts w:ascii="Open Sans" w:eastAsia="Times New Roman" w:hAnsi="Open Sans" w:cs="Open Sans"/>
          <w:color w:val="272833"/>
          <w:sz w:val="24"/>
          <w:szCs w:val="24"/>
          <w:lang w:val="en-GB" w:eastAsia="nb-NO"/>
        </w:rPr>
        <w:t>)</w:t>
      </w:r>
    </w:p>
    <w:p w14:paraId="769060C4" w14:textId="63A40F95" w:rsidR="00752661" w:rsidRPr="005B1C3A" w:rsidRDefault="006426D1" w:rsidP="00752661">
      <w:pPr>
        <w:numPr>
          <w:ilvl w:val="0"/>
          <w:numId w:val="10"/>
        </w:numPr>
        <w:shd w:val="clear" w:color="auto" w:fill="FFFFFF"/>
        <w:spacing w:before="100" w:beforeAutospacing="1" w:after="100" w:afterAutospacing="1" w:line="240" w:lineRule="auto"/>
        <w:rPr>
          <w:rFonts w:ascii="Open Sans" w:eastAsia="Times New Roman" w:hAnsi="Open Sans" w:cs="Open Sans"/>
          <w:color w:val="272833"/>
          <w:sz w:val="24"/>
          <w:szCs w:val="24"/>
          <w:lang w:val="da-DK" w:eastAsia="nb-NO"/>
        </w:rPr>
      </w:pPr>
      <w:r w:rsidRPr="005B1C3A">
        <w:rPr>
          <w:rFonts w:ascii="Open Sans" w:eastAsia="Times New Roman" w:hAnsi="Open Sans" w:cs="Open Sans"/>
          <w:color w:val="272833"/>
          <w:sz w:val="24"/>
          <w:szCs w:val="24"/>
          <w:lang w:val="da-DK" w:eastAsia="nb-NO"/>
        </w:rPr>
        <w:t>Lisbeth Aune</w:t>
      </w:r>
      <w:r w:rsidR="00752661" w:rsidRPr="005B1C3A">
        <w:rPr>
          <w:rFonts w:ascii="Open Sans" w:eastAsia="Times New Roman" w:hAnsi="Open Sans" w:cs="Open Sans"/>
          <w:color w:val="272833"/>
          <w:sz w:val="24"/>
          <w:szCs w:val="24"/>
          <w:lang w:val="da-DK" w:eastAsia="nb-NO"/>
        </w:rPr>
        <w:t>, Forskerforbundet (U</w:t>
      </w:r>
      <w:r w:rsidRPr="005B1C3A">
        <w:rPr>
          <w:rFonts w:ascii="Open Sans" w:eastAsia="Times New Roman" w:hAnsi="Open Sans" w:cs="Open Sans"/>
          <w:color w:val="272833"/>
          <w:sz w:val="24"/>
          <w:szCs w:val="24"/>
          <w:lang w:val="da-DK" w:eastAsia="nb-NO"/>
        </w:rPr>
        <w:t xml:space="preserve">NIO </w:t>
      </w:r>
      <w:r w:rsidR="005B1C3A" w:rsidRPr="005B1C3A">
        <w:rPr>
          <w:rFonts w:ascii="Open Sans" w:eastAsia="Times New Roman" w:hAnsi="Open Sans" w:cs="Open Sans"/>
          <w:color w:val="272833"/>
          <w:sz w:val="24"/>
          <w:szCs w:val="24"/>
          <w:lang w:val="da-DK" w:eastAsia="nb-NO"/>
        </w:rPr>
        <w:t>–</w:t>
      </w:r>
      <w:r w:rsidRPr="005B1C3A">
        <w:rPr>
          <w:rFonts w:ascii="Open Sans" w:eastAsia="Times New Roman" w:hAnsi="Open Sans" w:cs="Open Sans"/>
          <w:color w:val="272833"/>
          <w:sz w:val="24"/>
          <w:szCs w:val="24"/>
          <w:lang w:val="da-DK" w:eastAsia="nb-NO"/>
        </w:rPr>
        <w:t xml:space="preserve"> </w:t>
      </w:r>
      <w:r w:rsidR="005B1C3A" w:rsidRPr="005B1C3A">
        <w:rPr>
          <w:rFonts w:ascii="Open Sans" w:eastAsia="Times New Roman" w:hAnsi="Open Sans" w:cs="Open Sans"/>
          <w:color w:val="272833"/>
          <w:sz w:val="24"/>
          <w:szCs w:val="24"/>
          <w:lang w:val="da-DK" w:eastAsia="nb-NO"/>
        </w:rPr>
        <w:t>Conferation of Unio</w:t>
      </w:r>
      <w:r w:rsidR="005B1C3A">
        <w:rPr>
          <w:rFonts w:ascii="Open Sans" w:eastAsia="Times New Roman" w:hAnsi="Open Sans" w:cs="Open Sans"/>
          <w:color w:val="272833"/>
          <w:sz w:val="24"/>
          <w:szCs w:val="24"/>
          <w:lang w:val="da-DK" w:eastAsia="nb-NO"/>
        </w:rPr>
        <w:t>ns for Professionals)</w:t>
      </w:r>
    </w:p>
    <w:p w14:paraId="1BDD4447" w14:textId="6E9B6110" w:rsidR="00752661" w:rsidRPr="00752661" w:rsidRDefault="00752661" w:rsidP="00752661">
      <w:pPr>
        <w:numPr>
          <w:ilvl w:val="0"/>
          <w:numId w:val="10"/>
        </w:numPr>
        <w:shd w:val="clear" w:color="auto" w:fill="FFFFFF"/>
        <w:spacing w:before="100" w:beforeAutospacing="1"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Rune Sætre,</w:t>
      </w:r>
      <w:r w:rsidR="006426D1">
        <w:rPr>
          <w:rFonts w:ascii="Open Sans" w:eastAsia="Times New Roman" w:hAnsi="Open Sans" w:cs="Open Sans"/>
          <w:color w:val="272833"/>
          <w:sz w:val="24"/>
          <w:szCs w:val="24"/>
          <w:lang w:val="en-GB" w:eastAsia="nb-NO"/>
        </w:rPr>
        <w:t xml:space="preserve"> </w:t>
      </w:r>
      <w:r w:rsidRPr="00752661">
        <w:rPr>
          <w:rFonts w:ascii="Open Sans" w:eastAsia="Times New Roman" w:hAnsi="Open Sans" w:cs="Open Sans"/>
          <w:color w:val="272833"/>
          <w:sz w:val="24"/>
          <w:szCs w:val="24"/>
          <w:lang w:val="en-GB" w:eastAsia="nb-NO"/>
        </w:rPr>
        <w:t>Tekna (</w:t>
      </w:r>
      <w:proofErr w:type="spellStart"/>
      <w:r w:rsidRPr="00752661">
        <w:rPr>
          <w:rFonts w:ascii="Open Sans" w:eastAsia="Times New Roman" w:hAnsi="Open Sans" w:cs="Open Sans"/>
          <w:color w:val="272833"/>
          <w:sz w:val="24"/>
          <w:szCs w:val="24"/>
          <w:lang w:val="en-GB" w:eastAsia="nb-NO"/>
        </w:rPr>
        <w:t>Akademikerne</w:t>
      </w:r>
      <w:proofErr w:type="spellEnd"/>
      <w:r w:rsidR="006426D1">
        <w:rPr>
          <w:rFonts w:ascii="Open Sans" w:eastAsia="Times New Roman" w:hAnsi="Open Sans" w:cs="Open Sans"/>
          <w:color w:val="272833"/>
          <w:sz w:val="24"/>
          <w:szCs w:val="24"/>
          <w:lang w:val="en-GB" w:eastAsia="nb-NO"/>
        </w:rPr>
        <w:t xml:space="preserve"> - </w:t>
      </w:r>
      <w:r w:rsidR="006426D1" w:rsidRPr="00752661">
        <w:rPr>
          <w:rFonts w:ascii="Open Sans" w:eastAsia="Times New Roman" w:hAnsi="Open Sans" w:cs="Open Sans"/>
          <w:color w:val="272833"/>
          <w:sz w:val="24"/>
          <w:szCs w:val="24"/>
          <w:lang w:val="en-GB" w:eastAsia="nb-NO"/>
        </w:rPr>
        <w:t>Federation of Norwegian Professional Associations)</w:t>
      </w:r>
    </w:p>
    <w:p w14:paraId="1291220D" w14:textId="77777777" w:rsidR="00752661" w:rsidRPr="00752661" w:rsidRDefault="00752661" w:rsidP="00752661">
      <w:pPr>
        <w:shd w:val="clear" w:color="auto" w:fill="FFFFFF"/>
        <w:spacing w:after="100" w:afterAutospacing="1" w:line="240" w:lineRule="auto"/>
        <w:outlineLvl w:val="1"/>
        <w:rPr>
          <w:rFonts w:ascii="Open Sans" w:eastAsia="Times New Roman" w:hAnsi="Open Sans" w:cs="Open Sans"/>
          <w:b/>
          <w:bCs/>
          <w:color w:val="272833"/>
          <w:sz w:val="36"/>
          <w:szCs w:val="36"/>
          <w:lang w:val="en-GB" w:eastAsia="nb-NO"/>
        </w:rPr>
      </w:pPr>
      <w:r w:rsidRPr="00752661">
        <w:rPr>
          <w:rFonts w:ascii="Open Sans" w:eastAsia="Times New Roman" w:hAnsi="Open Sans" w:cs="Open Sans"/>
          <w:b/>
          <w:bCs/>
          <w:color w:val="272833"/>
          <w:sz w:val="36"/>
          <w:szCs w:val="36"/>
          <w:lang w:val="en-GB" w:eastAsia="nb-NO"/>
        </w:rPr>
        <w:t>Footnotes</w:t>
      </w:r>
    </w:p>
    <w:p w14:paraId="3232A310" w14:textId="04DB4214" w:rsidR="009C7196"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[1]</w:t>
      </w:r>
      <w:r w:rsidR="009C7196">
        <w:rPr>
          <w:rFonts w:ascii="Open Sans" w:eastAsia="Times New Roman" w:hAnsi="Open Sans" w:cs="Open Sans"/>
          <w:color w:val="272833"/>
          <w:sz w:val="24"/>
          <w:szCs w:val="24"/>
          <w:lang w:val="en-GB" w:eastAsia="nb-NO"/>
        </w:rPr>
        <w:t xml:space="preserve"> Corrected by agreement 15 June 2021.</w:t>
      </w:r>
    </w:p>
    <w:p w14:paraId="64D4006C" w14:textId="59E78A36" w:rsidR="00752661" w:rsidRPr="00752661" w:rsidRDefault="00143AA8"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Pr>
          <w:rFonts w:ascii="Open Sans" w:eastAsia="Times New Roman" w:hAnsi="Open Sans" w:cs="Open Sans"/>
          <w:color w:val="272833"/>
          <w:sz w:val="24"/>
          <w:szCs w:val="24"/>
          <w:lang w:val="en-GB" w:eastAsia="nb-NO"/>
        </w:rPr>
        <w:t xml:space="preserve">[2] </w:t>
      </w:r>
      <w:r w:rsidR="00752661" w:rsidRPr="00752661">
        <w:rPr>
          <w:rFonts w:ascii="Open Sans" w:eastAsia="Times New Roman" w:hAnsi="Open Sans" w:cs="Open Sans"/>
          <w:color w:val="272833"/>
          <w:sz w:val="24"/>
          <w:szCs w:val="24"/>
          <w:lang w:val="en-GB" w:eastAsia="nb-NO"/>
        </w:rPr>
        <w:t>The obligation to advertise relates to the qualification</w:t>
      </w:r>
      <w:r>
        <w:rPr>
          <w:rFonts w:ascii="Open Sans" w:eastAsia="Times New Roman" w:hAnsi="Open Sans" w:cs="Open Sans"/>
          <w:color w:val="272833"/>
          <w:sz w:val="24"/>
          <w:szCs w:val="24"/>
          <w:lang w:val="en-GB" w:eastAsia="nb-NO"/>
        </w:rPr>
        <w:t>’</w:t>
      </w:r>
      <w:r w:rsidR="00752661" w:rsidRPr="00752661">
        <w:rPr>
          <w:rFonts w:ascii="Open Sans" w:eastAsia="Times New Roman" w:hAnsi="Open Sans" w:cs="Open Sans"/>
          <w:color w:val="272833"/>
          <w:sz w:val="24"/>
          <w:szCs w:val="24"/>
          <w:lang w:val="en-GB" w:eastAsia="nb-NO"/>
        </w:rPr>
        <w:t>s principle, which states that the person who is best qualified according to a comprehensive assessment of relevant education, experience</w:t>
      </w:r>
      <w:r w:rsidR="001F2BBF">
        <w:rPr>
          <w:rFonts w:ascii="Open Sans" w:eastAsia="Times New Roman" w:hAnsi="Open Sans" w:cs="Open Sans"/>
          <w:color w:val="272833"/>
          <w:sz w:val="24"/>
          <w:szCs w:val="24"/>
          <w:lang w:val="en-GB" w:eastAsia="nb-NO"/>
        </w:rPr>
        <w:t>,</w:t>
      </w:r>
      <w:r w:rsidR="00752661" w:rsidRPr="00752661">
        <w:rPr>
          <w:rFonts w:ascii="Open Sans" w:eastAsia="Times New Roman" w:hAnsi="Open Sans" w:cs="Open Sans"/>
          <w:color w:val="272833"/>
          <w:sz w:val="24"/>
          <w:szCs w:val="24"/>
          <w:lang w:val="en-GB" w:eastAsia="nb-NO"/>
        </w:rPr>
        <w:t xml:space="preserve"> and personal suitability is to be appointed. The positions must therefore be advertised to ensure free competition by giving all potential candidates the opportunity to register their interest.</w:t>
      </w:r>
    </w:p>
    <w:p w14:paraId="744E9996" w14:textId="009FD4FE"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w:t>
      </w:r>
      <w:r w:rsidR="005A339F">
        <w:rPr>
          <w:rFonts w:ascii="Open Sans" w:eastAsia="Times New Roman" w:hAnsi="Open Sans" w:cs="Open Sans"/>
          <w:color w:val="272833"/>
          <w:sz w:val="24"/>
          <w:szCs w:val="24"/>
          <w:lang w:val="en-GB" w:eastAsia="nb-NO"/>
        </w:rPr>
        <w:t>3</w:t>
      </w:r>
      <w:r w:rsidRPr="00752661">
        <w:rPr>
          <w:rFonts w:ascii="Open Sans" w:eastAsia="Times New Roman" w:hAnsi="Open Sans" w:cs="Open Sans"/>
          <w:color w:val="272833"/>
          <w:sz w:val="24"/>
          <w:szCs w:val="24"/>
          <w:lang w:val="en-GB" w:eastAsia="nb-NO"/>
        </w:rPr>
        <w:t>] In such cases, the applicant must be given the opportunity to withdraw the application.</w:t>
      </w:r>
    </w:p>
    <w:p w14:paraId="06670535" w14:textId="6B2ACDDC"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t>[4] Applicants are encouraged to use </w:t>
      </w:r>
      <w:hyperlink r:id="rId45" w:history="1">
        <w:r w:rsidRPr="00752661">
          <w:rPr>
            <w:rFonts w:ascii="Open Sans" w:eastAsia="Times New Roman" w:hAnsi="Open Sans" w:cs="Open Sans"/>
            <w:color w:val="0B5FFF"/>
            <w:sz w:val="24"/>
            <w:szCs w:val="24"/>
            <w:u w:val="single"/>
            <w:lang w:val="en-GB" w:eastAsia="nb-NO"/>
          </w:rPr>
          <w:t>Universities Norway NOR-CAM</w:t>
        </w:r>
      </w:hyperlink>
      <w:r w:rsidRPr="00752661">
        <w:rPr>
          <w:rFonts w:ascii="Open Sans" w:eastAsia="Times New Roman" w:hAnsi="Open Sans" w:cs="Open Sans"/>
          <w:color w:val="272833"/>
          <w:sz w:val="24"/>
          <w:szCs w:val="24"/>
          <w:lang w:val="en-GB" w:eastAsia="nb-NO"/>
        </w:rPr>
        <w:t xml:space="preserve"> as a tool for documentation of and reflection on relevant results and competencies. Open science practices shall be assessed on the basis of quality and impact, in accordance with the </w:t>
      </w:r>
      <w:hyperlink r:id="rId46" w:history="1">
        <w:r w:rsidRPr="00752661">
          <w:rPr>
            <w:rStyle w:val="Hyperkobling"/>
            <w:rFonts w:ascii="Open Sans" w:eastAsia="Times New Roman" w:hAnsi="Open Sans" w:cs="Open Sans"/>
            <w:sz w:val="24"/>
            <w:szCs w:val="24"/>
            <w:lang w:val="en-GB" w:eastAsia="nb-NO"/>
          </w:rPr>
          <w:t>NTNU Development Plan for Open Science</w:t>
        </w:r>
      </w:hyperlink>
      <w:r w:rsidRPr="00752661">
        <w:rPr>
          <w:rFonts w:ascii="Open Sans" w:eastAsia="Times New Roman" w:hAnsi="Open Sans" w:cs="Open Sans"/>
          <w:color w:val="272833"/>
          <w:sz w:val="24"/>
          <w:szCs w:val="24"/>
          <w:lang w:val="en-GB" w:eastAsia="nb-NO"/>
        </w:rPr>
        <w:t>.</w:t>
      </w:r>
    </w:p>
    <w:p w14:paraId="393F8384" w14:textId="6AB91CF2" w:rsidR="00752661" w:rsidRPr="00752661" w:rsidRDefault="00752661" w:rsidP="00752661">
      <w:pPr>
        <w:shd w:val="clear" w:color="auto" w:fill="FFFFFF"/>
        <w:spacing w:after="100" w:afterAutospacing="1" w:line="240" w:lineRule="auto"/>
        <w:rPr>
          <w:rFonts w:ascii="Open Sans" w:eastAsia="Times New Roman" w:hAnsi="Open Sans" w:cs="Open Sans"/>
          <w:color w:val="272833"/>
          <w:sz w:val="24"/>
          <w:szCs w:val="24"/>
          <w:lang w:val="en-GB" w:eastAsia="nb-NO"/>
        </w:rPr>
      </w:pPr>
      <w:r w:rsidRPr="00752661">
        <w:rPr>
          <w:rFonts w:ascii="Open Sans" w:eastAsia="Times New Roman" w:hAnsi="Open Sans" w:cs="Open Sans"/>
          <w:color w:val="272833"/>
          <w:sz w:val="24"/>
          <w:szCs w:val="24"/>
          <w:lang w:val="en-GB" w:eastAsia="nb-NO"/>
        </w:rPr>
        <w:lastRenderedPageBreak/>
        <w:t>[5]</w:t>
      </w:r>
      <w:r w:rsidR="001171A1">
        <w:rPr>
          <w:rFonts w:ascii="Open Sans" w:eastAsia="Times New Roman" w:hAnsi="Open Sans" w:cs="Open Sans"/>
          <w:color w:val="272833"/>
          <w:sz w:val="24"/>
          <w:szCs w:val="24"/>
          <w:lang w:val="en-GB" w:eastAsia="nb-NO"/>
        </w:rPr>
        <w:t xml:space="preserve"> The numbering was corrected from 15 to 16, 1 July 2021</w:t>
      </w:r>
      <w:r w:rsidRPr="00752661">
        <w:rPr>
          <w:rFonts w:ascii="Open Sans" w:eastAsia="Times New Roman" w:hAnsi="Open Sans" w:cs="Open Sans"/>
          <w:color w:val="272833"/>
          <w:sz w:val="24"/>
          <w:szCs w:val="24"/>
          <w:lang w:val="en-GB" w:eastAsia="nb-NO"/>
        </w:rPr>
        <w:t>.</w:t>
      </w:r>
    </w:p>
    <w:p w14:paraId="1F237EEC" w14:textId="77777777" w:rsidR="0051015F" w:rsidRPr="00752661" w:rsidRDefault="0051015F">
      <w:pPr>
        <w:rPr>
          <w:lang w:val="en-GB"/>
        </w:rPr>
      </w:pPr>
    </w:p>
    <w:sectPr w:rsidR="0051015F" w:rsidRPr="00752661">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C0ED" w14:textId="77777777" w:rsidR="00E92DCB" w:rsidRDefault="00E92DCB" w:rsidP="00E92DCB">
      <w:pPr>
        <w:spacing w:after="0" w:line="240" w:lineRule="auto"/>
      </w:pPr>
      <w:r>
        <w:separator/>
      </w:r>
    </w:p>
  </w:endnote>
  <w:endnote w:type="continuationSeparator" w:id="0">
    <w:p w14:paraId="30253F69" w14:textId="77777777" w:rsidR="00E92DCB" w:rsidRDefault="00E92DCB" w:rsidP="00E9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06966"/>
      <w:docPartObj>
        <w:docPartGallery w:val="Page Numbers (Bottom of Page)"/>
        <w:docPartUnique/>
      </w:docPartObj>
    </w:sdtPr>
    <w:sdtContent>
      <w:p w14:paraId="4DADED41" w14:textId="2EEE427B" w:rsidR="00AD33EA" w:rsidRDefault="00AD33EA">
        <w:pPr>
          <w:pStyle w:val="Bunntekst"/>
          <w:jc w:val="center"/>
        </w:pPr>
        <w:r>
          <w:fldChar w:fldCharType="begin"/>
        </w:r>
        <w:r>
          <w:instrText>PAGE   \* MERGEFORMAT</w:instrText>
        </w:r>
        <w:r>
          <w:fldChar w:fldCharType="separate"/>
        </w:r>
        <w:r>
          <w:t>2</w:t>
        </w:r>
        <w:r>
          <w:fldChar w:fldCharType="end"/>
        </w:r>
      </w:p>
    </w:sdtContent>
  </w:sdt>
  <w:p w14:paraId="0092DE96" w14:textId="77777777" w:rsidR="00AD33EA" w:rsidRDefault="00AD33E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7623" w14:textId="77777777" w:rsidR="00E92DCB" w:rsidRDefault="00E92DCB" w:rsidP="00E92DCB">
      <w:pPr>
        <w:spacing w:after="0" w:line="240" w:lineRule="auto"/>
      </w:pPr>
      <w:r>
        <w:separator/>
      </w:r>
    </w:p>
  </w:footnote>
  <w:footnote w:type="continuationSeparator" w:id="0">
    <w:p w14:paraId="6C3CC477" w14:textId="77777777" w:rsidR="00E92DCB" w:rsidRDefault="00E92DCB" w:rsidP="00E9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912"/>
    <w:multiLevelType w:val="multilevel"/>
    <w:tmpl w:val="FD50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30420"/>
    <w:multiLevelType w:val="multilevel"/>
    <w:tmpl w:val="DEA043D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B2172"/>
    <w:multiLevelType w:val="multilevel"/>
    <w:tmpl w:val="A2923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D78C6"/>
    <w:multiLevelType w:val="multilevel"/>
    <w:tmpl w:val="06BE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67A6FF3"/>
    <w:multiLevelType w:val="multilevel"/>
    <w:tmpl w:val="15EA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9546A"/>
    <w:multiLevelType w:val="multilevel"/>
    <w:tmpl w:val="81A88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0444C"/>
    <w:multiLevelType w:val="multilevel"/>
    <w:tmpl w:val="B75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A3218"/>
    <w:multiLevelType w:val="multilevel"/>
    <w:tmpl w:val="45A65D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FB2224"/>
    <w:multiLevelType w:val="multilevel"/>
    <w:tmpl w:val="12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064D0"/>
    <w:multiLevelType w:val="multilevel"/>
    <w:tmpl w:val="0344C2C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4E555C"/>
    <w:multiLevelType w:val="multilevel"/>
    <w:tmpl w:val="093C7F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A71915"/>
    <w:multiLevelType w:val="hybridMultilevel"/>
    <w:tmpl w:val="C01EE15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4977880"/>
    <w:multiLevelType w:val="multilevel"/>
    <w:tmpl w:val="2346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A9032D"/>
    <w:multiLevelType w:val="multilevel"/>
    <w:tmpl w:val="5268B26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FD60C2"/>
    <w:multiLevelType w:val="multilevel"/>
    <w:tmpl w:val="8BA604A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6E697CCE"/>
    <w:multiLevelType w:val="multilevel"/>
    <w:tmpl w:val="62AA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C22704"/>
    <w:multiLevelType w:val="multilevel"/>
    <w:tmpl w:val="E716ED2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0059315">
    <w:abstractNumId w:val="5"/>
  </w:num>
  <w:num w:numId="2" w16cid:durableId="878593531">
    <w:abstractNumId w:val="4"/>
  </w:num>
  <w:num w:numId="3" w16cid:durableId="19625917">
    <w:abstractNumId w:val="12"/>
  </w:num>
  <w:num w:numId="4" w16cid:durableId="1698500625">
    <w:abstractNumId w:val="2"/>
  </w:num>
  <w:num w:numId="5" w16cid:durableId="369109942">
    <w:abstractNumId w:val="0"/>
  </w:num>
  <w:num w:numId="6" w16cid:durableId="490100617">
    <w:abstractNumId w:val="14"/>
  </w:num>
  <w:num w:numId="7" w16cid:durableId="1493332494">
    <w:abstractNumId w:val="8"/>
  </w:num>
  <w:num w:numId="8" w16cid:durableId="1254314713">
    <w:abstractNumId w:val="15"/>
  </w:num>
  <w:num w:numId="9" w16cid:durableId="378743786">
    <w:abstractNumId w:val="6"/>
  </w:num>
  <w:num w:numId="10" w16cid:durableId="1973368789">
    <w:abstractNumId w:val="3"/>
  </w:num>
  <w:num w:numId="11" w16cid:durableId="1842308820">
    <w:abstractNumId w:val="7"/>
  </w:num>
  <w:num w:numId="12" w16cid:durableId="1387794699">
    <w:abstractNumId w:val="9"/>
  </w:num>
  <w:num w:numId="13" w16cid:durableId="958024507">
    <w:abstractNumId w:val="11"/>
  </w:num>
  <w:num w:numId="14" w16cid:durableId="2064791014">
    <w:abstractNumId w:val="10"/>
  </w:num>
  <w:num w:numId="15" w16cid:durableId="45182073">
    <w:abstractNumId w:val="13"/>
  </w:num>
  <w:num w:numId="16" w16cid:durableId="1970554580">
    <w:abstractNumId w:val="16"/>
  </w:num>
  <w:num w:numId="17" w16cid:durableId="1689065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61"/>
    <w:rsid w:val="000246D8"/>
    <w:rsid w:val="00067055"/>
    <w:rsid w:val="00067A13"/>
    <w:rsid w:val="000B7668"/>
    <w:rsid w:val="000C69CB"/>
    <w:rsid w:val="000E4E21"/>
    <w:rsid w:val="001171A1"/>
    <w:rsid w:val="00141602"/>
    <w:rsid w:val="00143AA8"/>
    <w:rsid w:val="00157FD4"/>
    <w:rsid w:val="00175DC4"/>
    <w:rsid w:val="001B2AB7"/>
    <w:rsid w:val="001F2BBF"/>
    <w:rsid w:val="0026184F"/>
    <w:rsid w:val="002A064B"/>
    <w:rsid w:val="002C0899"/>
    <w:rsid w:val="002D6CF2"/>
    <w:rsid w:val="00386E87"/>
    <w:rsid w:val="003E6B86"/>
    <w:rsid w:val="005049B6"/>
    <w:rsid w:val="0051015F"/>
    <w:rsid w:val="005A339F"/>
    <w:rsid w:val="005A3C2D"/>
    <w:rsid w:val="005B1C3A"/>
    <w:rsid w:val="005B6CD2"/>
    <w:rsid w:val="005E13AD"/>
    <w:rsid w:val="006426D1"/>
    <w:rsid w:val="006462BD"/>
    <w:rsid w:val="006B2845"/>
    <w:rsid w:val="006E358B"/>
    <w:rsid w:val="00752661"/>
    <w:rsid w:val="007575B8"/>
    <w:rsid w:val="00823CA6"/>
    <w:rsid w:val="00857986"/>
    <w:rsid w:val="008735C5"/>
    <w:rsid w:val="00880430"/>
    <w:rsid w:val="00880DBE"/>
    <w:rsid w:val="008C413B"/>
    <w:rsid w:val="00960970"/>
    <w:rsid w:val="00994657"/>
    <w:rsid w:val="009C7196"/>
    <w:rsid w:val="00A56B52"/>
    <w:rsid w:val="00AD33EA"/>
    <w:rsid w:val="00B03691"/>
    <w:rsid w:val="00BE3E83"/>
    <w:rsid w:val="00CD44E5"/>
    <w:rsid w:val="00CD4CD0"/>
    <w:rsid w:val="00CF25AC"/>
    <w:rsid w:val="00D671E3"/>
    <w:rsid w:val="00D9286E"/>
    <w:rsid w:val="00DA67B9"/>
    <w:rsid w:val="00DF16F8"/>
    <w:rsid w:val="00DF25BD"/>
    <w:rsid w:val="00E23261"/>
    <w:rsid w:val="00E5659E"/>
    <w:rsid w:val="00E6482B"/>
    <w:rsid w:val="00E92DCB"/>
    <w:rsid w:val="00EA75C7"/>
    <w:rsid w:val="00F16DF9"/>
    <w:rsid w:val="00F32F8B"/>
    <w:rsid w:val="00F6399D"/>
    <w:rsid w:val="00FE060A"/>
    <w:rsid w:val="00FF24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CDAE8"/>
  <w15:chartTrackingRefBased/>
  <w15:docId w15:val="{28FC39F3-C054-46C1-A8DE-CA8DB50B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75266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75266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752661"/>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52661"/>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752661"/>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752661"/>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75266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752661"/>
    <w:rPr>
      <w:color w:val="0000FF"/>
      <w:u w:val="single"/>
    </w:rPr>
  </w:style>
  <w:style w:type="paragraph" w:customStyle="1" w:styleId="toc-level-1">
    <w:name w:val="toc-level-1"/>
    <w:basedOn w:val="Normal"/>
    <w:rsid w:val="0075266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oc-level-2">
    <w:name w:val="toc-level-2"/>
    <w:basedOn w:val="Normal"/>
    <w:rsid w:val="0075266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752661"/>
    <w:rPr>
      <w:b/>
      <w:bCs/>
    </w:rPr>
  </w:style>
  <w:style w:type="character" w:styleId="Ulstomtale">
    <w:name w:val="Unresolved Mention"/>
    <w:basedOn w:val="Standardskriftforavsnitt"/>
    <w:uiPriority w:val="99"/>
    <w:semiHidden/>
    <w:unhideWhenUsed/>
    <w:rsid w:val="00143AA8"/>
    <w:rPr>
      <w:color w:val="605E5C"/>
      <w:shd w:val="clear" w:color="auto" w:fill="E1DFDD"/>
    </w:rPr>
  </w:style>
  <w:style w:type="paragraph" w:styleId="Listeavsnitt">
    <w:name w:val="List Paragraph"/>
    <w:basedOn w:val="Normal"/>
    <w:uiPriority w:val="34"/>
    <w:qFormat/>
    <w:rsid w:val="0026184F"/>
    <w:pPr>
      <w:ind w:left="720"/>
      <w:contextualSpacing/>
    </w:pPr>
  </w:style>
  <w:style w:type="character" w:customStyle="1" w:styleId="rynqvb">
    <w:name w:val="rynqvb"/>
    <w:basedOn w:val="Standardskriftforavsnitt"/>
    <w:rsid w:val="00175DC4"/>
  </w:style>
  <w:style w:type="paragraph" w:styleId="Topptekst">
    <w:name w:val="header"/>
    <w:basedOn w:val="Normal"/>
    <w:link w:val="TopptekstTegn"/>
    <w:uiPriority w:val="99"/>
    <w:unhideWhenUsed/>
    <w:rsid w:val="00AD33EA"/>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D33EA"/>
  </w:style>
  <w:style w:type="paragraph" w:styleId="Bunntekst">
    <w:name w:val="footer"/>
    <w:basedOn w:val="Normal"/>
    <w:link w:val="BunntekstTegn"/>
    <w:uiPriority w:val="99"/>
    <w:unhideWhenUsed/>
    <w:rsid w:val="00AD33E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D33EA"/>
  </w:style>
  <w:style w:type="character" w:styleId="Fulgthyperkobling">
    <w:name w:val="FollowedHyperlink"/>
    <w:basedOn w:val="Standardskriftforavsnitt"/>
    <w:uiPriority w:val="99"/>
    <w:semiHidden/>
    <w:unhideWhenUsed/>
    <w:rsid w:val="00880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9217">
      <w:bodyDiv w:val="1"/>
      <w:marLeft w:val="0"/>
      <w:marRight w:val="0"/>
      <w:marTop w:val="0"/>
      <w:marBottom w:val="0"/>
      <w:divBdr>
        <w:top w:val="none" w:sz="0" w:space="0" w:color="auto"/>
        <w:left w:val="none" w:sz="0" w:space="0" w:color="auto"/>
        <w:bottom w:val="none" w:sz="0" w:space="0" w:color="auto"/>
        <w:right w:val="none" w:sz="0" w:space="0" w:color="auto"/>
      </w:divBdr>
      <w:divsChild>
        <w:div w:id="2085489528">
          <w:marLeft w:val="360"/>
          <w:marRight w:val="0"/>
          <w:marTop w:val="0"/>
          <w:marBottom w:val="240"/>
          <w:divBdr>
            <w:top w:val="none" w:sz="0" w:space="0" w:color="auto"/>
            <w:left w:val="none" w:sz="0" w:space="0" w:color="auto"/>
            <w:bottom w:val="none" w:sz="0" w:space="0" w:color="auto"/>
            <w:right w:val="none" w:sz="0" w:space="0" w:color="auto"/>
          </w:divBdr>
          <w:divsChild>
            <w:div w:id="995063369">
              <w:marLeft w:val="0"/>
              <w:marRight w:val="0"/>
              <w:marTop w:val="0"/>
              <w:marBottom w:val="0"/>
              <w:divBdr>
                <w:top w:val="none" w:sz="0" w:space="0" w:color="auto"/>
                <w:left w:val="none" w:sz="0" w:space="0" w:color="auto"/>
                <w:bottom w:val="none" w:sz="0" w:space="0" w:color="auto"/>
                <w:right w:val="none" w:sz="0" w:space="0" w:color="auto"/>
              </w:divBdr>
              <w:divsChild>
                <w:div w:id="18934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E/lov/2005-04-01-15" TargetMode="External"/><Relationship Id="rId18" Type="http://schemas.openxmlformats.org/officeDocument/2006/relationships/hyperlink" Target="https://coara.eu/agreement/the-commitments/" TargetMode="External"/><Relationship Id="rId26" Type="http://schemas.openxmlformats.org/officeDocument/2006/relationships/hyperlink" Target="https://lovdata.no/dokument/SFE/forskrift/2006-02-09-129" TargetMode="External"/><Relationship Id="rId39" Type="http://schemas.openxmlformats.org/officeDocument/2006/relationships/hyperlink" Target="https://lovdata.no/dokument/SPHPM/pm-2017-19" TargetMode="External"/><Relationship Id="rId3" Type="http://schemas.openxmlformats.org/officeDocument/2006/relationships/settings" Target="settings.xml"/><Relationship Id="rId21" Type="http://schemas.openxmlformats.org/officeDocument/2006/relationships/hyperlink" Target="https://lovdata.no/static/SPHPM/pdf/pm-2010-08.pdf" TargetMode="External"/><Relationship Id="rId34" Type="http://schemas.openxmlformats.org/officeDocument/2006/relationships/hyperlink" Target="https://lovdata.no/dokument/SPH/sph-2020/kap9" TargetMode="External"/><Relationship Id="rId42" Type="http://schemas.openxmlformats.org/officeDocument/2006/relationships/hyperlink" Target="https://lovdata.no/dokument/NL/lov/2017-06-16-67/KAPITTEL_1" TargetMode="External"/><Relationship Id="rId47" Type="http://schemas.openxmlformats.org/officeDocument/2006/relationships/footer" Target="footer1.xml"/><Relationship Id="rId7" Type="http://schemas.openxmlformats.org/officeDocument/2006/relationships/hyperlink" Target="https://lovdata.no/dokument/NLE/lov/2005-04-01-15" TargetMode="External"/><Relationship Id="rId12" Type="http://schemas.openxmlformats.org/officeDocument/2006/relationships/hyperlink" Target="https://i.ntnu.no/wiki/-/wiki/Norsk/Tilpasningsavtalen" TargetMode="External"/><Relationship Id="rId17" Type="http://schemas.openxmlformats.org/officeDocument/2006/relationships/hyperlink" Target="https://sfdora.org/" TargetMode="External"/><Relationship Id="rId25" Type="http://schemas.openxmlformats.org/officeDocument/2006/relationships/hyperlink" Target="https://lovdata.no/dokument/NL/lov/2017-06-16-67/KAPITTEL_2" TargetMode="External"/><Relationship Id="rId33" Type="http://schemas.openxmlformats.org/officeDocument/2006/relationships/hyperlink" Target="https://lovdata.no/dokument/NL/lov/2017-06-16-67/KAPITTEL_3" TargetMode="External"/><Relationship Id="rId38" Type="http://schemas.openxmlformats.org/officeDocument/2006/relationships/hyperlink" Target="https://lovdata.no/dokument/NLE/lov/1988-04-29-21" TargetMode="External"/><Relationship Id="rId46" Type="http://schemas.openxmlformats.org/officeDocument/2006/relationships/hyperlink" Target="https://www.ntnu.edu/documents/139226/1300699431/Development+Plan+for+Open+Science+NTNU+2023-2025.pdf/" TargetMode="External"/><Relationship Id="rId2" Type="http://schemas.openxmlformats.org/officeDocument/2006/relationships/styles" Target="styles.xml"/><Relationship Id="rId16" Type="http://schemas.openxmlformats.org/officeDocument/2006/relationships/hyperlink" Target="https://lovdata.no/dokument/NLE/lov/1987-12-18-93" TargetMode="External"/><Relationship Id="rId20" Type="http://schemas.openxmlformats.org/officeDocument/2006/relationships/hyperlink" Target="https://lovdata.no/dokument/NL/lov/2017-06-16-67?q=statsansatteloven" TargetMode="External"/><Relationship Id="rId29" Type="http://schemas.openxmlformats.org/officeDocument/2006/relationships/hyperlink" Target="https://lovdata.no/NLE/lov/1967-02-10/&#167;27" TargetMode="External"/><Relationship Id="rId41" Type="http://schemas.openxmlformats.org/officeDocument/2006/relationships/hyperlink" Target="https://lovdata.no/dokument/NLE/lov/2005-06-17-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NLE/lov/2005-06-17-62" TargetMode="External"/><Relationship Id="rId24" Type="http://schemas.openxmlformats.org/officeDocument/2006/relationships/hyperlink" Target="https://lovdata.no/dokument/NLE/lov/1967-02-10" TargetMode="External"/><Relationship Id="rId32" Type="http://schemas.openxmlformats.org/officeDocument/2006/relationships/hyperlink" Target="https://lovdata.no/dokument/NL/lov/2017-06-16-67/KAPITTEL_3" TargetMode="External"/><Relationship Id="rId37" Type="http://schemas.openxmlformats.org/officeDocument/2006/relationships/hyperlink" Target="https://i.ntnu.no/wiki/-/wiki/English/Compassionate+leave" TargetMode="External"/><Relationship Id="rId40" Type="http://schemas.openxmlformats.org/officeDocument/2006/relationships/hyperlink" Target="https://lovdata.no/lov/2017-06-16-67/&#167;39" TargetMode="External"/><Relationship Id="rId45" Type="http://schemas.openxmlformats.org/officeDocument/2006/relationships/hyperlink" Target="https://www.uhr.no/en/_f/p3/idc7ec543-fb1c-4659-bb0d-c57e9f486a02/nor-cam_short_english.pdf" TargetMode="External"/><Relationship Id="rId5" Type="http://schemas.openxmlformats.org/officeDocument/2006/relationships/footnotes" Target="footnotes.xml"/><Relationship Id="rId15" Type="http://schemas.openxmlformats.org/officeDocument/2006/relationships/hyperlink" Target="https://lovdata.no/dokument/NLE/lov/2005-04-01-15" TargetMode="External"/><Relationship Id="rId23" Type="http://schemas.openxmlformats.org/officeDocument/2006/relationships/hyperlink" Target="https://lovdata.no/dokument/NL/lov/2017-06-16-67/KAPITTEL_2" TargetMode="External"/><Relationship Id="rId28" Type="http://schemas.openxmlformats.org/officeDocument/2006/relationships/hyperlink" Target="https://lovdata.no/dokument/NLE/lov/2005-06-17-62" TargetMode="External"/><Relationship Id="rId36" Type="http://schemas.openxmlformats.org/officeDocument/2006/relationships/hyperlink" Target="https://lovdata.no/dokument/SF/forskrift/2006-12-15-1456/" TargetMode="External"/><Relationship Id="rId49" Type="http://schemas.openxmlformats.org/officeDocument/2006/relationships/theme" Target="theme/theme1.xml"/><Relationship Id="rId10" Type="http://schemas.openxmlformats.org/officeDocument/2006/relationships/hyperlink" Target="https://lovdata.no/lov/2017-06-16-67/&#167;4" TargetMode="External"/><Relationship Id="rId19" Type="http://schemas.openxmlformats.org/officeDocument/2006/relationships/hyperlink" Target="https://lovdata.no/dokument/SF/forskrift/2017-06-21-838" TargetMode="External"/><Relationship Id="rId31" Type="http://schemas.openxmlformats.org/officeDocument/2006/relationships/hyperlink" Target="https://lovdata.no/dokument/NLE/lov/1967-02-10" TargetMode="External"/><Relationship Id="rId44" Type="http://schemas.openxmlformats.org/officeDocument/2006/relationships/hyperlink" Target="https://lovdata.no/dokument/NL/lov/2017-06-16-67/KAPITTEL_1" TargetMode="External"/><Relationship Id="rId4" Type="http://schemas.openxmlformats.org/officeDocument/2006/relationships/webSettings" Target="webSettings.xml"/><Relationship Id="rId9" Type="http://schemas.openxmlformats.org/officeDocument/2006/relationships/hyperlink" Target="https://lovdata.no/lov/2017-06-16-67/&#167;7" TargetMode="External"/><Relationship Id="rId14" Type="http://schemas.openxmlformats.org/officeDocument/2006/relationships/hyperlink" Target="https://lovdata.no/dokument/SF/forskrift/2017-06-21-838" TargetMode="External"/><Relationship Id="rId22" Type="http://schemas.openxmlformats.org/officeDocument/2006/relationships/hyperlink" Target="https://lovdata.no/dokument/NLE/lov/2017-06-16-51" TargetMode="External"/><Relationship Id="rId27" Type="http://schemas.openxmlformats.org/officeDocument/2006/relationships/hyperlink" Target="https://lovdata.no/dokument/NLE/lov/2005-04-01-15" TargetMode="External"/><Relationship Id="rId30" Type="http://schemas.openxmlformats.org/officeDocument/2006/relationships/hyperlink" Target="https://lovdata.no/dokument/NLE/lov/1967-02-10" TargetMode="External"/><Relationship Id="rId35" Type="http://schemas.openxmlformats.org/officeDocument/2006/relationships/hyperlink" Target="https://lovdata.no/dokument/NLE/lov/2005-06-17-62" TargetMode="External"/><Relationship Id="rId43" Type="http://schemas.openxmlformats.org/officeDocument/2006/relationships/hyperlink" Target="https://lovdata.no/dokument/NL/lov/2017-06-16-67/KAPITTEL_1" TargetMode="External"/><Relationship Id="rId48" Type="http://schemas.openxmlformats.org/officeDocument/2006/relationships/fontTable" Target="fontTable.xml"/><Relationship Id="rId8" Type="http://schemas.openxmlformats.org/officeDocument/2006/relationships/hyperlink" Target="https://lovdata.no/lov/2017-06-16-67/&#1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5940</Words>
  <Characters>31482</Characters>
  <Application>Microsoft Office Word</Application>
  <DocSecurity>0</DocSecurity>
  <Lines>262</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Wergeland Brekke</dc:creator>
  <cp:keywords/>
  <dc:description/>
  <cp:lastModifiedBy>Kristin Wergeland Brekke</cp:lastModifiedBy>
  <cp:revision>3</cp:revision>
  <dcterms:created xsi:type="dcterms:W3CDTF">2023-02-20T13:06:00Z</dcterms:created>
  <dcterms:modified xsi:type="dcterms:W3CDTF">2023-02-20T13:07:00Z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181c5874-77c3-4de7-a175-3c0f0417674a</vt:lpwstr>
  </property>
</Properties>
</file>