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BBFC8" w14:textId="77777777" w:rsidR="001F0C97" w:rsidRDefault="009B1F50">
      <w:pPr>
        <w:ind w:left="4248" w:firstLine="708"/>
      </w:pPr>
      <w:r>
        <w:rPr>
          <w:noProof/>
        </w:rPr>
        <w:drawing>
          <wp:anchor distT="0" distB="0" distL="114300" distR="114300" simplePos="0" relativeHeight="251657728" behindDoc="0" locked="0" layoutInCell="1" allowOverlap="1" wp14:anchorId="52C7CD34" wp14:editId="56181A35">
            <wp:simplePos x="0" y="0"/>
            <wp:positionH relativeFrom="column">
              <wp:posOffset>116813</wp:posOffset>
            </wp:positionH>
            <wp:positionV relativeFrom="paragraph">
              <wp:posOffset>-111191</wp:posOffset>
            </wp:positionV>
            <wp:extent cx="681417" cy="914400"/>
            <wp:effectExtent l="0" t="0" r="4445" b="0"/>
            <wp:wrapNone/>
            <wp:docPr id="1" name="Bild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417" cy="914400"/>
                    </a:xfrm>
                    <a:prstGeom prst="rect">
                      <a:avLst/>
                    </a:prstGeom>
                    <a:noFill/>
                    <a:ln>
                      <a:noFill/>
                      <a:prstDash/>
                    </a:ln>
                  </pic:spPr>
                </pic:pic>
              </a:graphicData>
            </a:graphic>
            <wp14:sizeRelH relativeFrom="margin">
              <wp14:pctWidth>0</wp14:pctWidth>
            </wp14:sizeRelH>
          </wp:anchor>
        </w:drawing>
      </w:r>
      <w:r>
        <w:rPr>
          <w:rFonts w:ascii="Arial" w:hAnsi="Arial"/>
          <w:sz w:val="20"/>
        </w:rPr>
        <w:t xml:space="preserve">      </w:t>
      </w:r>
    </w:p>
    <w:p w14:paraId="7E6948C0" w14:textId="77777777" w:rsidR="001F0C97" w:rsidRDefault="001F0C97"/>
    <w:p w14:paraId="2818D993" w14:textId="77777777" w:rsidR="001F0C97" w:rsidRDefault="001F0C97"/>
    <w:p w14:paraId="5C5F9E90" w14:textId="77777777" w:rsidR="001F0C97" w:rsidRDefault="001F0C97"/>
    <w:p w14:paraId="5B52E310" w14:textId="77777777" w:rsidR="001F0C97" w:rsidRDefault="001F0C97"/>
    <w:p w14:paraId="15DDB41B" w14:textId="77777777" w:rsidR="001F0C97" w:rsidRDefault="001F0C97"/>
    <w:p w14:paraId="75533ABC" w14:textId="77777777" w:rsidR="001F0C97" w:rsidRDefault="001F0C97">
      <w:pPr>
        <w:rPr>
          <w:rFonts w:ascii="Arial" w:hAnsi="Arial" w:cs="Arial"/>
          <w:b/>
          <w:sz w:val="28"/>
          <w:szCs w:val="28"/>
        </w:rPr>
      </w:pPr>
    </w:p>
    <w:p w14:paraId="150130B7" w14:textId="77777777" w:rsidR="001F0C97" w:rsidRDefault="009B1F50">
      <w:pPr>
        <w:rPr>
          <w:rFonts w:ascii="Arial" w:hAnsi="Arial" w:cs="Arial"/>
          <w:b/>
          <w:sz w:val="36"/>
          <w:szCs w:val="36"/>
        </w:rPr>
      </w:pPr>
      <w:r>
        <w:rPr>
          <w:rFonts w:ascii="Arial" w:hAnsi="Arial" w:cs="Arial"/>
          <w:b/>
          <w:sz w:val="36"/>
          <w:szCs w:val="36"/>
        </w:rPr>
        <w:t>Sensurveiledning</w:t>
      </w:r>
    </w:p>
    <w:p w14:paraId="69B69E0A" w14:textId="77777777" w:rsidR="001F0C97" w:rsidRDefault="001F0C97">
      <w:pPr>
        <w:rPr>
          <w:b/>
        </w:rPr>
      </w:pPr>
    </w:p>
    <w:tbl>
      <w:tblPr>
        <w:tblW w:w="9828" w:type="dxa"/>
        <w:tblCellMar>
          <w:left w:w="10" w:type="dxa"/>
          <w:right w:w="10" w:type="dxa"/>
        </w:tblCellMar>
        <w:tblLook w:val="0000" w:firstRow="0" w:lastRow="0" w:firstColumn="0" w:lastColumn="0" w:noHBand="0" w:noVBand="0"/>
      </w:tblPr>
      <w:tblGrid>
        <w:gridCol w:w="3276"/>
        <w:gridCol w:w="1512"/>
        <w:gridCol w:w="1764"/>
        <w:gridCol w:w="3276"/>
      </w:tblGrid>
      <w:tr w:rsidR="001F0C97" w14:paraId="162F5982" w14:textId="77777777">
        <w:trPr>
          <w:trHeight w:val="648"/>
        </w:trPr>
        <w:tc>
          <w:tcPr>
            <w:tcW w:w="4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9E35D" w14:textId="77777777" w:rsidR="001F0C97" w:rsidRDefault="009B1F50">
            <w:pPr>
              <w:rPr>
                <w:b/>
              </w:rPr>
            </w:pPr>
            <w:r>
              <w:rPr>
                <w:b/>
              </w:rPr>
              <w:t>Emnekode:</w:t>
            </w:r>
            <w:r w:rsidR="00DB06A2">
              <w:rPr>
                <w:b/>
              </w:rPr>
              <w:t xml:space="preserve"> LGU11012</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438AE" w14:textId="77777777" w:rsidR="001F0C97" w:rsidRDefault="009B1F50">
            <w:pPr>
              <w:rPr>
                <w:b/>
              </w:rPr>
            </w:pPr>
            <w:r>
              <w:rPr>
                <w:b/>
              </w:rPr>
              <w:t>Emnenavn:</w:t>
            </w:r>
            <w:r w:rsidR="00DB06A2">
              <w:rPr>
                <w:b/>
              </w:rPr>
              <w:t xml:space="preserve"> Samfunnsfag 1, 1-7: Samfunn, kultur og sosial ulikhet</w:t>
            </w:r>
          </w:p>
        </w:tc>
      </w:tr>
      <w:tr w:rsidR="001F0C97" w14:paraId="3359950C" w14:textId="77777777">
        <w:trPr>
          <w:trHeight w:val="648"/>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9217" w14:textId="77777777" w:rsidR="001F0C97" w:rsidRDefault="009B1F50">
            <w:pPr>
              <w:rPr>
                <w:b/>
              </w:rPr>
            </w:pPr>
            <w:r>
              <w:rPr>
                <w:b/>
              </w:rPr>
              <w:t>Semester:</w:t>
            </w:r>
            <w:r w:rsidR="00DB06A2">
              <w:rPr>
                <w:b/>
              </w:rPr>
              <w:t xml:space="preserve"> Høsten </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493C" w14:textId="77777777" w:rsidR="001F0C97" w:rsidRDefault="009B1F50">
            <w:pPr>
              <w:rPr>
                <w:b/>
              </w:rPr>
            </w:pPr>
            <w:r>
              <w:rPr>
                <w:b/>
              </w:rPr>
              <w:t>År:</w:t>
            </w:r>
            <w:r w:rsidR="00DB06A2">
              <w:rPr>
                <w:b/>
              </w:rPr>
              <w:t xml:space="preserve"> 2016</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4436" w14:textId="77777777" w:rsidR="001F0C97" w:rsidRDefault="009B1F50">
            <w:pPr>
              <w:rPr>
                <w:b/>
              </w:rPr>
            </w:pPr>
            <w:r>
              <w:rPr>
                <w:b/>
              </w:rPr>
              <w:t>Eksamenstype:</w:t>
            </w:r>
            <w:r w:rsidR="00DB06A2">
              <w:rPr>
                <w:b/>
              </w:rPr>
              <w:t xml:space="preserve"> skiftelig</w:t>
            </w:r>
          </w:p>
        </w:tc>
      </w:tr>
    </w:tbl>
    <w:p w14:paraId="0EB7C780" w14:textId="77777777" w:rsidR="001F0C97" w:rsidRDefault="001F0C97"/>
    <w:p w14:paraId="3B6D40AF" w14:textId="77777777" w:rsidR="001F0C97" w:rsidRDefault="001F0C97"/>
    <w:tbl>
      <w:tblPr>
        <w:tblW w:w="9828" w:type="dxa"/>
        <w:tblCellMar>
          <w:left w:w="10" w:type="dxa"/>
          <w:right w:w="10" w:type="dxa"/>
        </w:tblCellMar>
        <w:tblLook w:val="0000" w:firstRow="0" w:lastRow="0" w:firstColumn="0" w:lastColumn="0" w:noHBand="0" w:noVBand="0"/>
      </w:tblPr>
      <w:tblGrid>
        <w:gridCol w:w="9828"/>
      </w:tblGrid>
      <w:tr w:rsidR="001F0C97" w14:paraId="3125A348" w14:textId="77777777">
        <w:trPr>
          <w:trHeight w:val="5289"/>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427A" w14:textId="77777777" w:rsidR="001F0C97" w:rsidRDefault="009B1F50">
            <w:r>
              <w:t>Oppgaveteksten:</w:t>
            </w:r>
          </w:p>
          <w:p w14:paraId="539E3868" w14:textId="77777777" w:rsidR="00003C9E" w:rsidRPr="00003C9E" w:rsidRDefault="00003C9E" w:rsidP="00003C9E">
            <w:pPr>
              <w:suppressAutoHyphens w:val="0"/>
              <w:autoSpaceDN/>
              <w:textAlignment w:val="auto"/>
              <w:rPr>
                <w:color w:val="000000" w:themeColor="text1"/>
              </w:rPr>
            </w:pPr>
            <w:r w:rsidRPr="00003C9E">
              <w:rPr>
                <w:color w:val="000000" w:themeColor="text1"/>
              </w:rPr>
              <w:t>Kandidaten skal svare på alle oppgavene. Oppgave 1 er kortsvarsoppgave. Oppgave 2 er en langsvarsoppgave, og oppgave 3 er en fagdidaktisk oppgave. Oppgave 1 vektes omtrent 20%, oppgave 2 vektes omtrent 50% og oppgave 3 vektes omtrent 30%, men alle oppgavene må vurderes som bestått for at eksamen skal kunne vurderes til ståkarakter.</w:t>
            </w:r>
          </w:p>
          <w:p w14:paraId="77E6D1CF" w14:textId="77777777" w:rsidR="00003C9E" w:rsidRPr="00003C9E" w:rsidRDefault="00003C9E" w:rsidP="00003C9E">
            <w:pPr>
              <w:suppressAutoHyphens w:val="0"/>
              <w:autoSpaceDN/>
              <w:textAlignment w:val="auto"/>
              <w:rPr>
                <w:color w:val="000000" w:themeColor="text1"/>
              </w:rPr>
            </w:pPr>
          </w:p>
          <w:p w14:paraId="6D0BDED8" w14:textId="77777777" w:rsidR="00003C9E" w:rsidRPr="00003C9E" w:rsidRDefault="00003C9E" w:rsidP="00003C9E">
            <w:pPr>
              <w:suppressAutoHyphens w:val="0"/>
              <w:autoSpaceDN/>
              <w:textAlignment w:val="auto"/>
              <w:rPr>
                <w:color w:val="000000" w:themeColor="text1"/>
              </w:rPr>
            </w:pPr>
            <w:r w:rsidRPr="00003C9E">
              <w:rPr>
                <w:color w:val="000000" w:themeColor="text1"/>
              </w:rPr>
              <w:t>Oppgave 1.</w:t>
            </w:r>
          </w:p>
          <w:p w14:paraId="7B70ECFE" w14:textId="77777777" w:rsidR="00003C9E" w:rsidRPr="00003C9E" w:rsidRDefault="00003C9E" w:rsidP="00003C9E">
            <w:pPr>
              <w:suppressAutoHyphens w:val="0"/>
              <w:autoSpaceDN/>
              <w:textAlignment w:val="auto"/>
              <w:rPr>
                <w:color w:val="000000" w:themeColor="text1"/>
              </w:rPr>
            </w:pPr>
            <w:r w:rsidRPr="00003C9E">
              <w:rPr>
                <w:color w:val="000000" w:themeColor="text1"/>
              </w:rPr>
              <w:t>Definer begrepene og gjør greie for forholdet mellom dem.</w:t>
            </w:r>
          </w:p>
          <w:p w14:paraId="3640B519" w14:textId="77777777" w:rsidR="00003C9E" w:rsidRPr="00003C9E" w:rsidRDefault="00003C9E" w:rsidP="00003C9E">
            <w:pPr>
              <w:pStyle w:val="Listeavsnitt"/>
              <w:numPr>
                <w:ilvl w:val="0"/>
                <w:numId w:val="2"/>
              </w:numPr>
              <w:suppressAutoHyphens w:val="0"/>
              <w:autoSpaceDN/>
              <w:textAlignment w:val="auto"/>
              <w:rPr>
                <w:color w:val="000000" w:themeColor="text1"/>
              </w:rPr>
            </w:pPr>
            <w:r w:rsidRPr="00003C9E">
              <w:rPr>
                <w:color w:val="000000" w:themeColor="text1"/>
              </w:rPr>
              <w:t>Kultur og sosial rolle</w:t>
            </w:r>
          </w:p>
          <w:p w14:paraId="6B705E6A" w14:textId="77777777" w:rsidR="00003C9E" w:rsidRPr="00003C9E" w:rsidRDefault="00003C9E" w:rsidP="00003C9E">
            <w:pPr>
              <w:pStyle w:val="Listeavsnitt"/>
              <w:numPr>
                <w:ilvl w:val="0"/>
                <w:numId w:val="2"/>
              </w:numPr>
              <w:suppressAutoHyphens w:val="0"/>
              <w:autoSpaceDN/>
              <w:textAlignment w:val="auto"/>
              <w:rPr>
                <w:color w:val="000000" w:themeColor="text1"/>
              </w:rPr>
            </w:pPr>
            <w:r w:rsidRPr="00003C9E">
              <w:rPr>
                <w:color w:val="000000" w:themeColor="text1"/>
              </w:rPr>
              <w:t>Sosial ulikhet og sosial struktur</w:t>
            </w:r>
          </w:p>
          <w:p w14:paraId="50E2FCA5" w14:textId="77777777" w:rsidR="00003C9E" w:rsidRPr="00003C9E" w:rsidRDefault="00003C9E" w:rsidP="00003C9E">
            <w:pPr>
              <w:suppressAutoHyphens w:val="0"/>
              <w:autoSpaceDN/>
              <w:textAlignment w:val="auto"/>
              <w:rPr>
                <w:color w:val="000000" w:themeColor="text1"/>
              </w:rPr>
            </w:pPr>
          </w:p>
          <w:p w14:paraId="2F0334C3" w14:textId="77777777" w:rsidR="00003C9E" w:rsidRPr="00003C9E" w:rsidRDefault="00003C9E" w:rsidP="00003C9E">
            <w:pPr>
              <w:suppressAutoHyphens w:val="0"/>
              <w:autoSpaceDN/>
              <w:textAlignment w:val="auto"/>
              <w:rPr>
                <w:color w:val="000000" w:themeColor="text1"/>
              </w:rPr>
            </w:pPr>
            <w:r w:rsidRPr="00003C9E">
              <w:rPr>
                <w:color w:val="000000" w:themeColor="text1"/>
              </w:rPr>
              <w:t>Oppgave 2</w:t>
            </w:r>
          </w:p>
          <w:p w14:paraId="290BE91E" w14:textId="77777777" w:rsidR="00003C9E" w:rsidRPr="00003C9E" w:rsidRDefault="00003C9E" w:rsidP="00003C9E">
            <w:pPr>
              <w:rPr>
                <w:color w:val="000000" w:themeColor="text1"/>
              </w:rPr>
            </w:pPr>
            <w:r w:rsidRPr="00003C9E">
              <w:rPr>
                <w:color w:val="000000" w:themeColor="text1"/>
              </w:rPr>
              <w:t>Redegjør for sentrale trekk ved tidsepokene middelalder, renessanse og opplysningstid i Europa og drøft grunner til denne tidsinndelingen.</w:t>
            </w:r>
          </w:p>
          <w:p w14:paraId="48FAFA4A" w14:textId="77777777" w:rsidR="00003C9E" w:rsidRPr="00003C9E" w:rsidRDefault="00003C9E" w:rsidP="00003C9E">
            <w:pPr>
              <w:rPr>
                <w:color w:val="000000" w:themeColor="text1"/>
              </w:rPr>
            </w:pPr>
          </w:p>
          <w:p w14:paraId="5F60D348" w14:textId="77777777" w:rsidR="00003C9E" w:rsidRPr="00003C9E" w:rsidRDefault="00003C9E" w:rsidP="00003C9E">
            <w:pPr>
              <w:rPr>
                <w:color w:val="000000" w:themeColor="text1"/>
              </w:rPr>
            </w:pPr>
            <w:r w:rsidRPr="00003C9E">
              <w:rPr>
                <w:color w:val="000000" w:themeColor="text1"/>
              </w:rPr>
              <w:t>Oppgave 3</w:t>
            </w:r>
          </w:p>
          <w:p w14:paraId="2096484D" w14:textId="77777777" w:rsidR="00003C9E" w:rsidRPr="00003C9E" w:rsidRDefault="00003C9E" w:rsidP="00003C9E">
            <w:pPr>
              <w:rPr>
                <w:color w:val="000000" w:themeColor="text1"/>
              </w:rPr>
            </w:pPr>
            <w:r w:rsidRPr="00003C9E">
              <w:rPr>
                <w:color w:val="000000" w:themeColor="text1"/>
              </w:rPr>
              <w:t>Begrunn faglig og didaktisk hvorfor det er viktig å ha kjennskap til renessansen som historisk periode. Konkretiser gjerne den fagdidaktiske begrunnelsen med sentrale innholds- og nøkkelbegreper.</w:t>
            </w:r>
          </w:p>
          <w:p w14:paraId="40606EF7" w14:textId="77777777" w:rsidR="00DB06A2" w:rsidRDefault="00DB06A2"/>
          <w:p w14:paraId="4E8DCE06" w14:textId="77777777" w:rsidR="00C57D58" w:rsidRDefault="00C57D58"/>
        </w:tc>
      </w:tr>
      <w:tr w:rsidR="001F0C97" w14:paraId="0EAD45B6" w14:textId="77777777">
        <w:trPr>
          <w:trHeight w:val="4545"/>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5D89A" w14:textId="77777777" w:rsidR="001F0C97" w:rsidRDefault="009B1F50">
            <w:r>
              <w:t>Relevant pensumlitteratur:</w:t>
            </w:r>
          </w:p>
          <w:p w14:paraId="71833E72" w14:textId="77777777" w:rsidR="001F0C97" w:rsidRDefault="001F0C97"/>
          <w:p w14:paraId="52FF8596" w14:textId="77777777" w:rsidR="00003C9E" w:rsidRDefault="00003C9E" w:rsidP="00003C9E">
            <w:pPr>
              <w:pStyle w:val="Ingenavstand"/>
            </w:pPr>
            <w:r w:rsidRPr="00081ADF">
              <w:t xml:space="preserve">Helle, Knut m.fl. (2013). </w:t>
            </w:r>
            <w:r w:rsidRPr="00081ADF">
              <w:rPr>
                <w:i/>
                <w:iCs/>
              </w:rPr>
              <w:t>Grunnbok i Norges historie – fra vikingtid til våre dager</w:t>
            </w:r>
            <w:r w:rsidRPr="00081ADF">
              <w:t>. Oslo: Universitetsforlaget. (13–180)</w:t>
            </w:r>
          </w:p>
          <w:p w14:paraId="2FB4B42B" w14:textId="77777777" w:rsidR="00003C9E" w:rsidRDefault="00003C9E" w:rsidP="00444BED">
            <w:pPr>
              <w:rPr>
                <w:color w:val="000000"/>
                <w:szCs w:val="15"/>
              </w:rPr>
            </w:pPr>
          </w:p>
          <w:p w14:paraId="4270A5F2" w14:textId="77777777" w:rsidR="00444BED" w:rsidRPr="0036046B" w:rsidRDefault="00444BED" w:rsidP="00444BED">
            <w:pPr>
              <w:rPr>
                <w:color w:val="000000"/>
                <w:szCs w:val="15"/>
              </w:rPr>
            </w:pPr>
            <w:r w:rsidRPr="0036046B">
              <w:rPr>
                <w:color w:val="000000"/>
                <w:szCs w:val="15"/>
              </w:rPr>
              <w:t xml:space="preserve">Knutsen, G. (2006). </w:t>
            </w:r>
            <w:r w:rsidRPr="0036046B">
              <w:rPr>
                <w:rStyle w:val="Utheving"/>
                <w:color w:val="000000"/>
                <w:szCs w:val="15"/>
              </w:rPr>
              <w:t>Lange linjer i historien</w:t>
            </w:r>
            <w:r w:rsidRPr="0036046B">
              <w:rPr>
                <w:color w:val="000000"/>
                <w:szCs w:val="15"/>
              </w:rPr>
              <w:t>. Cappelen</w:t>
            </w:r>
          </w:p>
          <w:p w14:paraId="769B03F6" w14:textId="77777777" w:rsidR="00444BED" w:rsidRDefault="00444BED" w:rsidP="00DB06A2">
            <w:pPr>
              <w:rPr>
                <w:color w:val="000000"/>
                <w:szCs w:val="15"/>
              </w:rPr>
            </w:pPr>
          </w:p>
          <w:p w14:paraId="33F3E669" w14:textId="77777777" w:rsidR="00DB06A2" w:rsidRPr="0036046B" w:rsidRDefault="00DB06A2" w:rsidP="00DB06A2">
            <w:pPr>
              <w:rPr>
                <w:color w:val="000000"/>
                <w:szCs w:val="15"/>
              </w:rPr>
            </w:pPr>
            <w:r w:rsidRPr="0036046B">
              <w:rPr>
                <w:color w:val="000000"/>
                <w:szCs w:val="15"/>
              </w:rPr>
              <w:t xml:space="preserve">Lund, E. (2011). </w:t>
            </w:r>
            <w:r w:rsidRPr="0036046B">
              <w:rPr>
                <w:rStyle w:val="Utheving"/>
                <w:color w:val="000000"/>
                <w:szCs w:val="15"/>
              </w:rPr>
              <w:t xml:space="preserve">Historiedidaktikk: en håndbok for studenter og lærere </w:t>
            </w:r>
            <w:r w:rsidRPr="0036046B">
              <w:rPr>
                <w:color w:val="000000"/>
                <w:szCs w:val="15"/>
              </w:rPr>
              <w:t xml:space="preserve">(4. utg.). Oslo: Universitetsforlaget. s. 12–191 </w:t>
            </w:r>
          </w:p>
          <w:p w14:paraId="2EDB0F4E" w14:textId="77777777" w:rsidR="00DB06A2" w:rsidRPr="0036046B" w:rsidRDefault="00DB06A2" w:rsidP="00DB06A2">
            <w:pPr>
              <w:rPr>
                <w:color w:val="000000"/>
                <w:szCs w:val="15"/>
              </w:rPr>
            </w:pPr>
          </w:p>
          <w:p w14:paraId="24E6EFEA" w14:textId="77777777" w:rsidR="00DB06A2" w:rsidRDefault="00DB06A2" w:rsidP="00DB06A2">
            <w:pPr>
              <w:rPr>
                <w:color w:val="000000"/>
                <w:szCs w:val="15"/>
              </w:rPr>
            </w:pPr>
            <w:r w:rsidRPr="0036046B">
              <w:rPr>
                <w:color w:val="000000"/>
                <w:szCs w:val="15"/>
              </w:rPr>
              <w:t xml:space="preserve">Martinussen, Willy (2008). </w:t>
            </w:r>
            <w:r w:rsidRPr="0036046B">
              <w:rPr>
                <w:rStyle w:val="Utheving"/>
                <w:color w:val="000000"/>
                <w:szCs w:val="15"/>
              </w:rPr>
              <w:t>Samfunnsliv: Innføring i sosiologiske tenkemåter.</w:t>
            </w:r>
            <w:r w:rsidRPr="0036046B">
              <w:rPr>
                <w:color w:val="000000"/>
                <w:szCs w:val="15"/>
              </w:rPr>
              <w:t xml:space="preserve"> Oslo: Universitetsforlaget.</w:t>
            </w:r>
          </w:p>
          <w:p w14:paraId="4A8EAFE9" w14:textId="77777777" w:rsidR="00444BED" w:rsidRDefault="00444BED" w:rsidP="00DB06A2">
            <w:pPr>
              <w:rPr>
                <w:color w:val="000000"/>
                <w:szCs w:val="15"/>
              </w:rPr>
            </w:pPr>
          </w:p>
          <w:p w14:paraId="5EFF578F" w14:textId="77777777" w:rsidR="00444BED" w:rsidRDefault="00444BED" w:rsidP="00444BED">
            <w:pPr>
              <w:pStyle w:val="Ingenavstand"/>
              <w:rPr>
                <w:lang w:val="nn-NO"/>
              </w:rPr>
            </w:pPr>
            <w:r w:rsidRPr="00081ADF">
              <w:rPr>
                <w:lang w:val="nn-NO"/>
              </w:rPr>
              <w:t xml:space="preserve">Melve, Leidulf (2009). </w:t>
            </w:r>
            <w:r w:rsidRPr="00081ADF">
              <w:rPr>
                <w:i/>
                <w:iCs/>
                <w:lang w:val="nn-NO"/>
              </w:rPr>
              <w:t>Europeisk politisk historie 400–1750</w:t>
            </w:r>
            <w:r w:rsidRPr="00081ADF">
              <w:rPr>
                <w:lang w:val="nn-NO"/>
              </w:rPr>
              <w:t xml:space="preserve">. Oslo: Cappelen akademisk. (s. 13–285) </w:t>
            </w:r>
          </w:p>
          <w:p w14:paraId="04CEE198" w14:textId="77777777" w:rsidR="00444BED" w:rsidRDefault="00444BED" w:rsidP="00444BED">
            <w:pPr>
              <w:pStyle w:val="Ingenavstand"/>
              <w:rPr>
                <w:lang w:val="nn-NO"/>
              </w:rPr>
            </w:pPr>
          </w:p>
          <w:p w14:paraId="0FB13321" w14:textId="77777777" w:rsidR="00444BED" w:rsidRPr="00444BED" w:rsidRDefault="00444BED" w:rsidP="00444BED">
            <w:pPr>
              <w:pStyle w:val="Ingenavstand"/>
            </w:pPr>
            <w:r w:rsidRPr="00444BED">
              <w:t xml:space="preserve">Wilkinson, Richard &amp; Kate Picket (2012). </w:t>
            </w:r>
            <w:r w:rsidRPr="00444BED">
              <w:rPr>
                <w:i/>
              </w:rPr>
              <w:t>Ulikhetens pris: Hvorfor likere fordeling er bedre for alle.</w:t>
            </w:r>
            <w:r w:rsidRPr="00444BED">
              <w:t xml:space="preserve"> Oslo: Res Publica</w:t>
            </w:r>
          </w:p>
          <w:p w14:paraId="1C03213A" w14:textId="77777777" w:rsidR="001F0C97" w:rsidRDefault="001F0C97"/>
          <w:p w14:paraId="3F1E764D" w14:textId="77777777" w:rsidR="001F0C97" w:rsidRDefault="00DB06A2">
            <w:r>
              <w:lastRenderedPageBreak/>
              <w:t>Forelesninger</w:t>
            </w:r>
          </w:p>
        </w:tc>
      </w:tr>
    </w:tbl>
    <w:p w14:paraId="28581383" w14:textId="77777777" w:rsidR="001F0C97" w:rsidRDefault="001F0C97">
      <w:pPr>
        <w:pageBreakBefore/>
      </w:pPr>
    </w:p>
    <w:tbl>
      <w:tblPr>
        <w:tblW w:w="9828" w:type="dxa"/>
        <w:tblCellMar>
          <w:left w:w="10" w:type="dxa"/>
          <w:right w:w="10" w:type="dxa"/>
        </w:tblCellMar>
        <w:tblLook w:val="0000" w:firstRow="0" w:lastRow="0" w:firstColumn="0" w:lastColumn="0" w:noHBand="0" w:noVBand="0"/>
      </w:tblPr>
      <w:tblGrid>
        <w:gridCol w:w="9828"/>
      </w:tblGrid>
      <w:tr w:rsidR="001F0C97" w14:paraId="053B0957" w14:textId="77777777">
        <w:trPr>
          <w:trHeight w:val="6179"/>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14B80" w14:textId="77777777" w:rsidR="001F0C97" w:rsidRDefault="009B1F50">
            <w:r>
              <w:t>Eksamenskrav:</w:t>
            </w:r>
          </w:p>
          <w:p w14:paraId="24EA4F35" w14:textId="77777777" w:rsidR="001F0C97" w:rsidRDefault="001F0C97"/>
          <w:p w14:paraId="4BED78B3" w14:textId="77777777" w:rsidR="001F0C97" w:rsidRDefault="009B1F50">
            <w:r>
              <w:t>Innhold</w:t>
            </w:r>
          </w:p>
          <w:p w14:paraId="703C39B3" w14:textId="77777777" w:rsidR="00DB4D59" w:rsidRDefault="00DB4D59"/>
          <w:p w14:paraId="517E7D97" w14:textId="77777777" w:rsidR="001F0C97" w:rsidRDefault="00FD3FF0">
            <w:r>
              <w:t>Oppgave 1</w:t>
            </w:r>
          </w:p>
          <w:p w14:paraId="7CA4E38B" w14:textId="77777777" w:rsidR="00FD3FF0" w:rsidRDefault="00FD3FF0" w:rsidP="00FD3FF0">
            <w:pPr>
              <w:suppressAutoHyphens w:val="0"/>
              <w:autoSpaceDE w:val="0"/>
              <w:adjustRightInd w:val="0"/>
              <w:textAlignment w:val="auto"/>
            </w:pPr>
            <w:r w:rsidRPr="0036046B">
              <w:t>En god besvarelse bør først redegjøre for de enkelte begrepene inn</w:t>
            </w:r>
            <w:r>
              <w:t xml:space="preserve">en begrepsparet for deretter å </w:t>
            </w:r>
            <w:r w:rsidRPr="0036046B">
              <w:t>kort drøfte forbindelse mellom dem. En forutsetning for å få høy uttel</w:t>
            </w:r>
            <w:r>
              <w:t xml:space="preserve">ling er at kandidaten mestrer å </w:t>
            </w:r>
            <w:r w:rsidRPr="0036046B">
              <w:t>se forbindelsene mellom begrepene.</w:t>
            </w:r>
          </w:p>
          <w:p w14:paraId="5CBA3598" w14:textId="77777777" w:rsidR="00F518D2" w:rsidRDefault="00F518D2" w:rsidP="00FD3FF0">
            <w:pPr>
              <w:suppressAutoHyphens w:val="0"/>
              <w:autoSpaceDE w:val="0"/>
              <w:adjustRightInd w:val="0"/>
              <w:textAlignment w:val="auto"/>
            </w:pPr>
          </w:p>
          <w:p w14:paraId="6EA6E9D9" w14:textId="77777777" w:rsidR="00C57D58" w:rsidRPr="004B2B7D" w:rsidRDefault="00C57D58" w:rsidP="00C57D58">
            <w:r w:rsidRPr="004B2B7D">
              <w:t>Oppgave 2</w:t>
            </w:r>
          </w:p>
          <w:p w14:paraId="14661DAD" w14:textId="77777777" w:rsidR="00C57D58" w:rsidRDefault="00C57D58" w:rsidP="00C57D58">
            <w:r>
              <w:t>Besvarelsen bør åpne med en presisering av problemstillingen og definisjon av nøkkelbegrepet «tidsepoke». Kandidaten må omtrentlig tidfeste middelalder (fra romerrikets fall ca 500 til 1300/1400-tallet, senest 1453); renessansen (1300/1400-tallet til ca 1600) og opplysningstid (1680-tallet til 1789). Det er fint om kandidaten presiserer at tidsangivelsene kan variere mellom land, og at f. eks. renessansen kom senere til Norden og Norge enn Italia. Besvarelsen kan med fordel også inneholde en forklaring på hva de ulike periodebetegnelsene betyr og hvordan de henger sammen; at middelalderen er en betegnelse som peker på tidsrommet mellom romerrikets fall og renessansen, og at renessansen betyr «gjenfødelse» og en forklaring på hva det er som gjenfødes. Dersom kandidaten problematiserer forestillingen om renessansen som en «gjenfødelse» av antikken er det fint.</w:t>
            </w:r>
          </w:p>
          <w:p w14:paraId="2C8D226E" w14:textId="77777777" w:rsidR="00C57D58" w:rsidRDefault="00C57D58" w:rsidP="00C57D58">
            <w:r>
              <w:t>Besvarelsen bør inneholde sentrale kjennetegn ved de tre tidsepokene</w:t>
            </w:r>
          </w:p>
          <w:p w14:paraId="3D6EB2B9" w14:textId="77777777" w:rsidR="00C57D58" w:rsidRDefault="00C57D58" w:rsidP="00C57D58">
            <w:r>
              <w:t xml:space="preserve">Middelalderen: Periodisering innen middelalderen: tidlig M. til ca 1050; høymiddelalder til ca. 1300; senmiddelalder til ca 1450. Kollektiv kirkekultur. Orientert mot det hinsidige. Føydalsamfunn. Pavemakt mot kongemakt. Korstog. Det er fint om kandidaten om problematiserer middelalderens dårlige rykte. </w:t>
            </w:r>
          </w:p>
          <w:p w14:paraId="5ACB3819" w14:textId="77777777" w:rsidR="00C57D58" w:rsidRDefault="00C57D58" w:rsidP="00C57D58">
            <w:r>
              <w:t xml:space="preserve">Renessansen: Sentrert i Nord-Italia og Flandern (Benelux). Basis i handelskapitalisme. Individualiserende. Humanismen. Kjennetegnet ved nytolkning av den klassiske arven – anknytter til antikken. Vitenskap: den Kopernikanske vending (astronomi); Leonardo DaVinci – universalgeniet; tekniske nyvinninger som kikkert og boktrykkerkunsten. Kunsten orienterer seg mot mennesket. Sentralt i renessansen sto gjenoppdagelsen av mange antikke tekster, og tekstfilologi var en nøkkel i denne gjenoppdagelsen. Perioden er også kjennetegnet ved de store oppdagelsene og reformasjonen.  </w:t>
            </w:r>
          </w:p>
          <w:p w14:paraId="41340F91" w14:textId="77777777" w:rsidR="00C57D58" w:rsidRDefault="00C57D58" w:rsidP="00C57D58">
            <w:r>
              <w:t xml:space="preserve">Opplysningstiden: en intellektuell bevegelse med røtter i den vitenskapelige revolusjon på 1600-tallet som fremhevet fornuften som rettesnor. Empirisk orientert. Materialistisk. Autoritetskritisk. Kritisk mot kirkens stilling i samfunnet. Kritisk mot den eneveldige statsform. Fremtidsoptimisme. Folket skulle opplyses. Sentrale personer kan være: Newton; Linné; Voltaire; Rousseau; Montesquieu; Hume; </w:t>
            </w:r>
          </w:p>
          <w:p w14:paraId="05460A84" w14:textId="77777777" w:rsidR="00C57D58" w:rsidRDefault="00C57D58" w:rsidP="00C57D58">
            <w:r>
              <w:t>En forutsetning for ståkarakter på denne oppgaven er at kandidaten uttrykker en forståelse for at epoker i historien er historiske konstruksjoner. En god besvarelse klarer i tillegg på en nyansert måte å identifisere og definere epokene godt, redegjøre for deres sentrale kjennetegn og drøfte grunnene til inndelingene.</w:t>
            </w:r>
          </w:p>
          <w:p w14:paraId="6B0E1F73" w14:textId="77777777" w:rsidR="00C57D58" w:rsidRDefault="00C57D58" w:rsidP="00FD3FF0">
            <w:pPr>
              <w:suppressAutoHyphens w:val="0"/>
              <w:autoSpaceDE w:val="0"/>
              <w:adjustRightInd w:val="0"/>
              <w:textAlignment w:val="auto"/>
            </w:pPr>
          </w:p>
          <w:p w14:paraId="17D97325" w14:textId="77777777" w:rsidR="00C57D58" w:rsidRPr="004B2B7D" w:rsidRDefault="00C57D58" w:rsidP="00C57D58">
            <w:r w:rsidRPr="004B2B7D">
              <w:t>Oppgave 3</w:t>
            </w:r>
          </w:p>
          <w:p w14:paraId="0C23095E" w14:textId="77777777" w:rsidR="00C57D58" w:rsidRPr="004B2B7D" w:rsidRDefault="00C57D58" w:rsidP="00C57D58">
            <w:r>
              <w:t xml:space="preserve">Denne oppgaven gir anledning til å utdype i forhold til oppgave 2 om renessansen som historisk periode. Sentrale momenter som bør med er humanismen, det kopernikanske verdensbilde, de store oppdagelsene og reformasjonen. Mange av de samfunnstrekk som kjennetegner vår verden av i dag kan spores tilbake til denne perioden. Det forutsettes at kandidaten definerer hva som menes med innholds- og nøkkelbegreper, og klarer å bruke de to kategoriene på renessansen som historisk periode. </w:t>
            </w:r>
          </w:p>
          <w:p w14:paraId="372B1418" w14:textId="77777777" w:rsidR="00D46EB7" w:rsidRDefault="00D46EB7" w:rsidP="00FD3FF0">
            <w:pPr>
              <w:suppressAutoHyphens w:val="0"/>
              <w:autoSpaceDE w:val="0"/>
              <w:adjustRightInd w:val="0"/>
              <w:textAlignment w:val="auto"/>
            </w:pPr>
          </w:p>
          <w:p w14:paraId="0AAEB85C" w14:textId="77777777" w:rsidR="001F0C97" w:rsidRDefault="001F0C97"/>
          <w:p w14:paraId="6BE35A84" w14:textId="77777777" w:rsidR="00C57D58" w:rsidRDefault="009B1F50">
            <w:r>
              <w:t xml:space="preserve">Form/struktur/språklig </w:t>
            </w:r>
            <w:r w:rsidR="00FD3FF0">
              <w:t>fremstilling</w:t>
            </w:r>
            <w:r>
              <w:t xml:space="preserve"> og logisk sammenheng</w:t>
            </w:r>
          </w:p>
          <w:p w14:paraId="0C146388" w14:textId="77777777" w:rsidR="001F0C97" w:rsidRDefault="00FD3FF0">
            <w:r>
              <w:t>Generelt skal klar struktur faglig så vel som logisk samt en presis språklig fremstillingsform belønnes.</w:t>
            </w:r>
          </w:p>
        </w:tc>
      </w:tr>
    </w:tbl>
    <w:p w14:paraId="44E1F32C" w14:textId="77777777" w:rsidR="001F0C97" w:rsidRDefault="001F0C97">
      <w:pPr>
        <w:rPr>
          <w:b/>
        </w:rPr>
      </w:pPr>
    </w:p>
    <w:tbl>
      <w:tblPr>
        <w:tblW w:w="9828" w:type="dxa"/>
        <w:tblCellMar>
          <w:left w:w="10" w:type="dxa"/>
          <w:right w:w="10" w:type="dxa"/>
        </w:tblCellMar>
        <w:tblLook w:val="0000" w:firstRow="0" w:lastRow="0" w:firstColumn="0" w:lastColumn="0" w:noHBand="0" w:noVBand="0"/>
      </w:tblPr>
      <w:tblGrid>
        <w:gridCol w:w="9828"/>
      </w:tblGrid>
      <w:tr w:rsidR="001F0C97" w14:paraId="13E74C11" w14:textId="77777777">
        <w:trPr>
          <w:trHeight w:val="2607"/>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AB0A" w14:textId="77777777" w:rsidR="001F0C97" w:rsidRDefault="009B1F50">
            <w:r>
              <w:lastRenderedPageBreak/>
              <w:t>Oppgavens karakter – Tolking av oppgaveteksten</w:t>
            </w:r>
          </w:p>
          <w:p w14:paraId="04C06020" w14:textId="77777777" w:rsidR="001F0C97" w:rsidRDefault="00FD3FF0">
            <w:r>
              <w:t>Se eksamenskrav</w:t>
            </w:r>
          </w:p>
          <w:p w14:paraId="633455A8" w14:textId="77777777" w:rsidR="001F0C97" w:rsidRDefault="001F0C97"/>
          <w:p w14:paraId="69C70A69" w14:textId="77777777" w:rsidR="001F0C97" w:rsidRDefault="001F0C97"/>
        </w:tc>
      </w:tr>
    </w:tbl>
    <w:p w14:paraId="2B5DED90" w14:textId="77777777" w:rsidR="001F0C97" w:rsidRDefault="001F0C97">
      <w:pPr>
        <w:rPr>
          <w:b/>
        </w:rPr>
      </w:pPr>
    </w:p>
    <w:tbl>
      <w:tblPr>
        <w:tblW w:w="9828" w:type="dxa"/>
        <w:tblCellMar>
          <w:left w:w="10" w:type="dxa"/>
          <w:right w:w="10" w:type="dxa"/>
        </w:tblCellMar>
        <w:tblLook w:val="0000" w:firstRow="0" w:lastRow="0" w:firstColumn="0" w:lastColumn="0" w:noHBand="0" w:noVBand="0"/>
      </w:tblPr>
      <w:tblGrid>
        <w:gridCol w:w="9828"/>
      </w:tblGrid>
      <w:tr w:rsidR="001F0C97" w14:paraId="449D5049" w14:textId="77777777">
        <w:trPr>
          <w:trHeight w:val="1331"/>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686E" w14:textId="77777777" w:rsidR="001F0C97" w:rsidRDefault="001F0C97"/>
          <w:p w14:paraId="460629DD" w14:textId="77777777" w:rsidR="001F0C97" w:rsidRDefault="001F0C97"/>
          <w:p w14:paraId="7580DE52" w14:textId="77777777" w:rsidR="001F0C97" w:rsidRDefault="001F0C97"/>
          <w:p w14:paraId="6BDDE43A" w14:textId="77777777" w:rsidR="001F0C97" w:rsidRDefault="009B1F50">
            <w:r>
              <w:t xml:space="preserve">   </w:t>
            </w:r>
            <w:r w:rsidR="00003C9E">
              <w:t xml:space="preserve">     15</w:t>
            </w:r>
            <w:bookmarkStart w:id="0" w:name="_GoBack"/>
            <w:bookmarkEnd w:id="0"/>
            <w:r w:rsidR="00FD3FF0">
              <w:t>.11.16                                                                                        Kjersti Eggen Dahl</w:t>
            </w:r>
            <w:r>
              <w:t xml:space="preserve">    </w:t>
            </w:r>
          </w:p>
          <w:p w14:paraId="3A896966" w14:textId="77777777" w:rsidR="001F0C97" w:rsidRDefault="009B1F50">
            <w:r>
              <w:t xml:space="preserve">        </w:t>
            </w:r>
            <w:r>
              <w:rPr>
                <w:i/>
                <w:sz w:val="22"/>
                <w:szCs w:val="22"/>
              </w:rPr>
              <w:t>Dato/sted                                                                                             Faglærer/oppgavegiver/-et</w:t>
            </w:r>
          </w:p>
        </w:tc>
      </w:tr>
    </w:tbl>
    <w:p w14:paraId="621DDF61" w14:textId="77777777" w:rsidR="001F0C97" w:rsidRDefault="001F0C97">
      <w:pPr>
        <w:pStyle w:val="Normalweb"/>
        <w:rPr>
          <w:color w:val="000000"/>
          <w:sz w:val="20"/>
          <w:szCs w:val="20"/>
        </w:rPr>
      </w:pPr>
    </w:p>
    <w:p w14:paraId="2F0F646E" w14:textId="77777777" w:rsidR="001F0C97" w:rsidRDefault="009B1F50">
      <w:r>
        <w:rPr>
          <w:color w:val="000000"/>
          <w:sz w:val="20"/>
          <w:szCs w:val="20"/>
        </w:rPr>
        <w:t>Ved eksamen benyttes følgende karakterskala:</w:t>
      </w:r>
    </w:p>
    <w:tbl>
      <w:tblPr>
        <w:tblW w:w="4790" w:type="pct"/>
        <w:tblCellMar>
          <w:left w:w="10" w:type="dxa"/>
          <w:right w:w="10" w:type="dxa"/>
        </w:tblCellMar>
        <w:tblLook w:val="0000" w:firstRow="0" w:lastRow="0" w:firstColumn="0" w:lastColumn="0" w:noHBand="0" w:noVBand="0"/>
      </w:tblPr>
      <w:tblGrid>
        <w:gridCol w:w="1157"/>
        <w:gridCol w:w="1605"/>
        <w:gridCol w:w="7036"/>
      </w:tblGrid>
      <w:tr w:rsidR="001F0C97" w14:paraId="58A90EC7" w14:textId="7777777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C8CA1C7" w14:textId="77777777" w:rsidR="001F0C97" w:rsidRDefault="009B1F50">
            <w:pPr>
              <w:jc w:val="center"/>
            </w:pPr>
            <w:r>
              <w:rPr>
                <w:b/>
                <w:bCs/>
                <w:i/>
                <w:iCs/>
                <w:color w:val="000000"/>
                <w:sz w:val="20"/>
                <w:szCs w:val="20"/>
              </w:rPr>
              <w:t>Symbol</w:t>
            </w:r>
            <w:r>
              <w:rPr>
                <w:b/>
                <w:bCs/>
                <w:color w:val="000000"/>
                <w:sz w:val="20"/>
                <w:szCs w:val="20"/>
              </w:rPr>
              <w:t xml:space="preserve">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A275CFC" w14:textId="77777777" w:rsidR="001F0C97" w:rsidRDefault="009B1F50">
            <w:r>
              <w:rPr>
                <w:b/>
                <w:bCs/>
                <w:i/>
                <w:iCs/>
                <w:color w:val="000000"/>
                <w:sz w:val="20"/>
                <w:szCs w:val="20"/>
              </w:rPr>
              <w:t>Betegnelse</w:t>
            </w:r>
            <w:r>
              <w:rPr>
                <w:b/>
                <w:bCs/>
                <w:color w:val="000000"/>
                <w:sz w:val="20"/>
                <w:szCs w:val="20"/>
              </w:rPr>
              <w:t xml:space="preserve">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326F59C" w14:textId="77777777" w:rsidR="001F0C97" w:rsidRDefault="009B1F50">
            <w:r>
              <w:rPr>
                <w:b/>
                <w:bCs/>
                <w:i/>
                <w:iCs/>
                <w:color w:val="000000"/>
                <w:sz w:val="20"/>
                <w:szCs w:val="20"/>
              </w:rPr>
              <w:t>Generell, kvalitativ beskrivelse av vurderingskriterier</w:t>
            </w:r>
            <w:r>
              <w:rPr>
                <w:b/>
                <w:bCs/>
                <w:color w:val="000000"/>
                <w:sz w:val="20"/>
                <w:szCs w:val="20"/>
              </w:rPr>
              <w:t xml:space="preserve"> </w:t>
            </w:r>
          </w:p>
        </w:tc>
      </w:tr>
      <w:tr w:rsidR="001F0C97" w14:paraId="1E395A5C" w14:textId="7777777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8A8CF78" w14:textId="77777777" w:rsidR="001F0C97" w:rsidRDefault="009B1F50">
            <w:pPr>
              <w:jc w:val="center"/>
              <w:rPr>
                <w:color w:val="000000"/>
                <w:sz w:val="20"/>
                <w:szCs w:val="20"/>
              </w:rPr>
            </w:pPr>
            <w:r>
              <w:rPr>
                <w:color w:val="000000"/>
                <w:sz w:val="20"/>
                <w:szCs w:val="20"/>
              </w:rPr>
              <w:t xml:space="preserve">A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F2C0D01" w14:textId="77777777" w:rsidR="001F0C97" w:rsidRDefault="009B1F50">
            <w:pPr>
              <w:rPr>
                <w:color w:val="000000"/>
                <w:sz w:val="20"/>
                <w:szCs w:val="20"/>
              </w:rPr>
            </w:pPr>
            <w:r>
              <w:rPr>
                <w:color w:val="000000"/>
                <w:sz w:val="20"/>
                <w:szCs w:val="20"/>
              </w:rPr>
              <w:t xml:space="preserve">Fremragende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7FBB41B" w14:textId="77777777" w:rsidR="001F0C97" w:rsidRDefault="009B1F50">
            <w:pPr>
              <w:rPr>
                <w:color w:val="000000"/>
                <w:sz w:val="20"/>
                <w:szCs w:val="20"/>
              </w:rPr>
            </w:pPr>
            <w:r>
              <w:rPr>
                <w:color w:val="000000"/>
                <w:sz w:val="20"/>
                <w:szCs w:val="20"/>
              </w:rPr>
              <w:t xml:space="preserve">Fremragende prestasjon som klart utmerker seg. Viser svært god vurderingsevne og stor grad av selvstendighet. </w:t>
            </w:r>
          </w:p>
        </w:tc>
      </w:tr>
      <w:tr w:rsidR="001F0C97" w14:paraId="3796D482" w14:textId="7777777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94C3A24" w14:textId="77777777" w:rsidR="001F0C97" w:rsidRDefault="009B1F50">
            <w:pPr>
              <w:jc w:val="center"/>
              <w:rPr>
                <w:color w:val="000000"/>
                <w:sz w:val="20"/>
                <w:szCs w:val="20"/>
              </w:rPr>
            </w:pPr>
            <w:r>
              <w:rPr>
                <w:color w:val="000000"/>
                <w:sz w:val="20"/>
                <w:szCs w:val="20"/>
              </w:rPr>
              <w:t xml:space="preserve">B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C5F2BD5" w14:textId="77777777" w:rsidR="001F0C97" w:rsidRDefault="009B1F50">
            <w:pPr>
              <w:rPr>
                <w:color w:val="000000"/>
                <w:sz w:val="20"/>
                <w:szCs w:val="20"/>
              </w:rPr>
            </w:pPr>
            <w:r>
              <w:rPr>
                <w:color w:val="000000"/>
                <w:sz w:val="20"/>
                <w:szCs w:val="20"/>
              </w:rPr>
              <w:t xml:space="preserve">Meget 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A213910" w14:textId="77777777" w:rsidR="001F0C97" w:rsidRDefault="009B1F50">
            <w:pPr>
              <w:rPr>
                <w:color w:val="000000"/>
                <w:sz w:val="20"/>
                <w:szCs w:val="20"/>
              </w:rPr>
            </w:pPr>
            <w:r>
              <w:rPr>
                <w:color w:val="000000"/>
                <w:sz w:val="20"/>
                <w:szCs w:val="20"/>
              </w:rPr>
              <w:t xml:space="preserve">Meget god prestasjon. Kandidaten viser meget god vurderingsevne og selvstendighet. </w:t>
            </w:r>
          </w:p>
        </w:tc>
      </w:tr>
      <w:tr w:rsidR="001F0C97" w14:paraId="33D852D1" w14:textId="7777777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06353D2" w14:textId="77777777" w:rsidR="001F0C97" w:rsidRDefault="009B1F50">
            <w:pPr>
              <w:jc w:val="center"/>
              <w:rPr>
                <w:color w:val="000000"/>
                <w:sz w:val="20"/>
                <w:szCs w:val="20"/>
              </w:rPr>
            </w:pPr>
            <w:r>
              <w:rPr>
                <w:color w:val="000000"/>
                <w:sz w:val="20"/>
                <w:szCs w:val="20"/>
              </w:rPr>
              <w:t xml:space="preserve">C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D937BE6" w14:textId="77777777" w:rsidR="001F0C97" w:rsidRDefault="009B1F50">
            <w:pPr>
              <w:rPr>
                <w:color w:val="000000"/>
                <w:sz w:val="20"/>
                <w:szCs w:val="20"/>
              </w:rPr>
            </w:pPr>
            <w:r>
              <w:rPr>
                <w:color w:val="000000"/>
                <w:sz w:val="20"/>
                <w:szCs w:val="20"/>
              </w:rPr>
              <w:t xml:space="preserve">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E0513E0" w14:textId="77777777" w:rsidR="001F0C97" w:rsidRDefault="009B1F50">
            <w:pPr>
              <w:rPr>
                <w:color w:val="000000"/>
                <w:sz w:val="20"/>
                <w:szCs w:val="20"/>
              </w:rPr>
            </w:pPr>
            <w:r>
              <w:rPr>
                <w:color w:val="000000"/>
                <w:sz w:val="20"/>
                <w:szCs w:val="20"/>
              </w:rPr>
              <w:t xml:space="preserve">Jevnt god prestasjon som er tilfredsstillende på de fleste områder. Kandidaten viser god vurderingsevne og selvstendighet på de viktigste områdene. </w:t>
            </w:r>
          </w:p>
        </w:tc>
      </w:tr>
      <w:tr w:rsidR="001F0C97" w14:paraId="3C6A498D" w14:textId="7777777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CEDD89F" w14:textId="77777777" w:rsidR="001F0C97" w:rsidRDefault="009B1F50">
            <w:pPr>
              <w:jc w:val="center"/>
              <w:rPr>
                <w:color w:val="000000"/>
                <w:sz w:val="20"/>
                <w:szCs w:val="20"/>
              </w:rPr>
            </w:pPr>
            <w:r>
              <w:rPr>
                <w:color w:val="000000"/>
                <w:sz w:val="20"/>
                <w:szCs w:val="20"/>
              </w:rPr>
              <w:t xml:space="preserve">D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B9C042F" w14:textId="77777777" w:rsidR="001F0C97" w:rsidRDefault="009B1F50">
            <w:pPr>
              <w:rPr>
                <w:color w:val="000000"/>
                <w:sz w:val="20"/>
                <w:szCs w:val="20"/>
              </w:rPr>
            </w:pPr>
            <w:r>
              <w:rPr>
                <w:color w:val="000000"/>
                <w:sz w:val="20"/>
                <w:szCs w:val="20"/>
              </w:rPr>
              <w:t xml:space="preserve">Nokså 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B59504C" w14:textId="77777777" w:rsidR="001F0C97" w:rsidRDefault="009B1F50">
            <w:pPr>
              <w:rPr>
                <w:color w:val="000000"/>
                <w:sz w:val="20"/>
                <w:szCs w:val="20"/>
              </w:rPr>
            </w:pPr>
            <w:r>
              <w:rPr>
                <w:color w:val="000000"/>
                <w:sz w:val="20"/>
                <w:szCs w:val="20"/>
              </w:rPr>
              <w:t xml:space="preserve">En akseptabel prestasjon med noen vesentlige mangler. Kandidaten viser en viss grad av vurderingsevne og selvstendighet. </w:t>
            </w:r>
          </w:p>
        </w:tc>
      </w:tr>
      <w:tr w:rsidR="001F0C97" w14:paraId="0F7B0F66" w14:textId="7777777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4948D2C" w14:textId="77777777" w:rsidR="001F0C97" w:rsidRDefault="009B1F50">
            <w:pPr>
              <w:jc w:val="center"/>
              <w:rPr>
                <w:color w:val="000000"/>
                <w:sz w:val="20"/>
                <w:szCs w:val="20"/>
              </w:rPr>
            </w:pPr>
            <w:r>
              <w:rPr>
                <w:color w:val="000000"/>
                <w:sz w:val="20"/>
                <w:szCs w:val="20"/>
              </w:rPr>
              <w:t xml:space="preserve">E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1F8C0DA" w14:textId="77777777" w:rsidR="001F0C97" w:rsidRDefault="009B1F50">
            <w:pPr>
              <w:rPr>
                <w:color w:val="000000"/>
                <w:sz w:val="20"/>
                <w:szCs w:val="20"/>
              </w:rPr>
            </w:pPr>
            <w:r>
              <w:rPr>
                <w:color w:val="000000"/>
                <w:sz w:val="20"/>
                <w:szCs w:val="20"/>
              </w:rPr>
              <w:t xml:space="preserve">Tilstrekkelig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F0B4C4E" w14:textId="77777777" w:rsidR="001F0C97" w:rsidRDefault="009B1F50">
            <w:pPr>
              <w:rPr>
                <w:color w:val="000000"/>
                <w:sz w:val="20"/>
                <w:szCs w:val="20"/>
              </w:rPr>
            </w:pPr>
            <w:r>
              <w:rPr>
                <w:color w:val="000000"/>
                <w:sz w:val="20"/>
                <w:szCs w:val="20"/>
              </w:rPr>
              <w:t xml:space="preserve">Prestasjon som tilfredsstiller minimumskravene, men heller ikke mer. Kandidaten viser liten vurderingsevne og selvstendighet. </w:t>
            </w:r>
          </w:p>
        </w:tc>
      </w:tr>
      <w:tr w:rsidR="001F0C97" w14:paraId="055DB423" w14:textId="7777777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F0A8555" w14:textId="77777777" w:rsidR="001F0C97" w:rsidRDefault="009B1F50">
            <w:pPr>
              <w:jc w:val="center"/>
              <w:rPr>
                <w:color w:val="000000"/>
                <w:sz w:val="20"/>
                <w:szCs w:val="20"/>
              </w:rPr>
            </w:pPr>
            <w:r>
              <w:rPr>
                <w:color w:val="000000"/>
                <w:sz w:val="20"/>
                <w:szCs w:val="20"/>
              </w:rPr>
              <w:t xml:space="preserve">F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1AA0072" w14:textId="77777777" w:rsidR="001F0C97" w:rsidRDefault="009B1F50">
            <w:pPr>
              <w:rPr>
                <w:color w:val="000000"/>
                <w:sz w:val="20"/>
                <w:szCs w:val="20"/>
              </w:rPr>
            </w:pPr>
            <w:r>
              <w:rPr>
                <w:color w:val="000000"/>
                <w:sz w:val="20"/>
                <w:szCs w:val="20"/>
              </w:rPr>
              <w:t xml:space="preserve">Ikke bestått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1DFE4EB" w14:textId="77777777" w:rsidR="001F0C97" w:rsidRDefault="009B1F50">
            <w:pPr>
              <w:rPr>
                <w:color w:val="000000"/>
                <w:sz w:val="20"/>
                <w:szCs w:val="20"/>
              </w:rPr>
            </w:pPr>
            <w:r>
              <w:rPr>
                <w:color w:val="000000"/>
                <w:sz w:val="20"/>
                <w:szCs w:val="20"/>
              </w:rPr>
              <w:t xml:space="preserve">Prestasjon som ikke tilfredsstiller de faglige minimumskravene. Kandidaten viser både manglende vurderingsevne og manglende selvstendighet. </w:t>
            </w:r>
          </w:p>
        </w:tc>
      </w:tr>
    </w:tbl>
    <w:p w14:paraId="76D44EFF" w14:textId="77777777" w:rsidR="001F0C97" w:rsidRDefault="001F0C97"/>
    <w:p w14:paraId="49E78AE2" w14:textId="77777777" w:rsidR="001F0C97" w:rsidRDefault="001F0C97"/>
    <w:sectPr w:rsidR="001F0C97">
      <w:pgSz w:w="11906" w:h="16838"/>
      <w:pgMar w:top="476" w:right="244" w:bottom="540" w:left="1418"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77C23" w14:textId="77777777" w:rsidR="00D300A4" w:rsidRDefault="00D300A4">
      <w:r>
        <w:separator/>
      </w:r>
    </w:p>
  </w:endnote>
  <w:endnote w:type="continuationSeparator" w:id="0">
    <w:p w14:paraId="0E7A2A0B" w14:textId="77777777" w:rsidR="00D300A4" w:rsidRDefault="00D3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CAEA" w14:textId="77777777" w:rsidR="00D300A4" w:rsidRDefault="00D300A4">
      <w:r>
        <w:rPr>
          <w:color w:val="000000"/>
        </w:rPr>
        <w:separator/>
      </w:r>
    </w:p>
  </w:footnote>
  <w:footnote w:type="continuationSeparator" w:id="0">
    <w:p w14:paraId="4C03CA2E" w14:textId="77777777" w:rsidR="00D300A4" w:rsidRDefault="00D300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E4901"/>
    <w:multiLevelType w:val="hybridMultilevel"/>
    <w:tmpl w:val="BA12E9C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13C51DF"/>
    <w:multiLevelType w:val="hybridMultilevel"/>
    <w:tmpl w:val="BA12E9C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4CF0D8E"/>
    <w:multiLevelType w:val="multilevel"/>
    <w:tmpl w:val="6E30991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BF81B38"/>
    <w:multiLevelType w:val="hybridMultilevel"/>
    <w:tmpl w:val="BA12E9C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97"/>
    <w:rsid w:val="00003C9E"/>
    <w:rsid w:val="001F0C97"/>
    <w:rsid w:val="00444BED"/>
    <w:rsid w:val="009B1F50"/>
    <w:rsid w:val="00C57D58"/>
    <w:rsid w:val="00D300A4"/>
    <w:rsid w:val="00D46EB7"/>
    <w:rsid w:val="00DB06A2"/>
    <w:rsid w:val="00DB4D59"/>
    <w:rsid w:val="00DC02F7"/>
    <w:rsid w:val="00F518D2"/>
    <w:rsid w:val="00FD3FF0"/>
    <w:rsid w:val="00FE6C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5281"/>
  <w15:docId w15:val="{ED60F517-5649-4EBD-BC0D-251D2B2E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Normalweb">
    <w:name w:val="Normal (Web)"/>
    <w:basedOn w:val="Normal"/>
    <w:pPr>
      <w:spacing w:before="180"/>
    </w:pPr>
  </w:style>
  <w:style w:type="paragraph" w:styleId="Bobletekst">
    <w:name w:val="Balloon Text"/>
    <w:basedOn w:val="Normal"/>
    <w:rPr>
      <w:rFonts w:ascii="Tahoma" w:hAnsi="Tahoma" w:cs="Tahoma"/>
      <w:sz w:val="16"/>
      <w:szCs w:val="16"/>
    </w:rPr>
  </w:style>
  <w:style w:type="character" w:styleId="Hyperkobling">
    <w:name w:val="Hyperlink"/>
    <w:rPr>
      <w:strike w:val="0"/>
      <w:dstrike w:val="0"/>
      <w:color w:val="0060AA"/>
      <w:u w:val="none"/>
    </w:rPr>
  </w:style>
  <w:style w:type="paragraph" w:styleId="Listeavsnitt">
    <w:name w:val="List Paragraph"/>
    <w:basedOn w:val="Normal"/>
    <w:uiPriority w:val="72"/>
    <w:rsid w:val="00DB06A2"/>
    <w:pPr>
      <w:ind w:left="720"/>
      <w:contextualSpacing/>
    </w:pPr>
    <w:rPr>
      <w:szCs w:val="20"/>
    </w:rPr>
  </w:style>
  <w:style w:type="character" w:styleId="Utheving">
    <w:name w:val="Emphasis"/>
    <w:basedOn w:val="Standardskriftforavsnitt"/>
    <w:uiPriority w:val="20"/>
    <w:qFormat/>
    <w:rsid w:val="00DB06A2"/>
    <w:rPr>
      <w:i/>
      <w:iCs/>
    </w:rPr>
  </w:style>
  <w:style w:type="paragraph" w:styleId="Ingenavstand">
    <w:name w:val="No Spacing"/>
    <w:uiPriority w:val="1"/>
    <w:qFormat/>
    <w:rsid w:val="00444BED"/>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5437DA90E2FF0F4BBBDFDE015F2E704D0100D7EE954713ADEB4AA99F813D641A2A39" ma:contentTypeVersion="0" ma:contentTypeDescription="" ma:contentTypeScope="" ma:versionID="3fd5692e1a72086a5ad78267308089bd">
  <xsd:schema xmlns:xsd="http://www.w3.org/2001/XMLSchema" xmlns:xs="http://www.w3.org/2001/XMLSchema" xmlns:p="http://schemas.microsoft.com/office/2006/metadata/properties" xmlns:ns2="3011bd27-670b-40e8-bfc7-267b8eb171af" targetNamespace="http://schemas.microsoft.com/office/2006/metadata/properties" ma:root="true" ma:fieldsID="d31777ed7480cbe6686a42c311ff76e0" ns2:_="">
    <xsd:import namespace="3011bd27-670b-40e8-bfc7-267b8eb171af"/>
    <xsd:element name="properties">
      <xsd:complexType>
        <xsd:sequence>
          <xsd:element name="documentManagement">
            <xsd:complexType>
              <xsd:all>
                <xsd:element ref="ns2:Team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tudieadministrasjon ILU" ma:internalName="TeamSit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iteName xmlns="3011bd27-670b-40e8-bfc7-267b8eb171af">Eksamen Rotvoll</TeamSiteName>
  </documentManagement>
</p:properties>
</file>

<file path=customXml/itemProps1.xml><?xml version="1.0" encoding="utf-8"?>
<ds:datastoreItem xmlns:ds="http://schemas.openxmlformats.org/officeDocument/2006/customXml" ds:itemID="{78E5D362-C469-4722-92D4-A91DD672D6E1}"/>
</file>

<file path=customXml/itemProps2.xml><?xml version="1.0" encoding="utf-8"?>
<ds:datastoreItem xmlns:ds="http://schemas.openxmlformats.org/officeDocument/2006/customXml" ds:itemID="{382D4F2A-018A-437E-A783-1EF3D3142ACA}"/>
</file>

<file path=customXml/itemProps3.xml><?xml version="1.0" encoding="utf-8"?>
<ds:datastoreItem xmlns:ds="http://schemas.openxmlformats.org/officeDocument/2006/customXml" ds:itemID="{98A0E00B-99A5-4275-8194-1EFFD11764FA}"/>
</file>

<file path=docProps/app.xml><?xml version="1.0" encoding="utf-8"?>
<Properties xmlns="http://schemas.openxmlformats.org/officeDocument/2006/extended-properties" xmlns:vt="http://schemas.openxmlformats.org/officeDocument/2006/docPropsVTypes">
  <Template>Normal.dotm</Template>
  <TotalTime>8</TotalTime>
  <Pages>4</Pages>
  <Words>1024</Words>
  <Characters>5429</Characters>
  <Application>Microsoft Macintosh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BEGRUNNELSE FOR KARAKTERSETTING</vt:lpstr>
    </vt:vector>
  </TitlesOfParts>
  <Company>Høgskolen i Sør-Trøndelag</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BEGRUNNELSE FOR KARAKTERSETTING</dc:title>
  <dc:subject/>
  <dc:creator>Tina Rønning Lund</dc:creator>
  <dc:description/>
  <cp:lastModifiedBy>Kjersti Eggen Dahl</cp:lastModifiedBy>
  <cp:revision>5</cp:revision>
  <cp:lastPrinted>2009-10-22T12:38:00Z</cp:lastPrinted>
  <dcterms:created xsi:type="dcterms:W3CDTF">2016-11-11T09:33:00Z</dcterms:created>
  <dcterms:modified xsi:type="dcterms:W3CDTF">2016-11-15T08:37:00Z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0x0101005437DA90E2FF0F4BBBDFDE015F2E704D0100D7EE954713ADEB4AA99F813D641A2A39</vt:lpwstr>
  </property>
</Properties>
</file>