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F4" w:rsidRPr="001F7F84" w:rsidRDefault="00C62CF4">
      <w:pPr>
        <w:pStyle w:val="Moteoverskrift"/>
      </w:pPr>
      <w:r w:rsidRPr="001F7F84">
        <w:t>Notat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220"/>
        <w:gridCol w:w="8494"/>
      </w:tblGrid>
      <w:tr w:rsidR="00C62CF4" w:rsidRPr="001F7F84">
        <w:trPr>
          <w:cantSplit/>
        </w:trPr>
        <w:tc>
          <w:tcPr>
            <w:tcW w:w="1220" w:type="dxa"/>
          </w:tcPr>
          <w:p w:rsidR="00C62CF4" w:rsidRPr="001F7F84" w:rsidRDefault="00C62CF4">
            <w:pPr>
              <w:pStyle w:val="Innkallingsskrift"/>
            </w:pPr>
            <w:r w:rsidRPr="001F7F84">
              <w:t>Til:</w:t>
            </w:r>
          </w:p>
        </w:tc>
        <w:tc>
          <w:tcPr>
            <w:tcW w:w="8494" w:type="dxa"/>
          </w:tcPr>
          <w:p w:rsidR="00C62CF4" w:rsidRPr="001F7F84" w:rsidRDefault="001F7F84">
            <w:pPr>
              <w:pStyle w:val="InnkallingsskriftFyllInn"/>
            </w:pPr>
            <w:bookmarkStart w:id="0" w:name="Til"/>
            <w:bookmarkEnd w:id="0"/>
            <w:r w:rsidRPr="001F7F84">
              <w:t>Ledermøtet</w:t>
            </w:r>
          </w:p>
        </w:tc>
      </w:tr>
      <w:tr w:rsidR="00C62CF4" w:rsidRPr="001F7F84">
        <w:trPr>
          <w:cantSplit/>
        </w:trPr>
        <w:tc>
          <w:tcPr>
            <w:tcW w:w="1220" w:type="dxa"/>
          </w:tcPr>
          <w:p w:rsidR="00C62CF4" w:rsidRPr="001F7F84" w:rsidRDefault="00C62CF4">
            <w:pPr>
              <w:pStyle w:val="Innkallingsskrift"/>
            </w:pPr>
            <w:r w:rsidRPr="001F7F84">
              <w:t>Kopi til:</w:t>
            </w:r>
          </w:p>
        </w:tc>
        <w:tc>
          <w:tcPr>
            <w:tcW w:w="8494" w:type="dxa"/>
          </w:tcPr>
          <w:p w:rsidR="00C62CF4" w:rsidRPr="001F7F84" w:rsidRDefault="00C62CF4">
            <w:pPr>
              <w:pStyle w:val="InnkallingsskriftFyllInn"/>
            </w:pPr>
            <w:bookmarkStart w:id="1" w:name="Kopi"/>
            <w:bookmarkEnd w:id="1"/>
          </w:p>
        </w:tc>
      </w:tr>
      <w:tr w:rsidR="00C62CF4" w:rsidRPr="001F7F84">
        <w:trPr>
          <w:cantSplit/>
        </w:trPr>
        <w:tc>
          <w:tcPr>
            <w:tcW w:w="1220" w:type="dxa"/>
          </w:tcPr>
          <w:p w:rsidR="00C62CF4" w:rsidRPr="001F7F84" w:rsidRDefault="00C62CF4">
            <w:pPr>
              <w:pStyle w:val="Innkallingsskrift"/>
            </w:pPr>
            <w:r w:rsidRPr="001F7F84">
              <w:t>Fra:</w:t>
            </w:r>
          </w:p>
        </w:tc>
        <w:tc>
          <w:tcPr>
            <w:tcW w:w="8494" w:type="dxa"/>
          </w:tcPr>
          <w:p w:rsidR="00C62CF4" w:rsidRPr="001F7F84" w:rsidRDefault="001F7F84">
            <w:pPr>
              <w:pStyle w:val="InnkallingsskriftFyllInn"/>
            </w:pPr>
            <w:bookmarkStart w:id="2" w:name="Fra"/>
            <w:bookmarkEnd w:id="2"/>
            <w:r w:rsidRPr="001F7F84">
              <w:t>Kommunikasjonskoordinator</w:t>
            </w:r>
          </w:p>
        </w:tc>
      </w:tr>
      <w:tr w:rsidR="00C62CF4" w:rsidRPr="001F7F84">
        <w:trPr>
          <w:cantSplit/>
        </w:trPr>
        <w:tc>
          <w:tcPr>
            <w:tcW w:w="1220" w:type="dxa"/>
          </w:tcPr>
          <w:p w:rsidR="00C62CF4" w:rsidRPr="001F7F84" w:rsidRDefault="00C62CF4">
            <w:pPr>
              <w:pStyle w:val="Innkallingsskrift"/>
            </w:pPr>
            <w:r w:rsidRPr="001F7F84">
              <w:t>Signatur:</w:t>
            </w:r>
          </w:p>
        </w:tc>
        <w:tc>
          <w:tcPr>
            <w:tcW w:w="8494" w:type="dxa"/>
          </w:tcPr>
          <w:p w:rsidR="00C62CF4" w:rsidRPr="001F7F84" w:rsidRDefault="00C62CF4">
            <w:pPr>
              <w:pStyle w:val="InnkallingsskriftFyllInn"/>
            </w:pPr>
          </w:p>
        </w:tc>
      </w:tr>
    </w:tbl>
    <w:p w:rsidR="00C62CF4" w:rsidRPr="001F7F84" w:rsidRDefault="001F7F84">
      <w:pPr>
        <w:pStyle w:val="Overskrift1"/>
      </w:pPr>
      <w:bookmarkStart w:id="3" w:name="overskrift"/>
      <w:bookmarkEnd w:id="3"/>
      <w:r w:rsidRPr="001F7F84">
        <w:t>Digital innholdsstrategi</w:t>
      </w:r>
      <w:r>
        <w:t xml:space="preserve"> for nettsida</w:t>
      </w:r>
    </w:p>
    <w:p w:rsidR="001F7F84" w:rsidRDefault="001F7F84" w:rsidP="001F7F84">
      <w:pPr>
        <w:rPr>
          <w:rFonts w:ascii="Times New Roman" w:hAnsi="Times New Roman"/>
          <w:b/>
          <w:lang w:val="nb-NO"/>
        </w:rPr>
      </w:pPr>
      <w:bookmarkStart w:id="4" w:name="start"/>
      <w:bookmarkEnd w:id="4"/>
    </w:p>
    <w:p w:rsidR="001F7F84" w:rsidRPr="001F7F84" w:rsidRDefault="001F7F84" w:rsidP="001F7F84">
      <w:pPr>
        <w:rPr>
          <w:rFonts w:ascii="Times New Roman" w:hAnsi="Times New Roman"/>
          <w:b/>
          <w:lang w:val="nb-NO"/>
        </w:rPr>
      </w:pPr>
      <w:r w:rsidRPr="001F7F84">
        <w:rPr>
          <w:rFonts w:ascii="Times New Roman" w:hAnsi="Times New Roman"/>
          <w:b/>
          <w:lang w:val="nb-NO"/>
        </w:rPr>
        <w:t>Forslag til vedtak</w:t>
      </w:r>
    </w:p>
    <w:p w:rsidR="001F7F84" w:rsidRPr="001F7F84" w:rsidRDefault="001F7F84" w:rsidP="001F7F84">
      <w:pPr>
        <w:rPr>
          <w:rFonts w:ascii="Times New Roman" w:hAnsi="Times New Roman"/>
          <w:lang w:val="nb-NO"/>
        </w:rPr>
      </w:pPr>
      <w:r w:rsidRPr="001F7F84">
        <w:rPr>
          <w:rFonts w:ascii="Times New Roman" w:hAnsi="Times New Roman"/>
          <w:lang w:val="nb-NO"/>
        </w:rPr>
        <w:t>Ledermøtet tilslutter seg forslag til Digital innholdsstrategi for NTNU Vitenskapsmuseet, som gjøres gjeldende i 5 år fra 1. januar 2014.</w:t>
      </w:r>
    </w:p>
    <w:p w:rsid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r w:rsidRPr="001F7F84">
        <w:rPr>
          <w:rFonts w:ascii="Times New Roman" w:hAnsi="Times New Roman"/>
          <w:b/>
          <w:lang w:val="nb-NO"/>
        </w:rPr>
        <w:t>Bakgrunn:</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I handlingsplanen for 2012 var ett av tiltakene at museet skulle utvikle og implementere en ny digital innholdsstrategi. Blant annet på grunn av at arbeidstidsressurser ble omprioritert til Afghanistan-utstillingen ble dette arbeidet utsatt til 2013. </w:t>
      </w:r>
    </w:p>
    <w:p w:rsid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r w:rsidRPr="001F7F84">
        <w:rPr>
          <w:rFonts w:ascii="Times New Roman" w:hAnsi="Times New Roman"/>
          <w:b/>
          <w:lang w:val="nb-NO"/>
        </w:rPr>
        <w:t xml:space="preserve">Metode: </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Arbeidet startet med en heldagsworkshop på Ringve 30. januar med deltakere fra alle seksjonene, pluss Revita og administrasjonen. Basert på «digital </w:t>
      </w:r>
      <w:proofErr w:type="spellStart"/>
      <w:r w:rsidRPr="001F7F84">
        <w:rPr>
          <w:rFonts w:ascii="Times New Roman" w:hAnsi="Times New Roman"/>
          <w:lang w:val="nb-NO"/>
        </w:rPr>
        <w:t>engagement</w:t>
      </w:r>
      <w:proofErr w:type="spellEnd"/>
      <w:r w:rsidRPr="001F7F84">
        <w:rPr>
          <w:rFonts w:ascii="Times New Roman" w:hAnsi="Times New Roman"/>
          <w:lang w:val="nb-NO"/>
        </w:rPr>
        <w:t xml:space="preserve"> </w:t>
      </w:r>
      <w:proofErr w:type="spellStart"/>
      <w:r w:rsidRPr="001F7F84">
        <w:rPr>
          <w:rFonts w:ascii="Times New Roman" w:hAnsi="Times New Roman"/>
          <w:lang w:val="nb-NO"/>
        </w:rPr>
        <w:t>framework</w:t>
      </w:r>
      <w:proofErr w:type="spellEnd"/>
      <w:r w:rsidRPr="001F7F84">
        <w:rPr>
          <w:rFonts w:ascii="Times New Roman" w:hAnsi="Times New Roman"/>
          <w:lang w:val="nb-NO"/>
        </w:rPr>
        <w:t xml:space="preserve">» ble det laget et bakgrunnsdokument, som ble videreforedlet til et strategiforslag som ledermøtet nå blir bedt om å ta stilling til. </w:t>
      </w:r>
    </w:p>
    <w:p w:rsidR="001F7F84" w:rsidRPr="001F7F84" w:rsidRDefault="001F7F84" w:rsidP="001F7F84">
      <w:pPr>
        <w:rPr>
          <w:rFonts w:ascii="Times New Roman" w:hAnsi="Times New Roman"/>
          <w:lang w:val="nb-NO"/>
        </w:rPr>
      </w:pPr>
      <w:r w:rsidRPr="001F7F84">
        <w:rPr>
          <w:rFonts w:ascii="Times New Roman" w:hAnsi="Times New Roman"/>
          <w:lang w:val="nb-NO"/>
        </w:rPr>
        <w:t>Metoden vi brukte var spesielt nyttig for å bevisstgjøre nettredaksjonen på målgruppetenkningen som ligger til grunn for strategien. «</w:t>
      </w:r>
      <w:proofErr w:type="spellStart"/>
      <w:r w:rsidRPr="001F7F84">
        <w:rPr>
          <w:rFonts w:ascii="Times New Roman" w:hAnsi="Times New Roman"/>
          <w:lang w:val="nb-NO"/>
        </w:rPr>
        <w:t>Personaene</w:t>
      </w:r>
      <w:proofErr w:type="spellEnd"/>
      <w:r w:rsidRPr="001F7F84">
        <w:rPr>
          <w:rFonts w:ascii="Times New Roman" w:hAnsi="Times New Roman"/>
          <w:lang w:val="nb-NO"/>
        </w:rPr>
        <w:t xml:space="preserve">» vi utviklet skal vi bruke i arbeidet framover for å minne oss på hvem vi lager nettjenester for, og at det ikke er oss selv. Disse skal redaksjonen jobbe videre med, for de er i ulik grad ferdigstilt. </w:t>
      </w:r>
    </w:p>
    <w:p w:rsid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r w:rsidRPr="001F7F84">
        <w:rPr>
          <w:rFonts w:ascii="Times New Roman" w:hAnsi="Times New Roman"/>
          <w:b/>
          <w:lang w:val="nb-NO"/>
        </w:rPr>
        <w:t>Høring:</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Strategiforslaget, som nettredaksjonen ferdigstilte i møte 1. november, har siden vært på en e-posthøring blant deltakerne på workshopen. Et spørsmål som kom opp er hvorfor ikke MUSIT og GBIT er nevnt, mens </w:t>
      </w:r>
      <w:proofErr w:type="spellStart"/>
      <w:r w:rsidRPr="001F7F84">
        <w:rPr>
          <w:rFonts w:ascii="Times New Roman" w:hAnsi="Times New Roman"/>
          <w:lang w:val="nb-NO"/>
        </w:rPr>
        <w:t>DigitaltMuseum</w:t>
      </w:r>
      <w:proofErr w:type="spellEnd"/>
      <w:r w:rsidRPr="001F7F84">
        <w:rPr>
          <w:rFonts w:ascii="Times New Roman" w:hAnsi="Times New Roman"/>
          <w:lang w:val="nb-NO"/>
        </w:rPr>
        <w:t xml:space="preserve"> og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er det.</w:t>
      </w:r>
    </w:p>
    <w:p w:rsidR="001F7F84" w:rsidRPr="001F7F84" w:rsidRDefault="001F7F84" w:rsidP="001F7F84">
      <w:pPr>
        <w:rPr>
          <w:rFonts w:ascii="Times New Roman" w:hAnsi="Times New Roman"/>
          <w:lang w:val="nb-NO"/>
        </w:rPr>
      </w:pPr>
      <w:r w:rsidRPr="001F7F84">
        <w:rPr>
          <w:rFonts w:ascii="Times New Roman" w:hAnsi="Times New Roman"/>
          <w:lang w:val="nb-NO"/>
        </w:rPr>
        <w:lastRenderedPageBreak/>
        <w:t>Grunnen til at vi ikke nevner MUSIT og GBIF er fordi vi allerede deltar der. Dette er en strategi for hva nytt vi skal gjøre i fem år framover. MUSIT har ikke noe formidlingsmandat, og vi trenger plattformer der vi kan nå ut med de kulturhistoriske dataene våre. De naturhistoriske har god spredning gjennom nevnte GBIF og Artsdatabanken.</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Digital Museum har 137 norske museer som deltakere. Som de store museene vi er, burde universitetsmuseene være med og ta ansvar for at også våre samlinger er representert, og det på en måte vi kan stå for. I løpet av fem år bør vi klare å få til en uthenting som sikrer god håndtering av forskningsdata. </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Det er de store sammenstillingene (som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med sine millioner på millioner av oppføringer) at en kan utløse et forskningspotensiale basert på «</w:t>
      </w:r>
      <w:proofErr w:type="spellStart"/>
      <w:r w:rsidRPr="001F7F84">
        <w:rPr>
          <w:rFonts w:ascii="Times New Roman" w:hAnsi="Times New Roman"/>
          <w:lang w:val="nb-NO"/>
        </w:rPr>
        <w:t>big</w:t>
      </w:r>
      <w:proofErr w:type="spellEnd"/>
      <w:r w:rsidRPr="001F7F84">
        <w:rPr>
          <w:rFonts w:ascii="Times New Roman" w:hAnsi="Times New Roman"/>
          <w:lang w:val="nb-NO"/>
        </w:rPr>
        <w:t xml:space="preserve"> data».</w:t>
      </w:r>
    </w:p>
    <w:p w:rsidR="001F7F84" w:rsidRPr="001F7F84" w:rsidRDefault="001F7F84" w:rsidP="001F7F84">
      <w:pPr>
        <w:rPr>
          <w:rFonts w:ascii="Times New Roman" w:hAnsi="Times New Roman"/>
          <w:lang w:val="nb-NO"/>
        </w:rPr>
      </w:pPr>
      <w:r w:rsidRPr="001F7F84">
        <w:rPr>
          <w:rFonts w:ascii="Times New Roman" w:hAnsi="Times New Roman"/>
          <w:lang w:val="nb-NO"/>
        </w:rPr>
        <w:t>Det kan også være et poeng at det er disse to portalene som myndigheter og politikere kjenner til. I møte med omverdenen, diskusjon om ressurser, organisering av museene osv. er det ikke dumt å være en stor og dyktig aktør på de plattformene beslutningstagerne etterspør.</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Når det er sagt, så er jo meningen med åpne data og deling at de skal kunne brukes «overalt». Det er derfor ikke snakk om et </w:t>
      </w:r>
      <w:proofErr w:type="spellStart"/>
      <w:r w:rsidRPr="001F7F84">
        <w:rPr>
          <w:rFonts w:ascii="Times New Roman" w:hAnsi="Times New Roman"/>
          <w:lang w:val="nb-NO"/>
        </w:rPr>
        <w:t>enten-eller</w:t>
      </w:r>
      <w:proofErr w:type="spellEnd"/>
      <w:r w:rsidRPr="001F7F84">
        <w:rPr>
          <w:rFonts w:ascii="Times New Roman" w:hAnsi="Times New Roman"/>
          <w:lang w:val="nb-NO"/>
        </w:rPr>
        <w:t>. Vi tar ingenting bort fra MUSIT eller GBIF eller noe annet. Målet er å utvikle oss videre, og få best og mest mulig bruk av våre data. I forslaget er formuleringen nå endret til at vi «</w:t>
      </w:r>
      <w:r w:rsidRPr="001F7F84">
        <w:rPr>
          <w:rFonts w:ascii="Times New Roman" w:hAnsi="Times New Roman"/>
          <w:i/>
          <w:lang w:val="nb-NO"/>
        </w:rPr>
        <w:t>også</w:t>
      </w:r>
      <w:r w:rsidRPr="001F7F84">
        <w:rPr>
          <w:rFonts w:ascii="Times New Roman" w:hAnsi="Times New Roman"/>
          <w:lang w:val="nb-NO"/>
        </w:rPr>
        <w:t xml:space="preserve"> skal være med i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og </w:t>
      </w:r>
      <w:proofErr w:type="spellStart"/>
      <w:r w:rsidRPr="001F7F84">
        <w:rPr>
          <w:rFonts w:ascii="Times New Roman" w:hAnsi="Times New Roman"/>
          <w:lang w:val="nb-NO"/>
        </w:rPr>
        <w:t>DigitaltMuseum</w:t>
      </w:r>
      <w:proofErr w:type="spellEnd"/>
      <w:r w:rsidRPr="001F7F84">
        <w:rPr>
          <w:rFonts w:ascii="Times New Roman" w:hAnsi="Times New Roman"/>
          <w:lang w:val="nb-NO"/>
        </w:rPr>
        <w:t>», for å understreke at det ikke er ment at vi må ut av nåværende løsninger.</w:t>
      </w:r>
    </w:p>
    <w:p w:rsidR="001F7F84" w:rsidRDefault="001F7F84" w:rsidP="001F7F84">
      <w:pPr>
        <w:rPr>
          <w:rFonts w:ascii="Times New Roman" w:hAnsi="Times New Roman"/>
          <w:i/>
          <w:lang w:val="nb-NO"/>
        </w:rPr>
      </w:pPr>
    </w:p>
    <w:p w:rsidR="001F7F84" w:rsidRPr="001F7F84" w:rsidRDefault="001F7F84" w:rsidP="001F7F84">
      <w:pPr>
        <w:rPr>
          <w:rFonts w:ascii="Times New Roman" w:hAnsi="Times New Roman"/>
          <w:i/>
          <w:lang w:val="nb-NO"/>
        </w:rPr>
      </w:pPr>
      <w:r w:rsidRPr="001F7F84">
        <w:rPr>
          <w:rFonts w:ascii="Times New Roman" w:hAnsi="Times New Roman"/>
          <w:i/>
          <w:lang w:val="nb-NO"/>
        </w:rPr>
        <w:t>Hva er disse portalene?</w:t>
      </w:r>
    </w:p>
    <w:p w:rsidR="001F7F84" w:rsidRPr="001F7F84" w:rsidRDefault="001F7F84" w:rsidP="001F7F84">
      <w:pPr>
        <w:rPr>
          <w:rFonts w:ascii="Times New Roman" w:hAnsi="Times New Roman"/>
          <w:lang w:val="nb-NO"/>
        </w:rPr>
      </w:pP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er EUs store satsing for å etablere en felleseuropeisk åpen kunst- og kulturutstilling på nett og har samlet over 23 millioner objekter på sin portal. Europeana.eu fungerer som en internettportal til millioner av bøker, malerier, filmer, gjenstander og arkivmateriale fra hele Europa som har blitt digitalisert. Rundt 2200 europeiske institusjoner har bidratt til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alt fra store internasjonale institusjoner som </w:t>
      </w:r>
      <w:proofErr w:type="spellStart"/>
      <w:r w:rsidRPr="001F7F84">
        <w:rPr>
          <w:rFonts w:ascii="Times New Roman" w:hAnsi="Times New Roman"/>
          <w:lang w:val="nb-NO"/>
        </w:rPr>
        <w:t>Rijksmuseum</w:t>
      </w:r>
      <w:proofErr w:type="spellEnd"/>
      <w:r w:rsidRPr="001F7F84">
        <w:rPr>
          <w:rFonts w:ascii="Times New Roman" w:hAnsi="Times New Roman"/>
          <w:lang w:val="nb-NO"/>
        </w:rPr>
        <w:t xml:space="preserve"> i Amsterdam, British Library og Louvre i Paris, til regionale arkiver og lokale museer</w:t>
      </w:r>
    </w:p>
    <w:p w:rsidR="001F7F84" w:rsidRPr="001F7F84" w:rsidRDefault="001F7F84" w:rsidP="001F7F84">
      <w:pPr>
        <w:rPr>
          <w:rFonts w:ascii="Times New Roman" w:hAnsi="Times New Roman"/>
          <w:lang w:val="nb-NO"/>
        </w:rPr>
      </w:pP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består av tre ulike nettsteder. Den generelle portalen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(www.europeana.eu),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Pro (www.pro.europeana.eu) som er rettet mot fagfolk, og </w:t>
      </w:r>
      <w:proofErr w:type="spellStart"/>
      <w:r w:rsidRPr="001F7F84">
        <w:rPr>
          <w:rFonts w:ascii="Times New Roman" w:hAnsi="Times New Roman"/>
          <w:lang w:val="nb-NO"/>
        </w:rPr>
        <w:t>Europeana</w:t>
      </w:r>
      <w:proofErr w:type="spellEnd"/>
      <w:r w:rsidRPr="001F7F84">
        <w:rPr>
          <w:rFonts w:ascii="Times New Roman" w:hAnsi="Times New Roman"/>
          <w:lang w:val="nb-NO"/>
        </w:rPr>
        <w:t xml:space="preserve"> 1914-1918 (www.europeana1914-18.eu) som er et prosjekt som fokuserer på første verdenskrig, lansert som et ledd opp mot hundreårs markeringen av krigen. (Kilde: Wikipedia.)</w:t>
      </w:r>
    </w:p>
    <w:p w:rsidR="001F7F84" w:rsidRPr="001F7F84" w:rsidRDefault="001F7F84" w:rsidP="001F7F84">
      <w:pPr>
        <w:rPr>
          <w:rFonts w:ascii="Times New Roman" w:hAnsi="Times New Roman"/>
          <w:lang w:val="nb-NO"/>
        </w:rPr>
      </w:pPr>
      <w:proofErr w:type="spellStart"/>
      <w:r w:rsidRPr="001F7F84">
        <w:rPr>
          <w:rFonts w:ascii="Times New Roman" w:hAnsi="Times New Roman"/>
          <w:lang w:val="nb-NO"/>
        </w:rPr>
        <w:t>DigitaltMuseum</w:t>
      </w:r>
      <w:proofErr w:type="spellEnd"/>
      <w:r w:rsidRPr="001F7F84">
        <w:rPr>
          <w:rFonts w:ascii="Times New Roman" w:hAnsi="Times New Roman"/>
          <w:lang w:val="nb-NO"/>
        </w:rPr>
        <w:t xml:space="preserve"> er utviklet av </w:t>
      </w:r>
      <w:proofErr w:type="spellStart"/>
      <w:r w:rsidRPr="001F7F84">
        <w:rPr>
          <w:rFonts w:ascii="Times New Roman" w:hAnsi="Times New Roman"/>
          <w:lang w:val="nb-NO"/>
        </w:rPr>
        <w:t>KulturIT</w:t>
      </w:r>
      <w:proofErr w:type="spellEnd"/>
      <w:r w:rsidRPr="001F7F84">
        <w:rPr>
          <w:rFonts w:ascii="Times New Roman" w:hAnsi="Times New Roman"/>
          <w:lang w:val="nb-NO"/>
        </w:rPr>
        <w:t xml:space="preserve"> og støttet av Norsk kulturråd. Nettstedet er stadig under utvikling og nye funksjoner kommer fortløpende. Alle objekter og tilhørende informasjon som er publisert på </w:t>
      </w:r>
      <w:proofErr w:type="spellStart"/>
      <w:r w:rsidRPr="001F7F84">
        <w:rPr>
          <w:rFonts w:ascii="Times New Roman" w:hAnsi="Times New Roman"/>
          <w:lang w:val="nb-NO"/>
        </w:rPr>
        <w:t>DigitaltMuseum</w:t>
      </w:r>
      <w:proofErr w:type="spellEnd"/>
      <w:r w:rsidRPr="001F7F84">
        <w:rPr>
          <w:rFonts w:ascii="Times New Roman" w:hAnsi="Times New Roman"/>
          <w:lang w:val="nb-NO"/>
        </w:rPr>
        <w:t xml:space="preserve"> er, i de fleste tilfeller, hentet fra samlingsforvaltningssystemet Primus. Deler av samlingene er publisert fra andre system. Hvilke objekter som skal publiseres på nett bestemmes av hver enkelt institusjon. </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Objektene presenteres på </w:t>
      </w:r>
      <w:proofErr w:type="spellStart"/>
      <w:r w:rsidRPr="001F7F84">
        <w:rPr>
          <w:rFonts w:ascii="Times New Roman" w:hAnsi="Times New Roman"/>
          <w:lang w:val="nb-NO"/>
        </w:rPr>
        <w:t>DigitaltMuseum</w:t>
      </w:r>
      <w:proofErr w:type="spellEnd"/>
      <w:r w:rsidRPr="001F7F84">
        <w:rPr>
          <w:rFonts w:ascii="Times New Roman" w:hAnsi="Times New Roman"/>
          <w:lang w:val="nb-NO"/>
        </w:rPr>
        <w:t xml:space="preserve"> med noe informasjon som beskrivelse, historikk, navn, type, klassifikasjon og referanser. Dette er i all hovedsak basert på katalogiseringsstandardene for kulturhistoriske gjenstander og fotografier (se ABM-U). Objektene er registrert på forskjellige tider, på forskjellige institusjoner og av forskjellige personer, og det gjør at informasjonen kan avvike litt, selv på samme type objekter. De enkelte institusjonene kan ha ekstra informasjon om objektene.</w:t>
      </w:r>
    </w:p>
    <w:p w:rsid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r w:rsidRPr="001F7F84">
        <w:rPr>
          <w:rFonts w:ascii="Times New Roman" w:hAnsi="Times New Roman"/>
          <w:b/>
          <w:lang w:val="nb-NO"/>
        </w:rPr>
        <w:t>Ansvar og ressurser</w:t>
      </w:r>
    </w:p>
    <w:p w:rsidR="001F7F84" w:rsidRPr="001F7F84" w:rsidRDefault="001F7F84" w:rsidP="001F7F84">
      <w:pPr>
        <w:rPr>
          <w:rFonts w:ascii="Times New Roman" w:hAnsi="Times New Roman"/>
          <w:lang w:val="nb-NO"/>
        </w:rPr>
      </w:pPr>
      <w:r w:rsidRPr="001F7F84">
        <w:rPr>
          <w:rFonts w:ascii="Times New Roman" w:hAnsi="Times New Roman"/>
          <w:lang w:val="nb-NO"/>
        </w:rPr>
        <w:lastRenderedPageBreak/>
        <w:t xml:space="preserve">Dersom strategiforslaget skal realiseres i sin helhet, trengs det ressurser (primært frigitt tid, men etter hvert også konsulenttjenester) som vi ikke har i dag. Det er likevel et håp om at vilkårene kan endre seg gjennom de neste fem år. Fram til det eventuelt skulle være mulig å bruke mer ressurser på nett, blir det kommunikasjonskoordinatoren sitt ansvar å finne tid til å komme så langt som mulig. Også EDB-gruppa og nettredaksjonen må forventes å sette av tid til å jobbe med nett, slik de også er forventet nå. En kan også måtte se på sammensetning av nettredaksjonen på nytt, for å se om vi har rett kompetansekombinasjon. </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Det viktigste med strategien er å gå gi en retning for museets </w:t>
      </w:r>
      <w:proofErr w:type="spellStart"/>
      <w:r w:rsidRPr="001F7F84">
        <w:rPr>
          <w:rFonts w:ascii="Times New Roman" w:hAnsi="Times New Roman"/>
          <w:lang w:val="nb-NO"/>
        </w:rPr>
        <w:t>nettarbeid</w:t>
      </w:r>
      <w:proofErr w:type="spellEnd"/>
      <w:r w:rsidRPr="001F7F84">
        <w:rPr>
          <w:rFonts w:ascii="Times New Roman" w:hAnsi="Times New Roman"/>
          <w:lang w:val="nb-NO"/>
        </w:rPr>
        <w:t>, slik at vi bruker det vi da faktisk har av ressurser i riktig retning.</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Også krevende i dette bildet, er kravene om arbeidsinnsats som Kommunikasjonsavdelingen foreslår for Nivå 2-nettarbeid. Dette vil, om det blir gjennomført, kreve langt større ressurser enn vi har på museet og </w:t>
      </w:r>
      <w:proofErr w:type="spellStart"/>
      <w:r w:rsidRPr="001F7F84">
        <w:rPr>
          <w:rFonts w:ascii="Times New Roman" w:hAnsi="Times New Roman"/>
          <w:lang w:val="nb-NO"/>
        </w:rPr>
        <w:t>fakultene</w:t>
      </w:r>
      <w:proofErr w:type="spellEnd"/>
      <w:r w:rsidRPr="001F7F84">
        <w:rPr>
          <w:rFonts w:ascii="Times New Roman" w:hAnsi="Times New Roman"/>
          <w:lang w:val="nb-NO"/>
        </w:rPr>
        <w:t>. Dette er en annen diskusjon, men det bør være nevnt også her.</w:t>
      </w:r>
    </w:p>
    <w:p w:rsidR="001F7F84" w:rsidRP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p>
    <w:p w:rsidR="001F7F84" w:rsidRPr="001F7F84" w:rsidRDefault="001F7F84" w:rsidP="001F7F84">
      <w:pPr>
        <w:rPr>
          <w:rFonts w:ascii="Times New Roman" w:hAnsi="Times New Roman"/>
          <w:b/>
          <w:lang w:val="nb-NO"/>
        </w:rPr>
      </w:pPr>
      <w:r w:rsidRPr="001F7F84">
        <w:rPr>
          <w:rFonts w:ascii="Times New Roman" w:hAnsi="Times New Roman"/>
          <w:b/>
          <w:lang w:val="nb-NO"/>
        </w:rPr>
        <w:t>Vedlegg:</w:t>
      </w:r>
    </w:p>
    <w:p w:rsidR="001F7F84" w:rsidRPr="001F7F84" w:rsidRDefault="001F7F84" w:rsidP="001F7F84">
      <w:pPr>
        <w:rPr>
          <w:rFonts w:ascii="Times New Roman" w:hAnsi="Times New Roman"/>
          <w:lang w:val="nb-NO"/>
        </w:rPr>
      </w:pPr>
      <w:r w:rsidRPr="001F7F84">
        <w:rPr>
          <w:rFonts w:ascii="Times New Roman" w:hAnsi="Times New Roman"/>
          <w:lang w:val="nb-NO"/>
        </w:rPr>
        <w:t>Forslag til digital innholdsstrategi (1 side)</w:t>
      </w:r>
    </w:p>
    <w:p w:rsidR="001F7F84" w:rsidRPr="001F7F84" w:rsidRDefault="001F7F84" w:rsidP="001F7F84">
      <w:pPr>
        <w:rPr>
          <w:rFonts w:ascii="Times New Roman" w:hAnsi="Times New Roman"/>
          <w:lang w:val="nb-NO"/>
        </w:rPr>
      </w:pPr>
      <w:r w:rsidRPr="001F7F84">
        <w:rPr>
          <w:rFonts w:ascii="Times New Roman" w:hAnsi="Times New Roman"/>
          <w:lang w:val="nb-NO"/>
        </w:rPr>
        <w:t xml:space="preserve">Digital </w:t>
      </w:r>
      <w:proofErr w:type="spellStart"/>
      <w:r w:rsidRPr="001F7F84">
        <w:rPr>
          <w:rFonts w:ascii="Times New Roman" w:hAnsi="Times New Roman"/>
          <w:lang w:val="nb-NO"/>
        </w:rPr>
        <w:t>engagement</w:t>
      </w:r>
      <w:proofErr w:type="spellEnd"/>
      <w:r w:rsidRPr="001F7F84">
        <w:rPr>
          <w:rFonts w:ascii="Times New Roman" w:hAnsi="Times New Roman"/>
          <w:lang w:val="nb-NO"/>
        </w:rPr>
        <w:t xml:space="preserve"> </w:t>
      </w:r>
      <w:proofErr w:type="spellStart"/>
      <w:r w:rsidRPr="001F7F84">
        <w:rPr>
          <w:rFonts w:ascii="Times New Roman" w:hAnsi="Times New Roman"/>
          <w:lang w:val="nb-NO"/>
        </w:rPr>
        <w:t>framework</w:t>
      </w:r>
      <w:proofErr w:type="spellEnd"/>
      <w:r w:rsidRPr="001F7F84">
        <w:rPr>
          <w:rFonts w:ascii="Times New Roman" w:hAnsi="Times New Roman"/>
          <w:lang w:val="nb-NO"/>
        </w:rPr>
        <w:t xml:space="preserve"> – metodehefte</w:t>
      </w:r>
    </w:p>
    <w:p w:rsidR="001F7F84" w:rsidRDefault="001F7F84" w:rsidP="001F7F84">
      <w:pPr>
        <w:rPr>
          <w:rFonts w:ascii="Times New Roman" w:hAnsi="Times New Roman"/>
          <w:lang w:val="nb-NO"/>
        </w:rPr>
      </w:pPr>
      <w:r w:rsidRPr="001F7F84">
        <w:rPr>
          <w:rFonts w:ascii="Times New Roman" w:hAnsi="Times New Roman"/>
          <w:lang w:val="nb-NO"/>
        </w:rPr>
        <w:t>Bakgrunnsdokument fra Ringve-workshopen</w:t>
      </w:r>
    </w:p>
    <w:p w:rsidR="009B40E0" w:rsidRPr="001F7F84" w:rsidRDefault="009B40E0" w:rsidP="001F7F84">
      <w:pPr>
        <w:rPr>
          <w:rFonts w:ascii="Times New Roman" w:hAnsi="Times New Roman"/>
          <w:lang w:val="nb-NO"/>
        </w:rPr>
      </w:pPr>
      <w:proofErr w:type="spellStart"/>
      <w:r>
        <w:rPr>
          <w:rFonts w:ascii="Times New Roman" w:hAnsi="Times New Roman"/>
          <w:lang w:val="nb-NO"/>
        </w:rPr>
        <w:t>Webstrategi</w:t>
      </w:r>
      <w:proofErr w:type="spellEnd"/>
      <w:r>
        <w:rPr>
          <w:rFonts w:ascii="Times New Roman" w:hAnsi="Times New Roman"/>
          <w:lang w:val="nb-NO"/>
        </w:rPr>
        <w:t xml:space="preserve"> for </w:t>
      </w:r>
      <w:r w:rsidRPr="009B40E0">
        <w:rPr>
          <w:rFonts w:ascii="Times New Roman" w:hAnsi="Times New Roman"/>
          <w:lang w:val="nb-NO"/>
        </w:rPr>
        <w:t>NTNU Vitenskapsmuseet</w:t>
      </w:r>
      <w:r>
        <w:rPr>
          <w:rFonts w:ascii="Times New Roman" w:hAnsi="Times New Roman"/>
          <w:lang w:val="nb-NO"/>
        </w:rPr>
        <w:t xml:space="preserve"> (den forrige)</w:t>
      </w:r>
      <w:bookmarkStart w:id="5" w:name="_GoBack"/>
      <w:bookmarkEnd w:id="5"/>
    </w:p>
    <w:p w:rsidR="001F7F84" w:rsidRPr="001F7F84" w:rsidRDefault="001F7F84" w:rsidP="001F7F84">
      <w:pPr>
        <w:rPr>
          <w:rFonts w:ascii="Times New Roman" w:hAnsi="Times New Roman"/>
          <w:lang w:val="nb-NO"/>
        </w:rPr>
      </w:pPr>
    </w:p>
    <w:p w:rsidR="00C62CF4" w:rsidRPr="001F7F84" w:rsidRDefault="00C62CF4">
      <w:pPr>
        <w:rPr>
          <w:lang w:val="nb-NO"/>
        </w:rPr>
      </w:pPr>
    </w:p>
    <w:sectPr w:rsidR="00C62CF4" w:rsidRPr="001F7F84">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84" w:rsidRDefault="001F7F84">
      <w:r>
        <w:separator/>
      </w:r>
    </w:p>
  </w:endnote>
  <w:endnote w:type="continuationSeparator" w:id="0">
    <w:p w:rsidR="001F7F84" w:rsidRDefault="001F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F4" w:rsidRDefault="00C62CF4">
    <w:pPr>
      <w:pStyle w:val="Bunntekst"/>
      <w:pBdr>
        <w:bottom w:val="single" w:sz="4" w:space="1" w:color="auto"/>
      </w:pBdr>
    </w:pPr>
  </w:p>
  <w:p w:rsidR="00C62CF4" w:rsidRDefault="00C62CF4">
    <w:pPr>
      <w:pStyle w:val="FooterFet"/>
      <w:rPr>
        <w:bCs/>
      </w:rPr>
    </w:pPr>
    <w:r>
      <w:t>Postadresse</w:t>
    </w:r>
    <w:r>
      <w:tab/>
      <w:t xml:space="preserve">Org.nr. </w:t>
    </w:r>
    <w:r>
      <w:rPr>
        <w:b w:val="0"/>
        <w:bCs/>
      </w:rPr>
      <w:t>974 767 880</w:t>
    </w:r>
    <w:r>
      <w:rPr>
        <w:bCs/>
      </w:rPr>
      <w:tab/>
    </w:r>
    <w:r>
      <w:t>Besøksadresse</w:t>
    </w:r>
    <w:r>
      <w:tab/>
      <w:t>Telefon</w:t>
    </w:r>
    <w:r>
      <w:tab/>
    </w:r>
    <w:bookmarkStart w:id="10" w:name="tittel"/>
    <w:bookmarkEnd w:id="10"/>
    <w:r w:rsidR="001F7F84">
      <w:t>Kommunikasjonskoordinator</w:t>
    </w:r>
  </w:p>
  <w:p w:rsidR="00C62CF4" w:rsidRDefault="00B101DF">
    <w:pPr>
      <w:pStyle w:val="FooterTekst"/>
      <w:rPr>
        <w:lang w:val="en-US"/>
      </w:rPr>
    </w:pPr>
    <w:r>
      <w:t>NTNU Vitenskapsmuseet</w:t>
    </w:r>
    <w:r w:rsidR="00C62CF4">
      <w:tab/>
    </w:r>
    <w:r w:rsidR="00C62CF4">
      <w:rPr>
        <w:lang w:val="en-US"/>
      </w:rPr>
      <w:t>E-post:</w:t>
    </w:r>
    <w:r w:rsidR="00C62CF4">
      <w:rPr>
        <w:lang w:val="en-US"/>
      </w:rPr>
      <w:tab/>
    </w:r>
    <w:r>
      <w:rPr>
        <w:lang w:val="en-US"/>
      </w:rPr>
      <w:t xml:space="preserve">Erling </w:t>
    </w:r>
    <w:proofErr w:type="spellStart"/>
    <w:r>
      <w:rPr>
        <w:lang w:val="en-US"/>
      </w:rPr>
      <w:t>Skakkes</w:t>
    </w:r>
    <w:proofErr w:type="spellEnd"/>
    <w:r>
      <w:rPr>
        <w:lang w:val="en-US"/>
      </w:rPr>
      <w:t xml:space="preserve"> gate 47</w:t>
    </w:r>
    <w:r w:rsidR="00C62CF4">
      <w:rPr>
        <w:lang w:val="en-US"/>
      </w:rPr>
      <w:tab/>
      <w:t xml:space="preserve">+ 47 </w:t>
    </w:r>
    <w:r>
      <w:rPr>
        <w:lang w:val="en-US"/>
      </w:rPr>
      <w:t>73 59 21 45</w:t>
    </w:r>
    <w:r w:rsidR="00C62CF4">
      <w:rPr>
        <w:lang w:val="en-US"/>
      </w:rPr>
      <w:tab/>
    </w:r>
    <w:bookmarkStart w:id="11" w:name="Navn"/>
    <w:bookmarkEnd w:id="11"/>
    <w:r w:rsidR="001F7F84">
      <w:rPr>
        <w:lang w:val="en-US"/>
      </w:rPr>
      <w:t>Tove Eivindsen</w:t>
    </w:r>
  </w:p>
  <w:p w:rsidR="00C62CF4" w:rsidRDefault="00B101DF">
    <w:pPr>
      <w:pStyle w:val="FooterTekst"/>
    </w:pPr>
    <w:r>
      <w:rPr>
        <w:lang w:val="en-US"/>
      </w:rPr>
      <w:t>7491 Trondheim</w:t>
    </w:r>
    <w:r w:rsidR="00C62CF4">
      <w:rPr>
        <w:lang w:val="en-US"/>
      </w:rPr>
      <w:tab/>
    </w:r>
    <w:r>
      <w:rPr>
        <w:lang w:val="en-US"/>
      </w:rPr>
      <w:t>Post@vm.ntnu.no</w:t>
    </w:r>
    <w:r w:rsidR="00C62CF4">
      <w:rPr>
        <w:lang w:val="en-US"/>
      </w:rPr>
      <w:tab/>
    </w:r>
    <w:r>
      <w:rPr>
        <w:lang w:val="en-US"/>
      </w:rPr>
      <w:t>Trondheim</w:t>
    </w:r>
    <w:r w:rsidR="00C62CF4">
      <w:rPr>
        <w:lang w:val="en-US"/>
      </w:rPr>
      <w:tab/>
    </w:r>
    <w:r w:rsidR="00C62CF4">
      <w:rPr>
        <w:rFonts w:ascii="Arial" w:hAnsi="Arial"/>
        <w:b/>
      </w:rPr>
      <w:t>Telefaks</w:t>
    </w:r>
    <w:r w:rsidR="00C62CF4">
      <w:tab/>
    </w:r>
    <w:bookmarkStart w:id="12" w:name="Navn2"/>
    <w:bookmarkEnd w:id="12"/>
  </w:p>
  <w:p w:rsidR="00C62CF4" w:rsidRDefault="00B101DF">
    <w:pPr>
      <w:pStyle w:val="FooterTekst"/>
    </w:pPr>
    <w:r>
      <w:t>Årets museum i Norge 2010</w:t>
    </w:r>
    <w:r w:rsidR="00C62CF4">
      <w:tab/>
      <w:t>http://</w:t>
    </w:r>
    <w:r>
      <w:t>www.ntnu.no/vitenskapsmuseet</w:t>
    </w:r>
    <w:r w:rsidR="00C62CF4">
      <w:tab/>
    </w:r>
    <w:r w:rsidR="00C62CF4">
      <w:tab/>
      <w:t xml:space="preserve">+ 47 </w:t>
    </w:r>
    <w:r>
      <w:t>73 59 22 23</w:t>
    </w:r>
    <w:r w:rsidR="00C62CF4">
      <w:tab/>
    </w:r>
    <w:proofErr w:type="spellStart"/>
    <w:r w:rsidR="00C62CF4">
      <w:t>Tlf</w:t>
    </w:r>
    <w:proofErr w:type="spellEnd"/>
    <w:r w:rsidR="00C62CF4">
      <w:t xml:space="preserve">: + 47 </w:t>
    </w:r>
    <w:bookmarkStart w:id="13" w:name="Tlf"/>
    <w:bookmarkEnd w:id="13"/>
  </w:p>
  <w:p w:rsidR="00C62CF4" w:rsidRDefault="00C62CF4">
    <w:pPr>
      <w:pStyle w:val="Bunntekst"/>
      <w:rPr>
        <w:sz w:val="6"/>
        <w:lang w:val="nb-NO"/>
      </w:rPr>
    </w:pPr>
  </w:p>
  <w:p w:rsidR="00C62CF4" w:rsidRDefault="00C62CF4">
    <w:pPr>
      <w:pStyle w:val="FooterGraa"/>
    </w:pPr>
    <w:r>
      <w:t>All korrespondanse som inngår i saksbehandling skal adresseres til saksbehandlende enhet ved NTNU og ikke direkte til enkeltpersoner. Ved henvendelse vennligst oppgi referanse.</w:t>
    </w:r>
  </w:p>
  <w:p w:rsidR="00C62CF4" w:rsidRDefault="00C62CF4">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84" w:rsidRDefault="001F7F84">
      <w:r>
        <w:separator/>
      </w:r>
    </w:p>
  </w:footnote>
  <w:footnote w:type="continuationSeparator" w:id="0">
    <w:p w:rsidR="001F7F84" w:rsidRDefault="001F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F4" w:rsidRDefault="00C62CF4">
    <w:pPr>
      <w:pStyle w:val="sidetall"/>
    </w:pPr>
    <w:r>
      <w:tab/>
    </w:r>
    <w:r>
      <w:tab/>
    </w:r>
    <w:r>
      <w:fldChar w:fldCharType="begin"/>
    </w:r>
    <w:r>
      <w:instrText xml:space="preserve"> PAGE </w:instrText>
    </w:r>
    <w:r>
      <w:fldChar w:fldCharType="separate"/>
    </w:r>
    <w:r w:rsidR="009B40E0">
      <w:t>3</w:t>
    </w:r>
    <w:r>
      <w:fldChar w:fldCharType="end"/>
    </w:r>
    <w:r>
      <w:t xml:space="preserve"> av </w:t>
    </w:r>
    <w:r>
      <w:fldChar w:fldCharType="begin"/>
    </w:r>
    <w:r>
      <w:instrText xml:space="preserve"> NUMPAGES </w:instrText>
    </w:r>
    <w:r>
      <w:fldChar w:fldCharType="separate"/>
    </w:r>
    <w:r w:rsidR="009B40E0">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62CF4">
      <w:tc>
        <w:tcPr>
          <w:tcW w:w="6579" w:type="dxa"/>
          <w:tcBorders>
            <w:top w:val="nil"/>
            <w:left w:val="nil"/>
            <w:bottom w:val="nil"/>
            <w:right w:val="nil"/>
          </w:tcBorders>
        </w:tcPr>
        <w:p w:rsidR="00C62CF4" w:rsidRDefault="00C62CF4">
          <w:pPr>
            <w:pStyle w:val="Header2"/>
          </w:pPr>
          <w:r>
            <w:t>Norges teknisk-naturvitenskapelige universitet</w:t>
          </w:r>
        </w:p>
      </w:tc>
      <w:tc>
        <w:tcPr>
          <w:tcW w:w="1341" w:type="dxa"/>
          <w:tcBorders>
            <w:top w:val="nil"/>
            <w:left w:val="nil"/>
            <w:bottom w:val="nil"/>
            <w:right w:val="nil"/>
          </w:tcBorders>
        </w:tcPr>
        <w:p w:rsidR="00C62CF4" w:rsidRDefault="00C62CF4">
          <w:pPr>
            <w:pStyle w:val="DatoRefTekst"/>
          </w:pPr>
          <w:r>
            <w:t>Dato</w:t>
          </w:r>
        </w:p>
        <w:p w:rsidR="00C62CF4" w:rsidRDefault="001F7F84">
          <w:pPr>
            <w:pStyle w:val="DatoRefFyllInn"/>
          </w:pPr>
          <w:bookmarkStart w:id="6" w:name="VarDato2"/>
          <w:bookmarkEnd w:id="6"/>
          <w:r>
            <w:t>27.11.2013</w:t>
          </w:r>
        </w:p>
      </w:tc>
      <w:tc>
        <w:tcPr>
          <w:tcW w:w="1996" w:type="dxa"/>
          <w:tcBorders>
            <w:top w:val="nil"/>
            <w:left w:val="nil"/>
            <w:bottom w:val="nil"/>
            <w:right w:val="nil"/>
          </w:tcBorders>
        </w:tcPr>
        <w:p w:rsidR="00C62CF4" w:rsidRDefault="00C62CF4">
          <w:pPr>
            <w:pStyle w:val="DatoRefTekst"/>
          </w:pPr>
          <w:r>
            <w:t>Referanse</w:t>
          </w:r>
        </w:p>
        <w:p w:rsidR="00C62CF4" w:rsidRDefault="00C62CF4">
          <w:pPr>
            <w:pStyle w:val="DatoRefFyllInn"/>
          </w:pPr>
          <w:bookmarkStart w:id="7" w:name="VarRef2"/>
          <w:bookmarkEnd w:id="7"/>
        </w:p>
      </w:tc>
    </w:tr>
  </w:tbl>
  <w:p w:rsidR="00C62CF4" w:rsidRDefault="00C62CF4">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F4" w:rsidRDefault="001F7F84">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CF4">
      <w:tab/>
    </w:r>
    <w:r w:rsidR="00C62CF4">
      <w:tab/>
    </w:r>
    <w:r w:rsidR="00C62CF4">
      <w:tab/>
    </w:r>
    <w:r w:rsidR="00C62CF4">
      <w:fldChar w:fldCharType="begin"/>
    </w:r>
    <w:r w:rsidR="00C62CF4">
      <w:instrText xml:space="preserve"> PAGE </w:instrText>
    </w:r>
    <w:r w:rsidR="00C62CF4">
      <w:fldChar w:fldCharType="separate"/>
    </w:r>
    <w:r w:rsidR="009B40E0">
      <w:t>1</w:t>
    </w:r>
    <w:r w:rsidR="00C62CF4">
      <w:fldChar w:fldCharType="end"/>
    </w:r>
    <w:r w:rsidR="00C62CF4">
      <w:t xml:space="preserve"> av </w:t>
    </w:r>
    <w:r w:rsidR="00C62CF4">
      <w:fldChar w:fldCharType="begin"/>
    </w:r>
    <w:r w:rsidR="00C62CF4">
      <w:instrText xml:space="preserve"> NUMPAGES </w:instrText>
    </w:r>
    <w:r w:rsidR="00C62CF4">
      <w:fldChar w:fldCharType="separate"/>
    </w:r>
    <w:r w:rsidR="009B40E0">
      <w:t>3</w:t>
    </w:r>
    <w:r w:rsidR="00C62CF4">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62CF4">
      <w:tc>
        <w:tcPr>
          <w:tcW w:w="6579" w:type="dxa"/>
          <w:tcBorders>
            <w:top w:val="nil"/>
            <w:left w:val="nil"/>
            <w:bottom w:val="nil"/>
            <w:right w:val="nil"/>
          </w:tcBorders>
        </w:tcPr>
        <w:p w:rsidR="00C62CF4" w:rsidRDefault="00C62CF4">
          <w:pPr>
            <w:pStyle w:val="Topptekst"/>
            <w:rPr>
              <w:lang w:val="nb-NO"/>
            </w:rPr>
          </w:pPr>
        </w:p>
      </w:tc>
      <w:tc>
        <w:tcPr>
          <w:tcW w:w="1341" w:type="dxa"/>
          <w:tcBorders>
            <w:top w:val="nil"/>
            <w:left w:val="nil"/>
            <w:bottom w:val="nil"/>
            <w:right w:val="nil"/>
          </w:tcBorders>
        </w:tcPr>
        <w:p w:rsidR="00C62CF4" w:rsidRDefault="00C62CF4">
          <w:pPr>
            <w:pStyle w:val="DatoRefTekst"/>
          </w:pPr>
        </w:p>
        <w:p w:rsidR="00C62CF4" w:rsidRDefault="00C62CF4">
          <w:pPr>
            <w:pStyle w:val="DatoFyllInn1"/>
          </w:pPr>
        </w:p>
      </w:tc>
      <w:tc>
        <w:tcPr>
          <w:tcW w:w="1996" w:type="dxa"/>
          <w:tcBorders>
            <w:top w:val="nil"/>
            <w:left w:val="nil"/>
            <w:bottom w:val="nil"/>
            <w:right w:val="nil"/>
          </w:tcBorders>
        </w:tcPr>
        <w:p w:rsidR="00C62CF4" w:rsidRDefault="00C62CF4">
          <w:pPr>
            <w:pStyle w:val="DatoRefTekst"/>
          </w:pPr>
        </w:p>
        <w:p w:rsidR="00C62CF4" w:rsidRDefault="00C62CF4">
          <w:pPr>
            <w:pStyle w:val="DatoFyllInn1"/>
          </w:pPr>
        </w:p>
      </w:tc>
    </w:tr>
    <w:tr w:rsidR="00C62CF4">
      <w:tc>
        <w:tcPr>
          <w:tcW w:w="6579" w:type="dxa"/>
          <w:tcBorders>
            <w:top w:val="nil"/>
            <w:left w:val="nil"/>
            <w:bottom w:val="nil"/>
            <w:right w:val="nil"/>
          </w:tcBorders>
        </w:tcPr>
        <w:p w:rsidR="00C62CF4" w:rsidRDefault="00B101DF">
          <w:pPr>
            <w:pStyle w:val="Header1"/>
          </w:pPr>
          <w:r>
            <w:t xml:space="preserve">Vitenskapsmuseet </w:t>
          </w:r>
        </w:p>
        <w:p w:rsidR="00C62CF4" w:rsidRDefault="00B101DF">
          <w:pPr>
            <w:pStyle w:val="Header1"/>
          </w:pPr>
          <w:r>
            <w:t>Administrasjonen</w:t>
          </w:r>
        </w:p>
      </w:tc>
      <w:tc>
        <w:tcPr>
          <w:tcW w:w="1341" w:type="dxa"/>
          <w:tcBorders>
            <w:top w:val="nil"/>
            <w:left w:val="nil"/>
            <w:bottom w:val="nil"/>
            <w:right w:val="nil"/>
          </w:tcBorders>
        </w:tcPr>
        <w:p w:rsidR="00C62CF4" w:rsidRDefault="00C62CF4">
          <w:pPr>
            <w:pStyle w:val="DatoRefTekst2"/>
          </w:pPr>
          <w:r>
            <w:t>Dato</w:t>
          </w:r>
        </w:p>
        <w:p w:rsidR="00C62CF4" w:rsidRDefault="001F7F84">
          <w:pPr>
            <w:pStyle w:val="DatoRefFyllInn"/>
          </w:pPr>
          <w:bookmarkStart w:id="8" w:name="VarDato"/>
          <w:bookmarkEnd w:id="8"/>
          <w:r>
            <w:t>27.11.2013</w:t>
          </w:r>
        </w:p>
      </w:tc>
      <w:tc>
        <w:tcPr>
          <w:tcW w:w="1996" w:type="dxa"/>
          <w:tcBorders>
            <w:top w:val="nil"/>
            <w:left w:val="nil"/>
            <w:bottom w:val="nil"/>
            <w:right w:val="nil"/>
          </w:tcBorders>
        </w:tcPr>
        <w:p w:rsidR="00C62CF4" w:rsidRDefault="00C62CF4">
          <w:pPr>
            <w:pStyle w:val="DatoRefTekst2"/>
          </w:pPr>
          <w:r>
            <w:t>Referanse</w:t>
          </w:r>
        </w:p>
        <w:p w:rsidR="00C62CF4" w:rsidRDefault="00C62CF4">
          <w:pPr>
            <w:pStyle w:val="DatoRefFyllInn"/>
          </w:pPr>
          <w:bookmarkStart w:id="9" w:name="VarRef"/>
          <w:bookmarkEnd w:id="9"/>
        </w:p>
      </w:tc>
    </w:tr>
  </w:tbl>
  <w:p w:rsidR="00C62CF4" w:rsidRDefault="00C62CF4">
    <w:pPr>
      <w:pStyle w:val="Topptekst"/>
      <w:pBdr>
        <w:bottom w:val="single" w:sz="4" w:space="1" w:color="auto"/>
      </w:pBd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84"/>
    <w:rsid w:val="00137D5D"/>
    <w:rsid w:val="001A28C3"/>
    <w:rsid w:val="001F7F84"/>
    <w:rsid w:val="003B10CD"/>
    <w:rsid w:val="0072520B"/>
    <w:rsid w:val="009B40E0"/>
    <w:rsid w:val="00B101DF"/>
    <w:rsid w:val="00C62CF4"/>
    <w:rsid w:val="00C703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qFormat/>
    <w:pPr>
      <w:keepNext/>
      <w:spacing w:before="56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ArkivFyllInn">
    <w:name w:val="ArkivFyllInn"/>
    <w:basedOn w:val="Normal"/>
    <w:autoRedefine/>
    <w:pPr>
      <w:tabs>
        <w:tab w:val="left" w:pos="1418"/>
        <w:tab w:val="left" w:pos="3969"/>
        <w:tab w:val="right" w:pos="9639"/>
      </w:tabs>
      <w:spacing w:before="113" w:after="167"/>
      <w:ind w:left="0" w:right="-96"/>
      <w:jc w:val="right"/>
    </w:pPr>
    <w:rPr>
      <w:rFonts w:ascii="Arial" w:hAnsi="Arial"/>
      <w:lang w:val="nb-NO"/>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FooterGraaFet">
    <w:name w:val="FooterGraaFet"/>
    <w:basedOn w:val="FooterGraa"/>
    <w:autoRedefine/>
    <w:pPr>
      <w:spacing w:before="120"/>
    </w:pPr>
    <w:rPr>
      <w:b/>
      <w:bCs/>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qFormat/>
    <w:pPr>
      <w:keepNext/>
      <w:spacing w:before="56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ArkivFyllInn">
    <w:name w:val="ArkivFyllInn"/>
    <w:basedOn w:val="Normal"/>
    <w:autoRedefine/>
    <w:pPr>
      <w:tabs>
        <w:tab w:val="left" w:pos="1418"/>
        <w:tab w:val="left" w:pos="3969"/>
        <w:tab w:val="right" w:pos="9639"/>
      </w:tabs>
      <w:spacing w:before="113" w:after="167"/>
      <w:ind w:left="0" w:right="-96"/>
      <w:jc w:val="right"/>
    </w:pPr>
    <w:rPr>
      <w:rFonts w:ascii="Arial" w:hAnsi="Arial"/>
      <w:lang w:val="nb-NO"/>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FooterGraaFet">
    <w:name w:val="FooterGraaFet"/>
    <w:basedOn w:val="FooterGraa"/>
    <w:autoRedefine/>
    <w:pPr>
      <w:spacing w:before="120"/>
    </w:pPr>
    <w:rPr>
      <w:b/>
      <w:bCs/>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museum\b_not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b_notat</Template>
  <TotalTime>2</TotalTime>
  <Pages>3</Pages>
  <Words>965</Words>
  <Characters>5115</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Tove Eivindsen</dc:creator>
  <cp:lastModifiedBy>Tove Eivindsen</cp:lastModifiedBy>
  <cp:revision>2</cp:revision>
  <cp:lastPrinted>2005-07-27T08:12:00Z</cp:lastPrinted>
  <dcterms:created xsi:type="dcterms:W3CDTF">2013-11-27T10:13:00Z</dcterms:created>
  <dcterms:modified xsi:type="dcterms:W3CDTF">2013-12-02T10:39:00Z</dcterms:modified>
</cp:coreProperties>
</file>