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4F9DC" w14:textId="6DB7F926" w:rsidR="00241545" w:rsidRPr="005B0FE9" w:rsidRDefault="00241545" w:rsidP="00DF7A1A">
      <w:pPr>
        <w:tabs>
          <w:tab w:val="right" w:pos="9809"/>
        </w:tabs>
        <w:rPr>
          <w:b/>
          <w:noProof/>
        </w:rPr>
      </w:pPr>
      <w:bookmarkStart w:id="0" w:name="Start"/>
      <w:bookmarkStart w:id="1" w:name="OLE_LINK1"/>
      <w:bookmarkStart w:id="2" w:name="_GoBack"/>
      <w:bookmarkEnd w:id="0"/>
      <w:bookmarkEnd w:id="2"/>
      <w:r w:rsidRPr="005B0FE9">
        <w:rPr>
          <w:b/>
          <w:noProof/>
        </w:rPr>
        <w:t>N</w:t>
      </w:r>
      <w:r w:rsidR="009233DE">
        <w:rPr>
          <w:b/>
          <w:noProof/>
        </w:rPr>
        <w:t>TNU</w:t>
      </w:r>
      <w:r w:rsidR="009233DE">
        <w:rPr>
          <w:b/>
          <w:noProof/>
        </w:rPr>
        <w:tab/>
        <w:t xml:space="preserve">S-sak </w:t>
      </w:r>
      <w:r w:rsidR="00155996">
        <w:rPr>
          <w:b/>
          <w:noProof/>
        </w:rPr>
        <w:t>29</w:t>
      </w:r>
      <w:r w:rsidR="009233DE">
        <w:rPr>
          <w:b/>
          <w:noProof/>
        </w:rPr>
        <w:t>/1</w:t>
      </w:r>
      <w:r w:rsidR="00BE63AF">
        <w:rPr>
          <w:b/>
          <w:noProof/>
        </w:rPr>
        <w:t>8</w:t>
      </w:r>
    </w:p>
    <w:p w14:paraId="137230E3" w14:textId="77777777" w:rsidR="00241545" w:rsidRPr="005B0FE9" w:rsidRDefault="00241545" w:rsidP="00DF7A1A">
      <w:pPr>
        <w:tabs>
          <w:tab w:val="right" w:pos="9809"/>
        </w:tabs>
        <w:rPr>
          <w:b/>
          <w:noProof/>
        </w:rPr>
      </w:pPr>
      <w:r w:rsidRPr="005B0FE9">
        <w:rPr>
          <w:b/>
          <w:noProof/>
        </w:rPr>
        <w:t>Norges teknisk-naturvitenskapelige</w:t>
      </w:r>
      <w:r w:rsidR="00DF7A1A">
        <w:rPr>
          <w:b/>
          <w:noProof/>
        </w:rPr>
        <w:t xml:space="preserve"> </w:t>
      </w:r>
      <w:r w:rsidRPr="005B0FE9">
        <w:rPr>
          <w:b/>
          <w:noProof/>
        </w:rPr>
        <w:t>universitet</w:t>
      </w:r>
    </w:p>
    <w:p w14:paraId="1ECA1E47" w14:textId="5D8968BD" w:rsidR="00211102" w:rsidRDefault="003921E8" w:rsidP="00DF7A1A">
      <w:r>
        <w:t>2</w:t>
      </w:r>
      <w:r w:rsidR="00EF595F">
        <w:t>7</w:t>
      </w:r>
      <w:r w:rsidR="77A404A7">
        <w:t>.</w:t>
      </w:r>
      <w:r w:rsidR="00894C69">
        <w:t>11</w:t>
      </w:r>
      <w:r w:rsidR="77A404A7">
        <w:t xml:space="preserve">.2018 </w:t>
      </w:r>
    </w:p>
    <w:p w14:paraId="4AF84AE8" w14:textId="77777777" w:rsidR="00241545" w:rsidRPr="005B0FE9" w:rsidRDefault="77A404A7" w:rsidP="00DF7A1A">
      <w:r>
        <w:t>Saksansvarlig: Frank Arntsen</w:t>
      </w:r>
    </w:p>
    <w:p w14:paraId="325E7A34" w14:textId="77777777" w:rsidR="00241545" w:rsidRPr="00276855" w:rsidRDefault="00211102" w:rsidP="00DF7A1A">
      <w:pPr>
        <w:tabs>
          <w:tab w:val="right" w:pos="9809"/>
        </w:tabs>
        <w:rPr>
          <w:noProof/>
        </w:rPr>
      </w:pPr>
      <w:r w:rsidRPr="00276855">
        <w:rPr>
          <w:noProof/>
        </w:rPr>
        <w:t>Saksbehandler: Marianne Dyresen</w:t>
      </w:r>
      <w:r w:rsidR="00B11A0C">
        <w:rPr>
          <w:noProof/>
        </w:rPr>
        <w:t xml:space="preserve"> og </w:t>
      </w:r>
      <w:r w:rsidR="00F0242F">
        <w:rPr>
          <w:noProof/>
        </w:rPr>
        <w:t>Hanne Bergfjord</w:t>
      </w:r>
      <w:r w:rsidR="00241545" w:rsidRPr="00276855">
        <w:rPr>
          <w:noProof/>
        </w:rPr>
        <w:tab/>
        <w:t xml:space="preserve"> </w:t>
      </w:r>
    </w:p>
    <w:p w14:paraId="6D82E126" w14:textId="77777777" w:rsidR="00241545" w:rsidRPr="00276855" w:rsidRDefault="00241545" w:rsidP="00DF7A1A">
      <w:pPr>
        <w:tabs>
          <w:tab w:val="right" w:pos="9809"/>
        </w:tabs>
        <w:rPr>
          <w:b/>
          <w:noProof/>
        </w:rPr>
      </w:pPr>
    </w:p>
    <w:p w14:paraId="51045ADA" w14:textId="77777777" w:rsidR="00241545" w:rsidRPr="00276855" w:rsidRDefault="00241545" w:rsidP="00DF7A1A">
      <w:pPr>
        <w:tabs>
          <w:tab w:val="right" w:pos="9809"/>
        </w:tabs>
        <w:rPr>
          <w:noProof/>
        </w:rPr>
      </w:pPr>
    </w:p>
    <w:p w14:paraId="2F1E3457" w14:textId="77777777" w:rsidR="00241545" w:rsidRPr="00276855" w:rsidRDefault="00241545" w:rsidP="00DF7A1A">
      <w:pPr>
        <w:tabs>
          <w:tab w:val="right" w:pos="9809"/>
        </w:tabs>
        <w:rPr>
          <w:noProof/>
        </w:rPr>
      </w:pPr>
    </w:p>
    <w:p w14:paraId="34CAAA99" w14:textId="77777777" w:rsidR="00241545" w:rsidRPr="00107E0C" w:rsidRDefault="77A404A7" w:rsidP="00DF7A1A">
      <w:pPr>
        <w:ind w:left="85"/>
        <w:jc w:val="center"/>
        <w:rPr>
          <w:b/>
          <w:bCs/>
        </w:rPr>
      </w:pPr>
      <w:r w:rsidRPr="00107E0C">
        <w:rPr>
          <w:b/>
          <w:bCs/>
        </w:rPr>
        <w:t>N O T A T</w:t>
      </w:r>
    </w:p>
    <w:p w14:paraId="5DFF83E0" w14:textId="77777777" w:rsidR="00241545" w:rsidRPr="007B48F0" w:rsidRDefault="00241545" w:rsidP="00DF7A1A">
      <w:pPr>
        <w:ind w:left="85"/>
      </w:pPr>
    </w:p>
    <w:p w14:paraId="2E730F7A" w14:textId="77777777" w:rsidR="00241545" w:rsidRPr="007B48F0" w:rsidRDefault="00241545" w:rsidP="00DF7A1A">
      <w:pPr>
        <w:ind w:left="85"/>
      </w:pPr>
      <w:r w:rsidRPr="007B48F0">
        <w:t>Til:</w:t>
      </w:r>
      <w:r w:rsidRPr="007B48F0">
        <w:tab/>
        <w:t>Styret</w:t>
      </w:r>
    </w:p>
    <w:p w14:paraId="0F2592C4" w14:textId="77777777" w:rsidR="00241545" w:rsidRDefault="00241545" w:rsidP="00DF7A1A">
      <w:pPr>
        <w:ind w:left="85"/>
      </w:pPr>
      <w:r w:rsidRPr="00646860">
        <w:t>Fra:</w:t>
      </w:r>
      <w:r w:rsidRPr="00646860">
        <w:tab/>
        <w:t>Rektor</w:t>
      </w:r>
    </w:p>
    <w:p w14:paraId="2F7C1BB5" w14:textId="77777777" w:rsidR="00241545" w:rsidRPr="00646860" w:rsidRDefault="00241545" w:rsidP="00DF7A1A">
      <w:pPr>
        <w:ind w:left="85"/>
      </w:pPr>
    </w:p>
    <w:p w14:paraId="473FB290" w14:textId="77777777" w:rsidR="00241545" w:rsidRPr="00701B0C" w:rsidRDefault="00241545" w:rsidP="00DF7A1A">
      <w:pPr>
        <w:pBdr>
          <w:bottom w:val="single" w:sz="12" w:space="0" w:color="auto"/>
        </w:pBdr>
        <w:ind w:left="85"/>
        <w:rPr>
          <w:b/>
          <w:bCs/>
        </w:rPr>
      </w:pPr>
      <w:r w:rsidRPr="00701B0C">
        <w:rPr>
          <w:b/>
          <w:bCs/>
        </w:rPr>
        <w:t>Om:</w:t>
      </w:r>
      <w:r w:rsidRPr="005B0FE9">
        <w:rPr>
          <w:b/>
        </w:rPr>
        <w:tab/>
      </w:r>
      <w:r w:rsidR="00FE68C5">
        <w:rPr>
          <w:b/>
          <w:bCs/>
        </w:rPr>
        <w:t xml:space="preserve">Årsplan og rammefordeling </w:t>
      </w:r>
      <w:r w:rsidR="00555E2F" w:rsidRPr="00701B0C">
        <w:rPr>
          <w:b/>
          <w:bCs/>
        </w:rPr>
        <w:t xml:space="preserve">for </w:t>
      </w:r>
      <w:r w:rsidR="00F0242F" w:rsidRPr="00701B0C">
        <w:rPr>
          <w:b/>
          <w:bCs/>
        </w:rPr>
        <w:t>201</w:t>
      </w:r>
      <w:r w:rsidR="007B48F0" w:rsidRPr="00701B0C">
        <w:rPr>
          <w:b/>
          <w:bCs/>
        </w:rPr>
        <w:t>9 og langtidsperioden</w:t>
      </w:r>
    </w:p>
    <w:p w14:paraId="71B226E9" w14:textId="77777777" w:rsidR="00276855" w:rsidRPr="005B0FE9" w:rsidRDefault="00276855" w:rsidP="00DF7A1A">
      <w:pPr>
        <w:pBdr>
          <w:bottom w:val="single" w:sz="12" w:space="0" w:color="auto"/>
        </w:pBdr>
        <w:ind w:left="85"/>
        <w:rPr>
          <w:b/>
        </w:rPr>
      </w:pPr>
    </w:p>
    <w:p w14:paraId="5A8BA85C" w14:textId="77777777" w:rsidR="00241545" w:rsidRPr="00300B68" w:rsidRDefault="00241545" w:rsidP="00241545">
      <w:pPr>
        <w:spacing w:after="60"/>
        <w:ind w:left="85"/>
        <w:rPr>
          <w:szCs w:val="24"/>
        </w:rPr>
      </w:pPr>
    </w:p>
    <w:p w14:paraId="3AC6CB08" w14:textId="77777777" w:rsidR="00276855" w:rsidRPr="00701B0C" w:rsidRDefault="77A404A7" w:rsidP="77A404A7">
      <w:pPr>
        <w:ind w:left="85"/>
        <w:rPr>
          <w:b/>
          <w:bCs/>
          <w:u w:val="single"/>
        </w:rPr>
      </w:pPr>
      <w:r w:rsidRPr="77A404A7">
        <w:rPr>
          <w:b/>
          <w:bCs/>
          <w:u w:val="single"/>
        </w:rPr>
        <w:t>Tilråding:</w:t>
      </w:r>
    </w:p>
    <w:p w14:paraId="7767C42D" w14:textId="77777777" w:rsidR="00276855" w:rsidRPr="00AF6F1B" w:rsidRDefault="00276855" w:rsidP="00276855">
      <w:pPr>
        <w:ind w:left="85"/>
      </w:pPr>
    </w:p>
    <w:p w14:paraId="62DDDD1E" w14:textId="77777777" w:rsidR="00710B3F" w:rsidRPr="00F21F90" w:rsidRDefault="00E4344F" w:rsidP="00B11919">
      <w:pPr>
        <w:numPr>
          <w:ilvl w:val="0"/>
          <w:numId w:val="5"/>
        </w:numPr>
        <w:spacing w:after="120"/>
        <w:ind w:left="442" w:hanging="357"/>
        <w:rPr>
          <w:sz w:val="22"/>
          <w:szCs w:val="22"/>
        </w:rPr>
      </w:pPr>
      <w:r w:rsidRPr="00E4344F">
        <w:rPr>
          <w:noProof/>
        </w:rPr>
        <w:drawing>
          <wp:anchor distT="0" distB="0" distL="114300" distR="114300" simplePos="0" relativeHeight="251714048" behindDoc="1" locked="0" layoutInCell="1" allowOverlap="1" wp14:anchorId="0BDDD155" wp14:editId="57B45B8E">
            <wp:simplePos x="0" y="0"/>
            <wp:positionH relativeFrom="column">
              <wp:posOffset>2341880</wp:posOffset>
            </wp:positionH>
            <wp:positionV relativeFrom="paragraph">
              <wp:posOffset>140970</wp:posOffset>
            </wp:positionV>
            <wp:extent cx="4013110" cy="3190875"/>
            <wp:effectExtent l="0" t="0" r="6985" b="0"/>
            <wp:wrapTight wrapText="bothSides">
              <wp:wrapPolygon edited="0">
                <wp:start x="0" y="0"/>
                <wp:lineTo x="0" y="3224"/>
                <wp:lineTo x="11896" y="4127"/>
                <wp:lineTo x="0" y="4256"/>
                <wp:lineTo x="0" y="4900"/>
                <wp:lineTo x="11896" y="6190"/>
                <wp:lineTo x="0" y="6319"/>
                <wp:lineTo x="0" y="9285"/>
                <wp:lineTo x="11896" y="10316"/>
                <wp:lineTo x="0" y="10316"/>
                <wp:lineTo x="0" y="13282"/>
                <wp:lineTo x="11896" y="14443"/>
                <wp:lineTo x="0" y="14443"/>
                <wp:lineTo x="0" y="21407"/>
                <wp:lineTo x="21535" y="21407"/>
                <wp:lineTo x="21535"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3110" cy="3190875"/>
                    </a:xfrm>
                    <a:prstGeom prst="rect">
                      <a:avLst/>
                    </a:prstGeom>
                    <a:noFill/>
                    <a:ln>
                      <a:noFill/>
                    </a:ln>
                  </pic:spPr>
                </pic:pic>
              </a:graphicData>
            </a:graphic>
          </wp:anchor>
        </w:drawing>
      </w:r>
      <w:r w:rsidR="00710B3F" w:rsidRPr="00F21F90">
        <w:rPr>
          <w:sz w:val="22"/>
          <w:szCs w:val="22"/>
        </w:rPr>
        <w:t xml:space="preserve">Styret vedtar årsplanen </w:t>
      </w:r>
      <w:r w:rsidR="00FD1E46" w:rsidRPr="00F21F90">
        <w:rPr>
          <w:sz w:val="22"/>
          <w:szCs w:val="22"/>
        </w:rPr>
        <w:t xml:space="preserve">for 2019 </w:t>
      </w:r>
      <w:r w:rsidR="00710B3F" w:rsidRPr="00F21F90">
        <w:rPr>
          <w:sz w:val="22"/>
          <w:szCs w:val="22"/>
        </w:rPr>
        <w:t xml:space="preserve">slik som beskrevet i saken. </w:t>
      </w:r>
    </w:p>
    <w:p w14:paraId="7478C1F4" w14:textId="77777777" w:rsidR="00710B3F" w:rsidRPr="00F21F90" w:rsidRDefault="00710B3F" w:rsidP="00E4344F">
      <w:pPr>
        <w:numPr>
          <w:ilvl w:val="0"/>
          <w:numId w:val="5"/>
        </w:numPr>
        <w:spacing w:after="120"/>
        <w:rPr>
          <w:sz w:val="22"/>
          <w:szCs w:val="22"/>
        </w:rPr>
      </w:pPr>
      <w:r w:rsidRPr="00F21F90">
        <w:rPr>
          <w:sz w:val="22"/>
          <w:szCs w:val="22"/>
        </w:rPr>
        <w:t>Styret vedtar hovedfordeling av bevilgning for 201</w:t>
      </w:r>
      <w:r w:rsidR="00FE68C5" w:rsidRPr="00F21F90">
        <w:rPr>
          <w:sz w:val="22"/>
          <w:szCs w:val="22"/>
        </w:rPr>
        <w:t>9</w:t>
      </w:r>
      <w:r w:rsidRPr="00F21F90">
        <w:rPr>
          <w:sz w:val="22"/>
          <w:szCs w:val="22"/>
        </w:rPr>
        <w:t xml:space="preserve"> slik den fremkommer av tabellen. </w:t>
      </w:r>
    </w:p>
    <w:p w14:paraId="57B5A9B9" w14:textId="77777777" w:rsidR="00710B3F" w:rsidRPr="00F21F90" w:rsidRDefault="00710B3F" w:rsidP="00B11919">
      <w:pPr>
        <w:numPr>
          <w:ilvl w:val="0"/>
          <w:numId w:val="5"/>
        </w:numPr>
        <w:spacing w:after="120"/>
        <w:ind w:left="442" w:hanging="357"/>
        <w:rPr>
          <w:sz w:val="22"/>
          <w:szCs w:val="22"/>
        </w:rPr>
      </w:pPr>
      <w:r w:rsidRPr="00F21F90">
        <w:rPr>
          <w:sz w:val="22"/>
          <w:szCs w:val="22"/>
        </w:rPr>
        <w:t>Styret forutsetter at det settes av ressurser til å følge opp felles prioriteringer på alle nivå i organisasjonen og i alle campusbyer.</w:t>
      </w:r>
    </w:p>
    <w:p w14:paraId="6F3CF040" w14:textId="77777777" w:rsidR="00710B3F" w:rsidRPr="00F21F90" w:rsidRDefault="00710B3F" w:rsidP="00B11919">
      <w:pPr>
        <w:numPr>
          <w:ilvl w:val="0"/>
          <w:numId w:val="5"/>
        </w:numPr>
        <w:spacing w:after="120"/>
        <w:ind w:left="442" w:hanging="357"/>
        <w:rPr>
          <w:sz w:val="22"/>
          <w:szCs w:val="22"/>
        </w:rPr>
      </w:pPr>
      <w:r w:rsidRPr="00F21F90">
        <w:rPr>
          <w:sz w:val="22"/>
          <w:szCs w:val="22"/>
        </w:rPr>
        <w:t xml:space="preserve">Styret slutter seg til vurderingene av inntektsutviklingen for langtidsperioden. </w:t>
      </w:r>
    </w:p>
    <w:p w14:paraId="0FD9C37C" w14:textId="77777777" w:rsidR="00AC5325" w:rsidRPr="00F21F90" w:rsidRDefault="00AC5325" w:rsidP="00B11919">
      <w:pPr>
        <w:numPr>
          <w:ilvl w:val="0"/>
          <w:numId w:val="5"/>
        </w:numPr>
        <w:spacing w:after="120"/>
        <w:ind w:left="442" w:hanging="357"/>
        <w:rPr>
          <w:sz w:val="22"/>
          <w:szCs w:val="22"/>
        </w:rPr>
      </w:pPr>
      <w:r w:rsidRPr="00F21F90">
        <w:rPr>
          <w:sz w:val="22"/>
          <w:szCs w:val="22"/>
        </w:rPr>
        <w:t>Styret slutter seg til risikovurderingen.</w:t>
      </w:r>
    </w:p>
    <w:p w14:paraId="302D25D1" w14:textId="77777777" w:rsidR="00710B3F" w:rsidRPr="00F21F90" w:rsidRDefault="00710B3F" w:rsidP="00B11919">
      <w:pPr>
        <w:numPr>
          <w:ilvl w:val="0"/>
          <w:numId w:val="5"/>
        </w:numPr>
        <w:spacing w:after="120"/>
        <w:ind w:left="442" w:hanging="357"/>
        <w:rPr>
          <w:sz w:val="22"/>
          <w:szCs w:val="22"/>
        </w:rPr>
      </w:pPr>
      <w:r w:rsidRPr="00F21F90">
        <w:rPr>
          <w:sz w:val="22"/>
          <w:szCs w:val="22"/>
        </w:rPr>
        <w:t xml:space="preserve">Styret gir Rektor fullmakt til å gjøre mindre justeringer i årsplan og rammefordeling som følge av tildelingsbrevet </w:t>
      </w:r>
      <w:r w:rsidR="00251625" w:rsidRPr="00F21F90">
        <w:rPr>
          <w:sz w:val="22"/>
          <w:szCs w:val="22"/>
        </w:rPr>
        <w:t>for 2019</w:t>
      </w:r>
      <w:r w:rsidRPr="00F21F90">
        <w:rPr>
          <w:sz w:val="22"/>
          <w:szCs w:val="22"/>
        </w:rPr>
        <w:t xml:space="preserve"> fra Kunnskapsdepartementet.</w:t>
      </w:r>
    </w:p>
    <w:p w14:paraId="4F109E7D" w14:textId="77777777" w:rsidR="00710B3F" w:rsidRPr="00F21F90" w:rsidRDefault="00710B3F" w:rsidP="00B11919">
      <w:pPr>
        <w:numPr>
          <w:ilvl w:val="0"/>
          <w:numId w:val="5"/>
        </w:numPr>
        <w:spacing w:after="120"/>
        <w:ind w:left="442" w:hanging="357"/>
        <w:rPr>
          <w:sz w:val="22"/>
          <w:szCs w:val="22"/>
        </w:rPr>
      </w:pPr>
      <w:r w:rsidRPr="00F21F90">
        <w:rPr>
          <w:sz w:val="22"/>
          <w:szCs w:val="22"/>
        </w:rPr>
        <w:t xml:space="preserve">Styret ber Rektor </w:t>
      </w:r>
      <w:r w:rsidR="00FD1E46" w:rsidRPr="00F21F90">
        <w:rPr>
          <w:sz w:val="22"/>
          <w:szCs w:val="22"/>
        </w:rPr>
        <w:t>legge fram for styret</w:t>
      </w:r>
      <w:r w:rsidRPr="00F21F90">
        <w:rPr>
          <w:sz w:val="22"/>
          <w:szCs w:val="22"/>
        </w:rPr>
        <w:t xml:space="preserve"> det samlede budsjettet for 201</w:t>
      </w:r>
      <w:r w:rsidR="00251625" w:rsidRPr="00F21F90">
        <w:rPr>
          <w:sz w:val="22"/>
          <w:szCs w:val="22"/>
        </w:rPr>
        <w:t>9</w:t>
      </w:r>
      <w:r w:rsidRPr="00F21F90">
        <w:rPr>
          <w:sz w:val="22"/>
          <w:szCs w:val="22"/>
        </w:rPr>
        <w:t xml:space="preserve"> og for lang</w:t>
      </w:r>
      <w:r w:rsidR="00AC5325" w:rsidRPr="00F21F90">
        <w:rPr>
          <w:sz w:val="22"/>
          <w:szCs w:val="22"/>
        </w:rPr>
        <w:t xml:space="preserve">tidsperioden </w:t>
      </w:r>
      <w:r w:rsidR="00FD1E46" w:rsidRPr="00F21F90">
        <w:rPr>
          <w:sz w:val="22"/>
          <w:szCs w:val="22"/>
        </w:rPr>
        <w:t xml:space="preserve">2019-2022 </w:t>
      </w:r>
      <w:r w:rsidR="00AC5325" w:rsidRPr="00F21F90">
        <w:rPr>
          <w:sz w:val="22"/>
          <w:szCs w:val="22"/>
        </w:rPr>
        <w:t>når dette er klart</w:t>
      </w:r>
      <w:r w:rsidRPr="00F21F90">
        <w:rPr>
          <w:sz w:val="22"/>
          <w:szCs w:val="22"/>
        </w:rPr>
        <w:t>.</w:t>
      </w:r>
    </w:p>
    <w:p w14:paraId="4B9CF9E6" w14:textId="77777777" w:rsidR="00BA49D3" w:rsidRDefault="00BA49D3">
      <w:pPr>
        <w:rPr>
          <w:szCs w:val="24"/>
        </w:rPr>
      </w:pPr>
    </w:p>
    <w:p w14:paraId="602BDA40" w14:textId="77777777" w:rsidR="00300B68" w:rsidRPr="00B11919" w:rsidRDefault="77A404A7" w:rsidP="00B11919">
      <w:pPr>
        <w:ind w:left="85"/>
        <w:rPr>
          <w:b/>
          <w:bCs/>
          <w:u w:val="single"/>
        </w:rPr>
      </w:pPr>
      <w:r w:rsidRPr="00B11919">
        <w:rPr>
          <w:b/>
          <w:bCs/>
          <w:u w:val="single"/>
        </w:rPr>
        <w:t>Formål med saken</w:t>
      </w:r>
    </w:p>
    <w:p w14:paraId="0D60A018" w14:textId="77777777" w:rsidR="0000490C" w:rsidRPr="00F21F90" w:rsidRDefault="0000490C" w:rsidP="009D79B8">
      <w:pPr>
        <w:rPr>
          <w:sz w:val="22"/>
          <w:szCs w:val="22"/>
        </w:rPr>
      </w:pPr>
    </w:p>
    <w:p w14:paraId="4EEA8033" w14:textId="77777777" w:rsidR="00B11919" w:rsidRPr="00F21F90" w:rsidRDefault="00FE68C5" w:rsidP="00B11919">
      <w:pPr>
        <w:ind w:left="85"/>
        <w:rPr>
          <w:noProof/>
          <w:sz w:val="22"/>
          <w:szCs w:val="22"/>
        </w:rPr>
      </w:pPr>
      <w:r w:rsidRPr="00F21F90">
        <w:rPr>
          <w:noProof/>
          <w:sz w:val="22"/>
          <w:szCs w:val="22"/>
        </w:rPr>
        <w:t>Formål med saken er å vedta NTNUs årsplan for 2019</w:t>
      </w:r>
      <w:r w:rsidR="00FD1E46" w:rsidRPr="00F21F90">
        <w:rPr>
          <w:noProof/>
          <w:sz w:val="22"/>
          <w:szCs w:val="22"/>
        </w:rPr>
        <w:t>. Saken beskriver også de føringer årsplanen 2019 legger for</w:t>
      </w:r>
      <w:r w:rsidRPr="00F21F90">
        <w:rPr>
          <w:noProof/>
          <w:sz w:val="22"/>
          <w:szCs w:val="22"/>
        </w:rPr>
        <w:t xml:space="preserve"> langtidsperioden</w:t>
      </w:r>
      <w:r w:rsidR="00FD1E46" w:rsidRPr="00F21F90">
        <w:rPr>
          <w:noProof/>
          <w:sz w:val="22"/>
          <w:szCs w:val="22"/>
        </w:rPr>
        <w:t xml:space="preserve"> 2019-2022</w:t>
      </w:r>
      <w:r w:rsidRPr="00F21F90">
        <w:rPr>
          <w:noProof/>
          <w:sz w:val="22"/>
          <w:szCs w:val="22"/>
        </w:rPr>
        <w:t>.</w:t>
      </w:r>
    </w:p>
    <w:p w14:paraId="1545094F" w14:textId="77777777" w:rsidR="00B11919" w:rsidRPr="00F21F90" w:rsidRDefault="00B11919" w:rsidP="00B11919">
      <w:pPr>
        <w:ind w:left="85"/>
        <w:rPr>
          <w:sz w:val="22"/>
          <w:szCs w:val="22"/>
        </w:rPr>
      </w:pPr>
    </w:p>
    <w:p w14:paraId="1482DAF1" w14:textId="479F5721" w:rsidR="00B11919" w:rsidRDefault="00B11919" w:rsidP="00B11919">
      <w:pPr>
        <w:ind w:left="85"/>
        <w:rPr>
          <w:noProof/>
          <w:sz w:val="22"/>
          <w:szCs w:val="22"/>
        </w:rPr>
      </w:pPr>
      <w:r w:rsidRPr="00F21F90">
        <w:rPr>
          <w:sz w:val="22"/>
          <w:szCs w:val="22"/>
        </w:rPr>
        <w:t>Årsplan 2019 er en operasjonalisering av NTNUs nye strategi «Kunnskap for en bedre verden» i konkrete planer og rammefordeling for</w:t>
      </w:r>
      <w:r w:rsidR="0068411D">
        <w:rPr>
          <w:sz w:val="22"/>
          <w:szCs w:val="22"/>
        </w:rPr>
        <w:t xml:space="preserve"> det</w:t>
      </w:r>
      <w:r w:rsidRPr="00F21F90">
        <w:rPr>
          <w:sz w:val="22"/>
          <w:szCs w:val="22"/>
        </w:rPr>
        <w:t xml:space="preserve"> kommende år</w:t>
      </w:r>
      <w:r w:rsidR="0068411D">
        <w:rPr>
          <w:sz w:val="22"/>
          <w:szCs w:val="22"/>
        </w:rPr>
        <w:t>et</w:t>
      </w:r>
      <w:r w:rsidRPr="00F21F90">
        <w:rPr>
          <w:sz w:val="22"/>
          <w:szCs w:val="22"/>
        </w:rPr>
        <w:t>, samt planleggingsrammer for langtidsperioden</w:t>
      </w:r>
      <w:r w:rsidR="00FD1E46" w:rsidRPr="00F21F90">
        <w:rPr>
          <w:sz w:val="22"/>
          <w:szCs w:val="22"/>
        </w:rPr>
        <w:t xml:space="preserve"> 2019-2022</w:t>
      </w:r>
      <w:r w:rsidRPr="00F21F90">
        <w:rPr>
          <w:sz w:val="22"/>
          <w:szCs w:val="22"/>
        </w:rPr>
        <w:t xml:space="preserve">. </w:t>
      </w:r>
      <w:r w:rsidR="00FE68C5" w:rsidRPr="00F21F90">
        <w:rPr>
          <w:noProof/>
          <w:sz w:val="22"/>
          <w:szCs w:val="22"/>
        </w:rPr>
        <w:t xml:space="preserve">Saken er en oppfølging av styrets </w:t>
      </w:r>
      <w:r w:rsidR="00C63199" w:rsidRPr="00F21F90">
        <w:rPr>
          <w:noProof/>
          <w:sz w:val="22"/>
          <w:szCs w:val="22"/>
        </w:rPr>
        <w:t>behandling</w:t>
      </w:r>
      <w:r w:rsidR="00FE68C5" w:rsidRPr="00F21F90">
        <w:rPr>
          <w:noProof/>
          <w:sz w:val="22"/>
          <w:szCs w:val="22"/>
        </w:rPr>
        <w:t xml:space="preserve"> </w:t>
      </w:r>
      <w:r w:rsidR="00C63199" w:rsidRPr="00F21F90">
        <w:rPr>
          <w:noProof/>
          <w:sz w:val="22"/>
          <w:szCs w:val="22"/>
        </w:rPr>
        <w:t>av</w:t>
      </w:r>
      <w:r w:rsidR="0068411D">
        <w:rPr>
          <w:noProof/>
          <w:sz w:val="22"/>
          <w:szCs w:val="22"/>
        </w:rPr>
        <w:t xml:space="preserve"> «P</w:t>
      </w:r>
      <w:r w:rsidR="00FE68C5" w:rsidRPr="00F21F90">
        <w:rPr>
          <w:noProof/>
          <w:sz w:val="22"/>
          <w:szCs w:val="22"/>
        </w:rPr>
        <w:t>lanleggingsra</w:t>
      </w:r>
      <w:r w:rsidR="00DD182E">
        <w:rPr>
          <w:noProof/>
          <w:sz w:val="22"/>
          <w:szCs w:val="22"/>
        </w:rPr>
        <w:t>mmer</w:t>
      </w:r>
      <w:r w:rsidR="0068411D">
        <w:rPr>
          <w:noProof/>
          <w:sz w:val="22"/>
          <w:szCs w:val="22"/>
        </w:rPr>
        <w:t xml:space="preserve"> for 2019 og langtidsperioden</w:t>
      </w:r>
      <w:r w:rsidR="00DD182E">
        <w:rPr>
          <w:noProof/>
          <w:sz w:val="22"/>
          <w:szCs w:val="22"/>
        </w:rPr>
        <w:t>» som ble vedtatt i august.</w:t>
      </w:r>
    </w:p>
    <w:p w14:paraId="7B160EB6" w14:textId="77777777" w:rsidR="00DD182E" w:rsidRDefault="00DD182E">
      <w:pPr>
        <w:rPr>
          <w:noProof/>
          <w:sz w:val="22"/>
          <w:szCs w:val="22"/>
        </w:rPr>
      </w:pPr>
      <w:r>
        <w:rPr>
          <w:noProof/>
          <w:sz w:val="22"/>
          <w:szCs w:val="22"/>
        </w:rPr>
        <w:br w:type="page"/>
      </w:r>
    </w:p>
    <w:p w14:paraId="183F610B" w14:textId="77777777" w:rsidR="00B11919" w:rsidRDefault="77A404A7" w:rsidP="004B7D90">
      <w:pPr>
        <w:pStyle w:val="Heading1"/>
      </w:pPr>
      <w:r>
        <w:lastRenderedPageBreak/>
        <w:t>Sammendrag</w:t>
      </w:r>
    </w:p>
    <w:p w14:paraId="527A9F76" w14:textId="77777777" w:rsidR="005A3177" w:rsidRPr="005A3177" w:rsidRDefault="005A3177" w:rsidP="005A3177"/>
    <w:p w14:paraId="4544621C" w14:textId="77777777" w:rsidR="00525141" w:rsidRPr="00972519" w:rsidRDefault="007B6A1D" w:rsidP="00B11919">
      <w:pPr>
        <w:rPr>
          <w:sz w:val="22"/>
          <w:szCs w:val="22"/>
        </w:rPr>
      </w:pPr>
      <w:r w:rsidRPr="00972519">
        <w:rPr>
          <w:sz w:val="22"/>
          <w:szCs w:val="22"/>
        </w:rPr>
        <w:t xml:space="preserve">NTNUs strategi inneholder 36 utviklingsmål som skal realiseres i løpet av de neste 7 årene. </w:t>
      </w:r>
      <w:r>
        <w:rPr>
          <w:sz w:val="22"/>
          <w:szCs w:val="22"/>
        </w:rPr>
        <w:t>NTNUs å</w:t>
      </w:r>
      <w:r w:rsidRPr="00972519">
        <w:rPr>
          <w:sz w:val="22"/>
          <w:szCs w:val="22"/>
        </w:rPr>
        <w:t xml:space="preserve">rsplan inneholder ikke det komplette planverket for </w:t>
      </w:r>
      <w:r>
        <w:rPr>
          <w:sz w:val="22"/>
          <w:szCs w:val="22"/>
        </w:rPr>
        <w:t xml:space="preserve">hele </w:t>
      </w:r>
      <w:r w:rsidRPr="00972519">
        <w:rPr>
          <w:sz w:val="22"/>
          <w:szCs w:val="22"/>
        </w:rPr>
        <w:t xml:space="preserve">NTNU, men </w:t>
      </w:r>
      <w:r w:rsidR="00BC1346">
        <w:rPr>
          <w:sz w:val="22"/>
          <w:szCs w:val="22"/>
        </w:rPr>
        <w:t>er endringsfokusert og inneholder fell</w:t>
      </w:r>
      <w:r w:rsidRPr="00972519">
        <w:rPr>
          <w:sz w:val="22"/>
          <w:szCs w:val="22"/>
        </w:rPr>
        <w:t xml:space="preserve">es prioriteringer som hele organisasjonen må bidra til for at utviklingsmålene i strategien skal </w:t>
      </w:r>
      <w:r w:rsidR="00BC1346">
        <w:rPr>
          <w:sz w:val="22"/>
          <w:szCs w:val="22"/>
        </w:rPr>
        <w:t>n</w:t>
      </w:r>
      <w:r w:rsidRPr="00972519">
        <w:rPr>
          <w:sz w:val="22"/>
          <w:szCs w:val="22"/>
        </w:rPr>
        <w:t xml:space="preserve">ås. </w:t>
      </w:r>
      <w:r w:rsidR="00BC1346" w:rsidRPr="00972519">
        <w:rPr>
          <w:noProof/>
          <w:sz w:val="22"/>
          <w:szCs w:val="22"/>
        </w:rPr>
        <w:t>Alle enheter skal ha årsplaner som operasjonaliserer strategi</w:t>
      </w:r>
      <w:r w:rsidR="00997099">
        <w:rPr>
          <w:noProof/>
          <w:sz w:val="22"/>
          <w:szCs w:val="22"/>
        </w:rPr>
        <w:t>en</w:t>
      </w:r>
      <w:r w:rsidR="00BC1346" w:rsidRPr="00972519">
        <w:rPr>
          <w:noProof/>
          <w:sz w:val="22"/>
          <w:szCs w:val="22"/>
        </w:rPr>
        <w:t xml:space="preserve"> i kortsiktige mål og tiltak, og som følges av et årsbudsjett. </w:t>
      </w:r>
      <w:r w:rsidR="00AD7776" w:rsidRPr="00972519">
        <w:rPr>
          <w:noProof/>
          <w:sz w:val="22"/>
          <w:szCs w:val="22"/>
        </w:rPr>
        <w:t xml:space="preserve">Årsplanen som vedtas av NTNUs styre </w:t>
      </w:r>
      <w:r w:rsidR="00BC1346">
        <w:rPr>
          <w:noProof/>
          <w:sz w:val="22"/>
          <w:szCs w:val="22"/>
        </w:rPr>
        <w:t xml:space="preserve">fungerer som ramme for enhetenes </w:t>
      </w:r>
      <w:r w:rsidR="00AD7776" w:rsidRPr="00972519">
        <w:rPr>
          <w:noProof/>
          <w:sz w:val="22"/>
          <w:szCs w:val="22"/>
        </w:rPr>
        <w:t>årsplan</w:t>
      </w:r>
      <w:r w:rsidR="00BC1346">
        <w:rPr>
          <w:noProof/>
          <w:sz w:val="22"/>
          <w:szCs w:val="22"/>
        </w:rPr>
        <w:t>er</w:t>
      </w:r>
      <w:r w:rsidR="00AD7776" w:rsidRPr="00972519">
        <w:rPr>
          <w:noProof/>
          <w:sz w:val="22"/>
          <w:szCs w:val="22"/>
        </w:rPr>
        <w:t>.</w:t>
      </w:r>
      <w:r w:rsidR="00525141" w:rsidRPr="00972519">
        <w:rPr>
          <w:sz w:val="22"/>
          <w:szCs w:val="22"/>
        </w:rPr>
        <w:t xml:space="preserve"> </w:t>
      </w:r>
    </w:p>
    <w:p w14:paraId="6B74A9C1" w14:textId="77777777" w:rsidR="00525141" w:rsidRPr="00972519" w:rsidRDefault="00525141" w:rsidP="00B11919">
      <w:pPr>
        <w:rPr>
          <w:sz w:val="22"/>
          <w:szCs w:val="22"/>
        </w:rPr>
      </w:pPr>
    </w:p>
    <w:p w14:paraId="75A14C4B" w14:textId="6D05E1DE" w:rsidR="00AC55D8" w:rsidRDefault="00972519" w:rsidP="00997099">
      <w:pPr>
        <w:rPr>
          <w:sz w:val="22"/>
          <w:szCs w:val="22"/>
        </w:rPr>
      </w:pPr>
      <w:r w:rsidRPr="00972519">
        <w:rPr>
          <w:noProof/>
          <w:sz w:val="22"/>
          <w:szCs w:val="22"/>
        </w:rPr>
        <w:drawing>
          <wp:anchor distT="0" distB="0" distL="114300" distR="114300" simplePos="0" relativeHeight="251725312" behindDoc="1" locked="0" layoutInCell="1" allowOverlap="1" wp14:anchorId="3D2940D6" wp14:editId="72A91AF2">
            <wp:simplePos x="0" y="0"/>
            <wp:positionH relativeFrom="margin">
              <wp:posOffset>3561715</wp:posOffset>
            </wp:positionH>
            <wp:positionV relativeFrom="paragraph">
              <wp:posOffset>43180</wp:posOffset>
            </wp:positionV>
            <wp:extent cx="2657475" cy="2204720"/>
            <wp:effectExtent l="0" t="0" r="9525" b="508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204720"/>
                    </a:xfrm>
                    <a:prstGeom prst="rect">
                      <a:avLst/>
                    </a:prstGeom>
                    <a:noFill/>
                    <a:ln>
                      <a:noFill/>
                    </a:ln>
                  </pic:spPr>
                </pic:pic>
              </a:graphicData>
            </a:graphic>
          </wp:anchor>
        </w:drawing>
      </w:r>
      <w:r w:rsidR="00AC55D8">
        <w:rPr>
          <w:sz w:val="22"/>
          <w:szCs w:val="22"/>
        </w:rPr>
        <w:t>Forslaget til å</w:t>
      </w:r>
      <w:r w:rsidR="00B50B7B">
        <w:rPr>
          <w:sz w:val="22"/>
          <w:szCs w:val="22"/>
        </w:rPr>
        <w:t xml:space="preserve">rsplan </w:t>
      </w:r>
      <w:r w:rsidR="005A03F5">
        <w:rPr>
          <w:sz w:val="22"/>
          <w:szCs w:val="22"/>
        </w:rPr>
        <w:t xml:space="preserve">for 2019 </w:t>
      </w:r>
      <w:r w:rsidR="00B50B7B">
        <w:rPr>
          <w:sz w:val="22"/>
          <w:szCs w:val="22"/>
        </w:rPr>
        <w:t xml:space="preserve">er delt inn </w:t>
      </w:r>
      <w:r w:rsidR="00525141" w:rsidRPr="00972519">
        <w:rPr>
          <w:sz w:val="22"/>
          <w:szCs w:val="22"/>
        </w:rPr>
        <w:t>i fem hovedområder</w:t>
      </w:r>
      <w:r w:rsidRPr="00972519">
        <w:rPr>
          <w:sz w:val="22"/>
          <w:szCs w:val="22"/>
        </w:rPr>
        <w:t xml:space="preserve"> som er </w:t>
      </w:r>
      <w:r w:rsidR="00525141" w:rsidRPr="00972519">
        <w:rPr>
          <w:sz w:val="22"/>
          <w:szCs w:val="22"/>
        </w:rPr>
        <w:t xml:space="preserve">gjensidig avhengige og forsterker hverandre. </w:t>
      </w:r>
      <w:r w:rsidR="00AC55D8">
        <w:rPr>
          <w:sz w:val="22"/>
          <w:szCs w:val="22"/>
        </w:rPr>
        <w:t xml:space="preserve">Områdene er de samme som styret vedtok i august og høsten er brukt til å konkretisere planer og virkemidler innenfor områdene i «blomsten». </w:t>
      </w:r>
      <w:r w:rsidR="00997099">
        <w:rPr>
          <w:sz w:val="22"/>
          <w:szCs w:val="22"/>
        </w:rPr>
        <w:t>Årsp</w:t>
      </w:r>
      <w:r w:rsidR="00AC55D8" w:rsidRPr="00972519">
        <w:rPr>
          <w:sz w:val="22"/>
          <w:szCs w:val="22"/>
        </w:rPr>
        <w:t xml:space="preserve">lanen tar inn over seg strategiens ambisjon å styrke </w:t>
      </w:r>
      <w:r w:rsidR="0068411D">
        <w:rPr>
          <w:sz w:val="22"/>
          <w:szCs w:val="22"/>
        </w:rPr>
        <w:t>NTNUs</w:t>
      </w:r>
      <w:r w:rsidR="00AC55D8" w:rsidRPr="00972519">
        <w:rPr>
          <w:sz w:val="22"/>
          <w:szCs w:val="22"/>
        </w:rPr>
        <w:t xml:space="preserve"> posisjon som kunnskapsinstitusjon</w:t>
      </w:r>
      <w:r w:rsidR="00997099">
        <w:rPr>
          <w:sz w:val="22"/>
          <w:szCs w:val="22"/>
        </w:rPr>
        <w:t xml:space="preserve">, samtidig som den </w:t>
      </w:r>
      <w:r w:rsidR="00997099" w:rsidRPr="00972519">
        <w:rPr>
          <w:sz w:val="22"/>
          <w:szCs w:val="22"/>
        </w:rPr>
        <w:t>balanserer behovet for konsolidering av endringsarbeid som er iverksatt som følge av fusjon med ønsket om å svare på nye utfordringer.</w:t>
      </w:r>
    </w:p>
    <w:p w14:paraId="47F8CAC3" w14:textId="77777777" w:rsidR="00AC55D8" w:rsidRPr="00972519" w:rsidRDefault="00AC55D8" w:rsidP="00AC55D8">
      <w:pPr>
        <w:rPr>
          <w:sz w:val="22"/>
          <w:szCs w:val="22"/>
        </w:rPr>
      </w:pPr>
    </w:p>
    <w:p w14:paraId="2E877BE0" w14:textId="3E0D7A69" w:rsidR="00972519" w:rsidRPr="00972519" w:rsidRDefault="00972519" w:rsidP="00972519">
      <w:pPr>
        <w:rPr>
          <w:sz w:val="22"/>
          <w:szCs w:val="22"/>
        </w:rPr>
      </w:pPr>
      <w:r w:rsidRPr="00972519">
        <w:rPr>
          <w:sz w:val="22"/>
          <w:szCs w:val="22"/>
        </w:rPr>
        <w:t xml:space="preserve">Videreutvikling av </w:t>
      </w:r>
      <w:r w:rsidRPr="00972519">
        <w:rPr>
          <w:b/>
          <w:bCs/>
          <w:sz w:val="22"/>
          <w:szCs w:val="22"/>
        </w:rPr>
        <w:t>sterke fagmiljøer</w:t>
      </w:r>
      <w:r w:rsidRPr="00972519">
        <w:rPr>
          <w:sz w:val="22"/>
          <w:szCs w:val="22"/>
        </w:rPr>
        <w:t xml:space="preserve"> er fundamentet for vår virksomhet og </w:t>
      </w:r>
      <w:r w:rsidR="00B50B7B">
        <w:rPr>
          <w:sz w:val="22"/>
          <w:szCs w:val="22"/>
        </w:rPr>
        <w:t>helt avgjørende</w:t>
      </w:r>
      <w:r w:rsidRPr="00972519">
        <w:rPr>
          <w:sz w:val="22"/>
          <w:szCs w:val="22"/>
        </w:rPr>
        <w:t xml:space="preserve"> for å realisere strategien. I dag har enkelte fagmiljøer for lav kvalitet, og det er behov både for å løfte den faglige kvaliteten i bredden og å utvikle flere spissmiljøer.</w:t>
      </w:r>
      <w:r w:rsidR="00713714">
        <w:rPr>
          <w:sz w:val="22"/>
          <w:szCs w:val="22"/>
        </w:rPr>
        <w:t xml:space="preserve"> Dette gjelder både </w:t>
      </w:r>
      <w:r w:rsidR="00713714" w:rsidRPr="003F014E">
        <w:rPr>
          <w:sz w:val="22"/>
          <w:szCs w:val="22"/>
        </w:rPr>
        <w:t xml:space="preserve">innenfor utdanning, forskning, nyskaping </w:t>
      </w:r>
      <w:r w:rsidR="009B65A4">
        <w:rPr>
          <w:sz w:val="22"/>
          <w:szCs w:val="22"/>
        </w:rPr>
        <w:t>og</w:t>
      </w:r>
      <w:r w:rsidR="00713714" w:rsidRPr="003F014E">
        <w:rPr>
          <w:sz w:val="22"/>
          <w:szCs w:val="22"/>
        </w:rPr>
        <w:t xml:space="preserve"> formidling</w:t>
      </w:r>
      <w:r w:rsidR="00713714">
        <w:rPr>
          <w:sz w:val="22"/>
          <w:szCs w:val="22"/>
        </w:rPr>
        <w:t>.</w:t>
      </w:r>
      <w:r w:rsidRPr="00972519">
        <w:rPr>
          <w:sz w:val="22"/>
          <w:szCs w:val="22"/>
        </w:rPr>
        <w:t xml:space="preserve"> </w:t>
      </w:r>
      <w:r w:rsidR="00B50B7B">
        <w:rPr>
          <w:sz w:val="22"/>
          <w:szCs w:val="22"/>
        </w:rPr>
        <w:t>F</w:t>
      </w:r>
      <w:r w:rsidRPr="00972519">
        <w:rPr>
          <w:sz w:val="22"/>
          <w:szCs w:val="22"/>
        </w:rPr>
        <w:t xml:space="preserve">agmiljøene må i økt grad ta i bruk vår kunnskap i </w:t>
      </w:r>
      <w:r w:rsidRPr="00972519">
        <w:rPr>
          <w:b/>
          <w:bCs/>
          <w:sz w:val="22"/>
          <w:szCs w:val="22"/>
        </w:rPr>
        <w:t>samspill</w:t>
      </w:r>
      <w:r w:rsidRPr="00972519">
        <w:rPr>
          <w:sz w:val="22"/>
          <w:szCs w:val="22"/>
        </w:rPr>
        <w:t xml:space="preserve"> med samarbeidspartnere og samfunnet for øvrig, og det </w:t>
      </w:r>
      <w:r w:rsidRPr="00972519">
        <w:rPr>
          <w:b/>
          <w:sz w:val="22"/>
          <w:szCs w:val="22"/>
        </w:rPr>
        <w:t>tverrfaglige</w:t>
      </w:r>
      <w:r w:rsidRPr="00972519">
        <w:rPr>
          <w:sz w:val="22"/>
          <w:szCs w:val="22"/>
        </w:rPr>
        <w:t xml:space="preserve"> samarbeidet internt må forbedres.</w:t>
      </w:r>
      <w:r>
        <w:rPr>
          <w:sz w:val="22"/>
          <w:szCs w:val="22"/>
        </w:rPr>
        <w:t xml:space="preserve"> </w:t>
      </w:r>
      <w:r w:rsidR="00B50B7B">
        <w:rPr>
          <w:sz w:val="22"/>
          <w:szCs w:val="22"/>
        </w:rPr>
        <w:t>Videre arbeid med u</w:t>
      </w:r>
      <w:r w:rsidRPr="00972519">
        <w:rPr>
          <w:sz w:val="22"/>
          <w:szCs w:val="22"/>
        </w:rPr>
        <w:t xml:space="preserve">tvikling av et </w:t>
      </w:r>
      <w:r w:rsidRPr="00972519">
        <w:rPr>
          <w:b/>
          <w:bCs/>
          <w:sz w:val="22"/>
          <w:szCs w:val="22"/>
        </w:rPr>
        <w:t>framtidsrettet studietilbud</w:t>
      </w:r>
      <w:r w:rsidRPr="00972519">
        <w:rPr>
          <w:sz w:val="22"/>
          <w:szCs w:val="22"/>
        </w:rPr>
        <w:t xml:space="preserve"> og tilrettelegging for livslang læring innebærer fortsatt fokus på faglig integrasjon, og er viktig både for vår posisjon i sektoren og for styrking av handlingsrommet. NTNU har en unik mulighet gjennom campusprosjektet i kombinasjon med ny</w:t>
      </w:r>
      <w:r w:rsidR="0068411D">
        <w:rPr>
          <w:sz w:val="22"/>
          <w:szCs w:val="22"/>
        </w:rPr>
        <w:t>e</w:t>
      </w:r>
      <w:r w:rsidRPr="00972519">
        <w:rPr>
          <w:sz w:val="22"/>
          <w:szCs w:val="22"/>
        </w:rPr>
        <w:t xml:space="preserve"> tekniske løsninger og organisasjonsutvikling, til å fornye infrastrukturen for både </w:t>
      </w:r>
      <w:r w:rsidRPr="00972519">
        <w:rPr>
          <w:b/>
          <w:bCs/>
          <w:sz w:val="22"/>
          <w:szCs w:val="22"/>
        </w:rPr>
        <w:t>arbeids- og læringsmiljøer</w:t>
      </w:r>
      <w:r w:rsidRPr="00972519">
        <w:rPr>
          <w:sz w:val="22"/>
          <w:szCs w:val="22"/>
        </w:rPr>
        <w:t xml:space="preserve">. De sterke fagmiljøene har behov effektive og moderne </w:t>
      </w:r>
      <w:r w:rsidRPr="00972519">
        <w:rPr>
          <w:b/>
          <w:bCs/>
          <w:sz w:val="22"/>
          <w:szCs w:val="22"/>
        </w:rPr>
        <w:t>teknisk-administrative tjenester</w:t>
      </w:r>
      <w:r w:rsidRPr="00972519">
        <w:rPr>
          <w:sz w:val="22"/>
          <w:szCs w:val="22"/>
        </w:rPr>
        <w:t xml:space="preserve">, med riktig kvalitet tilpasset </w:t>
      </w:r>
      <w:r w:rsidR="00846062">
        <w:rPr>
          <w:sz w:val="22"/>
          <w:szCs w:val="22"/>
        </w:rPr>
        <w:t>sine</w:t>
      </w:r>
      <w:r w:rsidRPr="00972519">
        <w:rPr>
          <w:sz w:val="22"/>
          <w:szCs w:val="22"/>
        </w:rPr>
        <w:t xml:space="preserve"> behov.</w:t>
      </w:r>
    </w:p>
    <w:p w14:paraId="1EA7FC78" w14:textId="77777777" w:rsidR="007D23B9" w:rsidRDefault="007D23B9" w:rsidP="007D23B9">
      <w:pPr>
        <w:rPr>
          <w:sz w:val="22"/>
          <w:szCs w:val="22"/>
        </w:rPr>
      </w:pPr>
    </w:p>
    <w:p w14:paraId="2D8D54FF" w14:textId="194D47D0" w:rsidR="007D23B9" w:rsidRDefault="007D23B9" w:rsidP="007D23B9">
      <w:pPr>
        <w:rPr>
          <w:sz w:val="22"/>
          <w:szCs w:val="22"/>
        </w:rPr>
      </w:pPr>
      <w:r w:rsidRPr="00BC1346">
        <w:rPr>
          <w:sz w:val="22"/>
          <w:szCs w:val="22"/>
        </w:rPr>
        <w:t xml:space="preserve">For å sikre god iverksetting av strategien </w:t>
      </w:r>
      <w:r w:rsidR="00846062">
        <w:rPr>
          <w:sz w:val="22"/>
          <w:szCs w:val="22"/>
        </w:rPr>
        <w:t xml:space="preserve">og lette oversikten for brukerne </w:t>
      </w:r>
      <w:r w:rsidRPr="00BC1346">
        <w:rPr>
          <w:sz w:val="22"/>
          <w:szCs w:val="22"/>
        </w:rPr>
        <w:t xml:space="preserve">har vi definert innhold </w:t>
      </w:r>
      <w:r>
        <w:rPr>
          <w:sz w:val="22"/>
          <w:szCs w:val="22"/>
        </w:rPr>
        <w:t xml:space="preserve">og struktur i ulike typer styrende dokumenter. Det er </w:t>
      </w:r>
      <w:r w:rsidRPr="00BC1346">
        <w:rPr>
          <w:sz w:val="22"/>
          <w:szCs w:val="22"/>
        </w:rPr>
        <w:t>lagt en plan for rydding i dokumente</w:t>
      </w:r>
      <w:r>
        <w:rPr>
          <w:sz w:val="22"/>
          <w:szCs w:val="22"/>
        </w:rPr>
        <w:t>ne</w:t>
      </w:r>
      <w:r w:rsidRPr="00BC1346">
        <w:rPr>
          <w:sz w:val="22"/>
          <w:szCs w:val="22"/>
        </w:rPr>
        <w:t xml:space="preserve">, herunder etablering av noen nye. </w:t>
      </w:r>
      <w:r>
        <w:rPr>
          <w:sz w:val="22"/>
          <w:szCs w:val="22"/>
        </w:rPr>
        <w:t>Eksempelvis vil vi initiere et arbeid for å</w:t>
      </w:r>
      <w:r w:rsidR="00713714">
        <w:rPr>
          <w:sz w:val="22"/>
          <w:szCs w:val="22"/>
        </w:rPr>
        <w:t xml:space="preserve"> revidere personalpolitikken og etablere en</w:t>
      </w:r>
      <w:r w:rsidR="005A03F5">
        <w:rPr>
          <w:sz w:val="22"/>
          <w:szCs w:val="22"/>
        </w:rPr>
        <w:t xml:space="preserve"> p</w:t>
      </w:r>
      <w:r w:rsidR="005A03F5" w:rsidRPr="005A03F5">
        <w:rPr>
          <w:sz w:val="22"/>
          <w:szCs w:val="22"/>
        </w:rPr>
        <w:t>olitikk for utvikling og kvalitet i studieporteføljen</w:t>
      </w:r>
      <w:r w:rsidR="005A03F5">
        <w:rPr>
          <w:sz w:val="22"/>
          <w:szCs w:val="22"/>
        </w:rPr>
        <w:t>.</w:t>
      </w:r>
    </w:p>
    <w:p w14:paraId="22028677" w14:textId="77777777" w:rsidR="00DB5A32" w:rsidRDefault="00DB5A32" w:rsidP="00DB5A32">
      <w:pPr>
        <w:rPr>
          <w:sz w:val="22"/>
          <w:szCs w:val="22"/>
          <w:highlight w:val="yellow"/>
        </w:rPr>
      </w:pPr>
    </w:p>
    <w:p w14:paraId="55ED562D" w14:textId="77777777" w:rsidR="0039772E" w:rsidRPr="00972519" w:rsidRDefault="000A3CFC" w:rsidP="00A26D89">
      <w:pPr>
        <w:rPr>
          <w:sz w:val="22"/>
          <w:szCs w:val="22"/>
        </w:rPr>
      </w:pPr>
      <w:r w:rsidRPr="00972519">
        <w:rPr>
          <w:sz w:val="22"/>
          <w:szCs w:val="22"/>
        </w:rPr>
        <w:t xml:space="preserve">I statsbudsjettet foreslås NTNUs bevilgning økt med 229 mill. kroner til 6,7 mrd. kr i 2019. Dette er en nominell økning på 3,5 prosent som tilsvarer en realøkning på 0,6 prosent. </w:t>
      </w:r>
      <w:r w:rsidR="0039772E" w:rsidRPr="00972519">
        <w:rPr>
          <w:sz w:val="22"/>
          <w:szCs w:val="22"/>
        </w:rPr>
        <w:t xml:space="preserve">I årsplanen er det foreslått en fordeling </w:t>
      </w:r>
      <w:r w:rsidR="00FD1E46" w:rsidRPr="00972519">
        <w:rPr>
          <w:sz w:val="22"/>
          <w:szCs w:val="22"/>
        </w:rPr>
        <w:t xml:space="preserve">av </w:t>
      </w:r>
      <w:r w:rsidR="0039772E" w:rsidRPr="00972519">
        <w:rPr>
          <w:sz w:val="22"/>
          <w:szCs w:val="22"/>
        </w:rPr>
        <w:t xml:space="preserve">nesten 6,8 mrd.kr. i 2019. Dette innebærer fordeling </w:t>
      </w:r>
      <w:r w:rsidR="00FD1E46" w:rsidRPr="00972519">
        <w:rPr>
          <w:sz w:val="22"/>
          <w:szCs w:val="22"/>
        </w:rPr>
        <w:t xml:space="preserve">av en noe større ramme </w:t>
      </w:r>
      <w:r w:rsidR="0039772E" w:rsidRPr="00972519">
        <w:rPr>
          <w:sz w:val="22"/>
          <w:szCs w:val="22"/>
        </w:rPr>
        <w:t xml:space="preserve">enn bevilgningen fra KD. Det er lagt inn en forskuttering for å sikre nødvendig fremdrift i Campusprosjektet og gi rom for </w:t>
      </w:r>
      <w:r w:rsidR="00FD1E46" w:rsidRPr="00972519">
        <w:rPr>
          <w:sz w:val="22"/>
          <w:szCs w:val="22"/>
        </w:rPr>
        <w:t>å redusere opplevde flaskehalser i</w:t>
      </w:r>
      <w:r w:rsidR="0039772E" w:rsidRPr="00972519">
        <w:rPr>
          <w:sz w:val="22"/>
          <w:szCs w:val="22"/>
        </w:rPr>
        <w:t xml:space="preserve"> det </w:t>
      </w:r>
      <w:r w:rsidRPr="00972519">
        <w:rPr>
          <w:sz w:val="22"/>
          <w:szCs w:val="22"/>
        </w:rPr>
        <w:t xml:space="preserve">administrative støtteapparatet. Samlet for langtidsperioden legges det til rette for å gjøre </w:t>
      </w:r>
      <w:r w:rsidR="00FD1E46" w:rsidRPr="00972519">
        <w:rPr>
          <w:sz w:val="22"/>
          <w:szCs w:val="22"/>
        </w:rPr>
        <w:t>store investerings</w:t>
      </w:r>
      <w:r w:rsidRPr="00972519">
        <w:rPr>
          <w:sz w:val="22"/>
          <w:szCs w:val="22"/>
        </w:rPr>
        <w:t>løft innen campusutvikling, samlokalisering og digitalisering.</w:t>
      </w:r>
    </w:p>
    <w:p w14:paraId="0D0FD91D" w14:textId="77777777" w:rsidR="0039772E" w:rsidRPr="00972519" w:rsidRDefault="0039772E" w:rsidP="00A26D89">
      <w:pPr>
        <w:rPr>
          <w:sz w:val="22"/>
          <w:szCs w:val="22"/>
        </w:rPr>
      </w:pPr>
    </w:p>
    <w:p w14:paraId="3408DC11" w14:textId="77777777" w:rsidR="003722D2" w:rsidRPr="00972519" w:rsidRDefault="003722D2" w:rsidP="00C63199">
      <w:pPr>
        <w:rPr>
          <w:sz w:val="22"/>
          <w:szCs w:val="22"/>
        </w:rPr>
      </w:pPr>
      <w:r w:rsidRPr="00972519">
        <w:rPr>
          <w:sz w:val="22"/>
          <w:szCs w:val="22"/>
        </w:rPr>
        <w:t xml:space="preserve">Årsplanen inneholder også forslag til indikatorer. Vi ønsker </w:t>
      </w:r>
      <w:r w:rsidR="00FD1E46" w:rsidRPr="00972519">
        <w:rPr>
          <w:sz w:val="22"/>
          <w:szCs w:val="22"/>
        </w:rPr>
        <w:t xml:space="preserve">også framover </w:t>
      </w:r>
      <w:r w:rsidRPr="00972519">
        <w:rPr>
          <w:sz w:val="22"/>
          <w:szCs w:val="22"/>
        </w:rPr>
        <w:t xml:space="preserve">å bruke KDs styringsparametere for å vurdere resultatutvikling, men vil supplere </w:t>
      </w:r>
      <w:r w:rsidR="00FD1E46" w:rsidRPr="00972519">
        <w:rPr>
          <w:sz w:val="22"/>
          <w:szCs w:val="22"/>
        </w:rPr>
        <w:t xml:space="preserve">disse </w:t>
      </w:r>
      <w:r w:rsidRPr="00972519">
        <w:rPr>
          <w:sz w:val="22"/>
          <w:szCs w:val="22"/>
        </w:rPr>
        <w:t xml:space="preserve">med egne </w:t>
      </w:r>
      <w:r w:rsidR="00FD1E46" w:rsidRPr="00972519">
        <w:rPr>
          <w:sz w:val="22"/>
          <w:szCs w:val="22"/>
        </w:rPr>
        <w:t>NTNU-</w:t>
      </w:r>
      <w:r w:rsidRPr="00972519">
        <w:rPr>
          <w:sz w:val="22"/>
          <w:szCs w:val="22"/>
        </w:rPr>
        <w:t xml:space="preserve">indikatorer som bedre reflekterer </w:t>
      </w:r>
      <w:r w:rsidR="00A26D89" w:rsidRPr="00972519">
        <w:rPr>
          <w:sz w:val="22"/>
          <w:szCs w:val="22"/>
        </w:rPr>
        <w:t>om vi har ønsket utvikl</w:t>
      </w:r>
      <w:r w:rsidR="00BC1346">
        <w:rPr>
          <w:sz w:val="22"/>
          <w:szCs w:val="22"/>
        </w:rPr>
        <w:t>ing på de prioriterte områdene.</w:t>
      </w:r>
    </w:p>
    <w:p w14:paraId="52EF4A4C" w14:textId="77777777" w:rsidR="003722D2" w:rsidRPr="00972519" w:rsidRDefault="00AC55D8" w:rsidP="00C63199">
      <w:pPr>
        <w:rPr>
          <w:sz w:val="22"/>
          <w:szCs w:val="22"/>
        </w:rPr>
      </w:pPr>
      <w:r w:rsidRPr="00972519">
        <w:rPr>
          <w:i/>
          <w:noProof/>
          <w:sz w:val="22"/>
          <w:szCs w:val="22"/>
        </w:rPr>
        <mc:AlternateContent>
          <mc:Choice Requires="wps">
            <w:drawing>
              <wp:anchor distT="0" distB="0" distL="114300" distR="114300" simplePos="0" relativeHeight="251723264" behindDoc="0" locked="0" layoutInCell="1" allowOverlap="1" wp14:anchorId="5C7BA182" wp14:editId="0DEFF223">
                <wp:simplePos x="0" y="0"/>
                <wp:positionH relativeFrom="margin">
                  <wp:posOffset>3094355</wp:posOffset>
                </wp:positionH>
                <wp:positionV relativeFrom="paragraph">
                  <wp:posOffset>83185</wp:posOffset>
                </wp:positionV>
                <wp:extent cx="3130550" cy="1816100"/>
                <wp:effectExtent l="0" t="0" r="0" b="0"/>
                <wp:wrapSquare wrapText="bothSides"/>
                <wp:docPr id="3" name="Tekstboks 3"/>
                <wp:cNvGraphicFramePr/>
                <a:graphic xmlns:a="http://schemas.openxmlformats.org/drawingml/2006/main">
                  <a:graphicData uri="http://schemas.microsoft.com/office/word/2010/wordprocessingShape">
                    <wps:wsp>
                      <wps:cNvSpPr txBox="1"/>
                      <wps:spPr>
                        <a:xfrm>
                          <a:off x="0" y="0"/>
                          <a:ext cx="3130550" cy="1816100"/>
                        </a:xfrm>
                        <a:prstGeom prst="rect">
                          <a:avLst/>
                        </a:prstGeom>
                        <a:solidFill>
                          <a:schemeClr val="lt1"/>
                        </a:solidFill>
                        <a:ln w="6350">
                          <a:noFill/>
                        </a:ln>
                      </wps:spPr>
                      <wps:txbx>
                        <w:txbxContent>
                          <w:p w14:paraId="6444BB2D" w14:textId="77777777" w:rsidR="0068411D" w:rsidRPr="00205907" w:rsidRDefault="0068411D" w:rsidP="00705321">
                            <w:pPr>
                              <w:pStyle w:val="ListParagraph"/>
                              <w:numPr>
                                <w:ilvl w:val="0"/>
                                <w:numId w:val="31"/>
                              </w:numPr>
                              <w:rPr>
                                <w:i/>
                                <w:sz w:val="20"/>
                                <w:szCs w:val="22"/>
                              </w:rPr>
                            </w:pPr>
                            <w:r w:rsidRPr="00205907">
                              <w:rPr>
                                <w:i/>
                                <w:sz w:val="20"/>
                                <w:szCs w:val="22"/>
                              </w:rPr>
                              <w:t>Høyt endringstrykk, samlet sett</w:t>
                            </w:r>
                          </w:p>
                          <w:p w14:paraId="3BCD956C" w14:textId="77777777" w:rsidR="0068411D" w:rsidRPr="00205907" w:rsidRDefault="0068411D" w:rsidP="00705321">
                            <w:pPr>
                              <w:pStyle w:val="ListParagraph"/>
                              <w:numPr>
                                <w:ilvl w:val="0"/>
                                <w:numId w:val="31"/>
                              </w:numPr>
                              <w:rPr>
                                <w:i/>
                                <w:sz w:val="20"/>
                                <w:szCs w:val="22"/>
                              </w:rPr>
                            </w:pPr>
                            <w:r w:rsidRPr="00205907">
                              <w:rPr>
                                <w:i/>
                                <w:sz w:val="20"/>
                                <w:szCs w:val="22"/>
                              </w:rPr>
                              <w:t>Kapasitet og tilgjengelighet i ledelse og støtteapparat</w:t>
                            </w:r>
                          </w:p>
                          <w:p w14:paraId="58EA3589" w14:textId="77777777" w:rsidR="0068411D" w:rsidRPr="00205907" w:rsidRDefault="0068411D" w:rsidP="00705321">
                            <w:pPr>
                              <w:pStyle w:val="ListParagraph"/>
                              <w:numPr>
                                <w:ilvl w:val="0"/>
                                <w:numId w:val="31"/>
                              </w:numPr>
                              <w:rPr>
                                <w:i/>
                                <w:sz w:val="20"/>
                                <w:szCs w:val="22"/>
                              </w:rPr>
                            </w:pPr>
                            <w:r w:rsidRPr="00205907">
                              <w:rPr>
                                <w:i/>
                                <w:sz w:val="20"/>
                                <w:szCs w:val="22"/>
                              </w:rPr>
                              <w:t>Digital kompetanse</w:t>
                            </w:r>
                          </w:p>
                          <w:p w14:paraId="2C14B8CA" w14:textId="77777777" w:rsidR="0068411D" w:rsidRPr="00205907" w:rsidRDefault="0068411D" w:rsidP="00705321">
                            <w:pPr>
                              <w:pStyle w:val="ListParagraph"/>
                              <w:numPr>
                                <w:ilvl w:val="0"/>
                                <w:numId w:val="31"/>
                              </w:numPr>
                              <w:rPr>
                                <w:i/>
                                <w:sz w:val="20"/>
                                <w:szCs w:val="22"/>
                              </w:rPr>
                            </w:pPr>
                            <w:r w:rsidRPr="00205907">
                              <w:rPr>
                                <w:i/>
                                <w:sz w:val="20"/>
                                <w:szCs w:val="22"/>
                              </w:rPr>
                              <w:t>Rask rekruttering av de riktig ansatte</w:t>
                            </w:r>
                          </w:p>
                          <w:p w14:paraId="3201E610" w14:textId="77777777" w:rsidR="0068411D" w:rsidRPr="00205907" w:rsidRDefault="0068411D" w:rsidP="00705321">
                            <w:pPr>
                              <w:pStyle w:val="ListParagraph"/>
                              <w:numPr>
                                <w:ilvl w:val="0"/>
                                <w:numId w:val="31"/>
                              </w:numPr>
                              <w:rPr>
                                <w:i/>
                                <w:sz w:val="20"/>
                                <w:szCs w:val="22"/>
                              </w:rPr>
                            </w:pPr>
                            <w:r w:rsidRPr="00205907">
                              <w:rPr>
                                <w:i/>
                                <w:sz w:val="20"/>
                                <w:szCs w:val="22"/>
                              </w:rPr>
                              <w:t>Stordriftsulemper knyttet til koordinering av støtteapparatet</w:t>
                            </w:r>
                          </w:p>
                          <w:p w14:paraId="0DE3D4FF" w14:textId="77777777" w:rsidR="0068411D" w:rsidRPr="00205907" w:rsidRDefault="0068411D" w:rsidP="00705321">
                            <w:pPr>
                              <w:pStyle w:val="ListParagraph"/>
                              <w:numPr>
                                <w:ilvl w:val="0"/>
                                <w:numId w:val="31"/>
                              </w:numPr>
                              <w:rPr>
                                <w:i/>
                                <w:sz w:val="20"/>
                                <w:szCs w:val="22"/>
                              </w:rPr>
                            </w:pPr>
                            <w:r w:rsidRPr="00205907">
                              <w:rPr>
                                <w:i/>
                                <w:sz w:val="20"/>
                                <w:szCs w:val="22"/>
                              </w:rPr>
                              <w:t xml:space="preserve">Omlegging av etter- og videreutdanningsvirksomheten, </w:t>
                            </w:r>
                          </w:p>
                          <w:p w14:paraId="786F04AA" w14:textId="77777777" w:rsidR="0068411D" w:rsidRPr="00205907" w:rsidRDefault="0068411D" w:rsidP="00705321">
                            <w:pPr>
                              <w:pStyle w:val="ListParagraph"/>
                              <w:numPr>
                                <w:ilvl w:val="0"/>
                                <w:numId w:val="31"/>
                              </w:numPr>
                              <w:rPr>
                                <w:sz w:val="20"/>
                                <w:szCs w:val="22"/>
                              </w:rPr>
                            </w:pPr>
                            <w:r w:rsidRPr="00205907">
                              <w:rPr>
                                <w:i/>
                                <w:sz w:val="20"/>
                                <w:szCs w:val="22"/>
                              </w:rPr>
                              <w:t>Informasjonssikkerhet, personvern og internkontroll</w:t>
                            </w:r>
                          </w:p>
                          <w:p w14:paraId="5612D947" w14:textId="77777777" w:rsidR="0068411D" w:rsidRPr="00C43EF1" w:rsidRDefault="0068411D" w:rsidP="00705321">
                            <w:pPr>
                              <w:pStyle w:val="ListParagraph"/>
                              <w:numPr>
                                <w:ilvl w:val="0"/>
                                <w:numId w:val="31"/>
                              </w:numPr>
                              <w:rPr>
                                <w:sz w:val="20"/>
                                <w:szCs w:val="22"/>
                              </w:rPr>
                            </w:pPr>
                            <w:r w:rsidRPr="00205907">
                              <w:rPr>
                                <w:i/>
                                <w:sz w:val="20"/>
                                <w:szCs w:val="22"/>
                              </w:rPr>
                              <w:t>Gjennomføring av samlokaliseringsprosjektet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7BA182" id="_x0000_t202" coordsize="21600,21600" o:spt="202" path="m,l,21600r21600,l21600,xe">
                <v:stroke joinstyle="miter"/>
                <v:path gradientshapeok="t" o:connecttype="rect"/>
              </v:shapetype>
              <v:shape id="Tekstboks 3" o:spid="_x0000_s1026" type="#_x0000_t202" style="position:absolute;margin-left:243.65pt;margin-top:6.55pt;width:246.5pt;height:143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liRQIAAHsEAAAOAAAAZHJzL2Uyb0RvYy54bWysVEtv2zAMvg/YfxB0X2zntTaIU2QpMgwo&#10;2gLJ0LMiS7FRWdQkJXb260fJTpp1Ow27yKRI8fF9pOd3ba3IUVhXgc5pNkgpEZpDUel9Tr9v159u&#10;KHGe6YIp0CKnJ+Ho3eLjh3ljZmIIJahCWIJBtJs1Jqel92aWJI6XomZuAEZoNEqwNfOo2n1SWNZg&#10;9FolwzSdJg3Ywljgwjm8ve+MdBHjSym4f5LSCU9UTrE2H08bz104k8WczfaWmbLifRnsH6qoWaUx&#10;6SXUPfOMHGz1R6i64hYcSD/gUCcgZcVF7AG7ydJ33WxKZkTsBcFx5gKT+39h+ePx2ZKqyOmIEs1q&#10;pGgrXp3fwasjowBPY9wMvTYG/Xz7BVqk+Xzv8DJ03Upbhy/2Q9COQJ8u4IrWE46Xo2yUTiZo4mjL&#10;brJplkb4k7fnxjr/VUBNgpBTi+xFUNnxwXksBV3PLiGbA1UV60qpqISJEStlyZEh18rHIvHFb15K&#10;kyan0xHWER5pCM+7yEpjgtBs11SQfLtrewR2UJwQAAvdBDnD1xUW+cCcf2YWRwYbwzXwT3hIBZgE&#10;eomSEuzPv90Hf2QSrZQ0OII5dT8OzApK1DeNHN9m43GY2aiMJ5+HqNhry+7aog/1CrDzDBfO8CgG&#10;f6/OorRQv+C2LENWNDHNMXdO/Vlc+W4xcNu4WC6jE06pYf5BbwwPoQNogYJt+8Ks6XnySPEjnIeV&#10;zd7R1fl2cC8PHmQVuQwAd6j2uOOER4r7bQwrdK1Hr7d/xuIXAAAA//8DAFBLAwQUAAYACAAAACEA&#10;hy7PTuEAAAAKAQAADwAAAGRycy9kb3ducmV2LnhtbEyPTU+EMBCG7yb+h2ZMvBi3sKgLSNkY40fi&#10;zcWPeOvSEYh0SmgX8N87nvQ48z5555liu9heTDj6zpGCeBWBQKqd6ahR8FLdn6cgfNBkdO8IFXyj&#10;h215fFTo3LiZnnHahUZwCflcK2hDGHIpfd2i1X7lBiTOPt1odeBxbKQZ9czltpfrKLqSVnfEF1o9&#10;4G2L9dfuYBV8nDXvT355eJ2Ty2S4e5yqzZuplDo9WW6uQQRcwh8Mv/qsDiU77d2BjBe9got0kzDK&#10;QRKDYCBLI17sFayzLAZZFvL/C+UPAAAA//8DAFBLAQItABQABgAIAAAAIQC2gziS/gAAAOEBAAAT&#10;AAAAAAAAAAAAAAAAAAAAAABbQ29udGVudF9UeXBlc10ueG1sUEsBAi0AFAAGAAgAAAAhADj9If/W&#10;AAAAlAEAAAsAAAAAAAAAAAAAAAAALwEAAF9yZWxzLy5yZWxzUEsBAi0AFAAGAAgAAAAhAJeUyWJF&#10;AgAAewQAAA4AAAAAAAAAAAAAAAAALgIAAGRycy9lMm9Eb2MueG1sUEsBAi0AFAAGAAgAAAAhAIcu&#10;z07hAAAACgEAAA8AAAAAAAAAAAAAAAAAnwQAAGRycy9kb3ducmV2LnhtbFBLBQYAAAAABAAEAPMA&#10;AACtBQAAAAA=&#10;" fillcolor="white [3201]" stroked="f" strokeweight=".5pt">
                <v:textbox>
                  <w:txbxContent>
                    <w:p w14:paraId="6444BB2D" w14:textId="77777777" w:rsidR="0068411D" w:rsidRPr="00205907" w:rsidRDefault="0068411D" w:rsidP="00705321">
                      <w:pPr>
                        <w:pStyle w:val="Listeavsnitt"/>
                        <w:numPr>
                          <w:ilvl w:val="0"/>
                          <w:numId w:val="31"/>
                        </w:numPr>
                        <w:rPr>
                          <w:i/>
                          <w:sz w:val="20"/>
                          <w:szCs w:val="22"/>
                        </w:rPr>
                      </w:pPr>
                      <w:r w:rsidRPr="00205907">
                        <w:rPr>
                          <w:i/>
                          <w:sz w:val="20"/>
                          <w:szCs w:val="22"/>
                        </w:rPr>
                        <w:t>Høyt endringstrykk, samlet sett</w:t>
                      </w:r>
                    </w:p>
                    <w:p w14:paraId="3BCD956C" w14:textId="77777777" w:rsidR="0068411D" w:rsidRPr="00205907" w:rsidRDefault="0068411D" w:rsidP="00705321">
                      <w:pPr>
                        <w:pStyle w:val="Listeavsnitt"/>
                        <w:numPr>
                          <w:ilvl w:val="0"/>
                          <w:numId w:val="31"/>
                        </w:numPr>
                        <w:rPr>
                          <w:i/>
                          <w:sz w:val="20"/>
                          <w:szCs w:val="22"/>
                        </w:rPr>
                      </w:pPr>
                      <w:r w:rsidRPr="00205907">
                        <w:rPr>
                          <w:i/>
                          <w:sz w:val="20"/>
                          <w:szCs w:val="22"/>
                        </w:rPr>
                        <w:t>Kapasitet og tilgjengelighet i ledelse og støtteapparat</w:t>
                      </w:r>
                    </w:p>
                    <w:p w14:paraId="58EA3589" w14:textId="77777777" w:rsidR="0068411D" w:rsidRPr="00205907" w:rsidRDefault="0068411D" w:rsidP="00705321">
                      <w:pPr>
                        <w:pStyle w:val="Listeavsnitt"/>
                        <w:numPr>
                          <w:ilvl w:val="0"/>
                          <w:numId w:val="31"/>
                        </w:numPr>
                        <w:rPr>
                          <w:i/>
                          <w:sz w:val="20"/>
                          <w:szCs w:val="22"/>
                        </w:rPr>
                      </w:pPr>
                      <w:r w:rsidRPr="00205907">
                        <w:rPr>
                          <w:i/>
                          <w:sz w:val="20"/>
                          <w:szCs w:val="22"/>
                        </w:rPr>
                        <w:t>Digital kompetanse</w:t>
                      </w:r>
                    </w:p>
                    <w:p w14:paraId="2C14B8CA" w14:textId="77777777" w:rsidR="0068411D" w:rsidRPr="00205907" w:rsidRDefault="0068411D" w:rsidP="00705321">
                      <w:pPr>
                        <w:pStyle w:val="Listeavsnitt"/>
                        <w:numPr>
                          <w:ilvl w:val="0"/>
                          <w:numId w:val="31"/>
                        </w:numPr>
                        <w:rPr>
                          <w:i/>
                          <w:sz w:val="20"/>
                          <w:szCs w:val="22"/>
                        </w:rPr>
                      </w:pPr>
                      <w:r w:rsidRPr="00205907">
                        <w:rPr>
                          <w:i/>
                          <w:sz w:val="20"/>
                          <w:szCs w:val="22"/>
                        </w:rPr>
                        <w:t>Rask rekruttering av de riktig ansatte</w:t>
                      </w:r>
                    </w:p>
                    <w:p w14:paraId="3201E610" w14:textId="77777777" w:rsidR="0068411D" w:rsidRPr="00205907" w:rsidRDefault="0068411D" w:rsidP="00705321">
                      <w:pPr>
                        <w:pStyle w:val="Listeavsnitt"/>
                        <w:numPr>
                          <w:ilvl w:val="0"/>
                          <w:numId w:val="31"/>
                        </w:numPr>
                        <w:rPr>
                          <w:i/>
                          <w:sz w:val="20"/>
                          <w:szCs w:val="22"/>
                        </w:rPr>
                      </w:pPr>
                      <w:r w:rsidRPr="00205907">
                        <w:rPr>
                          <w:i/>
                          <w:sz w:val="20"/>
                          <w:szCs w:val="22"/>
                        </w:rPr>
                        <w:t>Stordriftsulemper knyttet til koordinering av støtteapparatet</w:t>
                      </w:r>
                    </w:p>
                    <w:p w14:paraId="0DE3D4FF" w14:textId="77777777" w:rsidR="0068411D" w:rsidRPr="00205907" w:rsidRDefault="0068411D" w:rsidP="00705321">
                      <w:pPr>
                        <w:pStyle w:val="Listeavsnitt"/>
                        <w:numPr>
                          <w:ilvl w:val="0"/>
                          <w:numId w:val="31"/>
                        </w:numPr>
                        <w:rPr>
                          <w:i/>
                          <w:sz w:val="20"/>
                          <w:szCs w:val="22"/>
                        </w:rPr>
                      </w:pPr>
                      <w:r w:rsidRPr="00205907">
                        <w:rPr>
                          <w:i/>
                          <w:sz w:val="20"/>
                          <w:szCs w:val="22"/>
                        </w:rPr>
                        <w:t xml:space="preserve">Omlegging av etter- og videreutdanningsvirksomheten, </w:t>
                      </w:r>
                    </w:p>
                    <w:p w14:paraId="786F04AA" w14:textId="77777777" w:rsidR="0068411D" w:rsidRPr="00205907" w:rsidRDefault="0068411D" w:rsidP="00705321">
                      <w:pPr>
                        <w:pStyle w:val="Listeavsnitt"/>
                        <w:numPr>
                          <w:ilvl w:val="0"/>
                          <w:numId w:val="31"/>
                        </w:numPr>
                        <w:rPr>
                          <w:sz w:val="20"/>
                          <w:szCs w:val="22"/>
                        </w:rPr>
                      </w:pPr>
                      <w:r w:rsidRPr="00205907">
                        <w:rPr>
                          <w:i/>
                          <w:sz w:val="20"/>
                          <w:szCs w:val="22"/>
                        </w:rPr>
                        <w:t>Informasjonssikkerhet, personvern og internkontroll</w:t>
                      </w:r>
                    </w:p>
                    <w:p w14:paraId="5612D947" w14:textId="77777777" w:rsidR="0068411D" w:rsidRPr="00C43EF1" w:rsidRDefault="0068411D" w:rsidP="00705321">
                      <w:pPr>
                        <w:pStyle w:val="Listeavsnitt"/>
                        <w:numPr>
                          <w:ilvl w:val="0"/>
                          <w:numId w:val="31"/>
                        </w:numPr>
                        <w:rPr>
                          <w:sz w:val="20"/>
                          <w:szCs w:val="22"/>
                        </w:rPr>
                      </w:pPr>
                      <w:r w:rsidRPr="00205907">
                        <w:rPr>
                          <w:i/>
                          <w:sz w:val="20"/>
                          <w:szCs w:val="22"/>
                        </w:rPr>
                        <w:t>Gjennomføring av samlokaliseringsprosjektet</w:t>
                      </w:r>
                    </w:p>
                  </w:txbxContent>
                </v:textbox>
                <w10:wrap type="square" anchorx="margin"/>
              </v:shape>
            </w:pict>
          </mc:Fallback>
        </mc:AlternateContent>
      </w:r>
    </w:p>
    <w:p w14:paraId="41022272" w14:textId="77777777" w:rsidR="00AC55D8" w:rsidRDefault="000B63B4" w:rsidP="00C63199">
      <w:pPr>
        <w:rPr>
          <w:sz w:val="22"/>
          <w:szCs w:val="22"/>
        </w:rPr>
      </w:pPr>
      <w:r w:rsidRPr="00972519">
        <w:rPr>
          <w:sz w:val="22"/>
          <w:szCs w:val="22"/>
        </w:rPr>
        <w:t xml:space="preserve">Det er utarbeidet en risikovurdering av årsplanen, og </w:t>
      </w:r>
      <w:r w:rsidR="00AC55D8">
        <w:rPr>
          <w:sz w:val="22"/>
          <w:szCs w:val="22"/>
        </w:rPr>
        <w:t xml:space="preserve">risikofaktorene </w:t>
      </w:r>
      <w:r w:rsidR="00DB5A32" w:rsidRPr="00972519">
        <w:rPr>
          <w:sz w:val="22"/>
          <w:szCs w:val="22"/>
        </w:rPr>
        <w:t>oppsummeres</w:t>
      </w:r>
      <w:r w:rsidRPr="00972519">
        <w:rPr>
          <w:sz w:val="22"/>
          <w:szCs w:val="22"/>
        </w:rPr>
        <w:t xml:space="preserve"> </w:t>
      </w:r>
      <w:r w:rsidR="00AC55D8">
        <w:rPr>
          <w:sz w:val="22"/>
          <w:szCs w:val="22"/>
        </w:rPr>
        <w:t xml:space="preserve">i punktene </w:t>
      </w:r>
      <w:r w:rsidRPr="00972519">
        <w:rPr>
          <w:sz w:val="22"/>
          <w:szCs w:val="22"/>
        </w:rPr>
        <w:t>til høyre</w:t>
      </w:r>
      <w:r w:rsidR="00DB5A32" w:rsidRPr="00972519">
        <w:rPr>
          <w:sz w:val="22"/>
          <w:szCs w:val="22"/>
        </w:rPr>
        <w:t>.</w:t>
      </w:r>
      <w:r w:rsidRPr="00972519">
        <w:rPr>
          <w:sz w:val="22"/>
          <w:szCs w:val="22"/>
        </w:rPr>
        <w:t xml:space="preserve"> </w:t>
      </w:r>
    </w:p>
    <w:p w14:paraId="09F04B48" w14:textId="77777777" w:rsidR="00AC55D8" w:rsidRDefault="00AC55D8" w:rsidP="00C63199">
      <w:pPr>
        <w:rPr>
          <w:sz w:val="22"/>
          <w:szCs w:val="22"/>
        </w:rPr>
      </w:pPr>
    </w:p>
    <w:p w14:paraId="6284B0CB" w14:textId="77777777" w:rsidR="000B63B4" w:rsidRPr="00972519" w:rsidRDefault="000B63B4" w:rsidP="00C63199">
      <w:pPr>
        <w:rPr>
          <w:sz w:val="22"/>
          <w:szCs w:val="22"/>
        </w:rPr>
      </w:pPr>
      <w:r w:rsidRPr="00972519">
        <w:rPr>
          <w:sz w:val="22"/>
          <w:szCs w:val="22"/>
        </w:rPr>
        <w:t>Mange av momentene kan relateres til NTNUs omstillingsevne. Summen av flere risikoområder kan gi seg utslag i lavere aktivitet enn budsjettert og dermed også et lavere kostnadsnivå enn forventet og påfølgende oppbygging av ubrukte bevilgninger. Særlig samlokaliseringsprosjektet innebærer økonomisk risiko.</w:t>
      </w:r>
    </w:p>
    <w:p w14:paraId="177F38F6" w14:textId="77777777" w:rsidR="000B63B4" w:rsidRPr="00972519" w:rsidRDefault="000B63B4" w:rsidP="00C63199">
      <w:pPr>
        <w:rPr>
          <w:sz w:val="22"/>
          <w:szCs w:val="22"/>
        </w:rPr>
      </w:pPr>
    </w:p>
    <w:p w14:paraId="06B8E759" w14:textId="77777777" w:rsidR="00705321" w:rsidRPr="00972519" w:rsidRDefault="00705321" w:rsidP="00C63199">
      <w:pPr>
        <w:rPr>
          <w:sz w:val="22"/>
          <w:szCs w:val="22"/>
        </w:rPr>
      </w:pPr>
    </w:p>
    <w:p w14:paraId="7E8FFAB9" w14:textId="77777777" w:rsidR="00BA3C8B" w:rsidRPr="000F7E96" w:rsidRDefault="77A404A7" w:rsidP="00BF7B9E">
      <w:pPr>
        <w:pStyle w:val="Heading1"/>
      </w:pPr>
      <w:r>
        <w:t>Rammebetingelser og forutsetninger for saken</w:t>
      </w:r>
    </w:p>
    <w:p w14:paraId="749290A7" w14:textId="77777777" w:rsidR="00BA3C8B" w:rsidRDefault="00BA3C8B">
      <w:pPr>
        <w:rPr>
          <w:sz w:val="22"/>
          <w:szCs w:val="22"/>
        </w:rPr>
      </w:pPr>
    </w:p>
    <w:p w14:paraId="35C443D7" w14:textId="77777777" w:rsidR="00BA3C8B" w:rsidRPr="0039772E" w:rsidRDefault="77A404A7" w:rsidP="77A404A7">
      <w:pPr>
        <w:rPr>
          <w:i/>
          <w:iCs/>
          <w:sz w:val="22"/>
          <w:szCs w:val="22"/>
        </w:rPr>
      </w:pPr>
      <w:r w:rsidRPr="0039772E">
        <w:rPr>
          <w:i/>
          <w:iCs/>
          <w:sz w:val="22"/>
          <w:szCs w:val="22"/>
        </w:rPr>
        <w:t>Rammer og føringer fra KD</w:t>
      </w:r>
    </w:p>
    <w:p w14:paraId="456B5B9B" w14:textId="77777777" w:rsidR="001671D1" w:rsidRPr="0039772E" w:rsidRDefault="77A404A7" w:rsidP="77A404A7">
      <w:pPr>
        <w:ind w:right="85"/>
        <w:rPr>
          <w:sz w:val="22"/>
          <w:szCs w:val="22"/>
        </w:rPr>
      </w:pPr>
      <w:r w:rsidRPr="0039772E">
        <w:rPr>
          <w:sz w:val="22"/>
          <w:szCs w:val="22"/>
        </w:rPr>
        <w:t xml:space="preserve">KDs bevilgning, krav og forventninger til NTNU blir tydeliggjort i tildelingsbrev, etatsstyringsbrev </w:t>
      </w:r>
      <w:r w:rsidR="00FD1E46">
        <w:rPr>
          <w:sz w:val="22"/>
          <w:szCs w:val="22"/>
        </w:rPr>
        <w:t>og</w:t>
      </w:r>
      <w:r w:rsidR="00FD1E46" w:rsidRPr="0039772E">
        <w:rPr>
          <w:sz w:val="22"/>
          <w:szCs w:val="22"/>
        </w:rPr>
        <w:t xml:space="preserve"> </w:t>
      </w:r>
      <w:r w:rsidRPr="0039772E">
        <w:rPr>
          <w:sz w:val="22"/>
          <w:szCs w:val="22"/>
        </w:rPr>
        <w:t>etatsstyringsdialog. De</w:t>
      </w:r>
      <w:r w:rsidR="001671D1" w:rsidRPr="0039772E">
        <w:rPr>
          <w:sz w:val="22"/>
          <w:szCs w:val="22"/>
        </w:rPr>
        <w:t>n</w:t>
      </w:r>
      <w:r w:rsidRPr="0039772E">
        <w:rPr>
          <w:sz w:val="22"/>
          <w:szCs w:val="22"/>
        </w:rPr>
        <w:t xml:space="preserve"> siste </w:t>
      </w:r>
      <w:r w:rsidR="001671D1" w:rsidRPr="0039772E">
        <w:rPr>
          <w:sz w:val="22"/>
          <w:szCs w:val="22"/>
        </w:rPr>
        <w:t>t</w:t>
      </w:r>
      <w:r w:rsidRPr="0039772E">
        <w:rPr>
          <w:sz w:val="22"/>
          <w:szCs w:val="22"/>
        </w:rPr>
        <w:t>ilbakemelding</w:t>
      </w:r>
      <w:r w:rsidR="004A51AE" w:rsidRPr="0039772E">
        <w:rPr>
          <w:sz w:val="22"/>
          <w:szCs w:val="22"/>
        </w:rPr>
        <w:t>en</w:t>
      </w:r>
      <w:r w:rsidRPr="0039772E">
        <w:rPr>
          <w:sz w:val="22"/>
          <w:szCs w:val="22"/>
        </w:rPr>
        <w:t xml:space="preserve"> fra KD er god og KD viser forståelse for at vi har vært gjennom betydelige omstillinger. </w:t>
      </w:r>
      <w:r w:rsidR="001671D1" w:rsidRPr="0039772E">
        <w:rPr>
          <w:sz w:val="22"/>
          <w:szCs w:val="22"/>
        </w:rPr>
        <w:t>Samtidig er også t</w:t>
      </w:r>
      <w:r w:rsidRPr="0039772E">
        <w:rPr>
          <w:sz w:val="22"/>
          <w:szCs w:val="22"/>
        </w:rPr>
        <w:t>ilbakemeldingen tydelig på at det er en forventning om vesentlig forbedring i resultatene i årene som kommer.</w:t>
      </w:r>
    </w:p>
    <w:p w14:paraId="42A6349B" w14:textId="77777777" w:rsidR="00024E91" w:rsidRPr="0039772E" w:rsidRDefault="00024E91" w:rsidP="00746226">
      <w:pPr>
        <w:ind w:right="85"/>
        <w:rPr>
          <w:sz w:val="22"/>
          <w:szCs w:val="22"/>
        </w:rPr>
      </w:pPr>
    </w:p>
    <w:p w14:paraId="7D3CFC57" w14:textId="77777777" w:rsidR="00BD6043" w:rsidRPr="0039772E" w:rsidRDefault="77A404A7" w:rsidP="77A404A7">
      <w:pPr>
        <w:ind w:right="85"/>
        <w:rPr>
          <w:sz w:val="22"/>
          <w:szCs w:val="22"/>
        </w:rPr>
      </w:pPr>
      <w:r w:rsidRPr="0039772E">
        <w:rPr>
          <w:sz w:val="22"/>
          <w:szCs w:val="22"/>
        </w:rPr>
        <w:t>KD har definert 4 langsiktige sektormål</w:t>
      </w:r>
      <w:r w:rsidR="001671D1" w:rsidRPr="0039772E">
        <w:rPr>
          <w:sz w:val="22"/>
          <w:szCs w:val="22"/>
        </w:rPr>
        <w:t xml:space="preserve"> med tilhørende styringsparametere.</w:t>
      </w:r>
      <w:r w:rsidRPr="0039772E">
        <w:rPr>
          <w:sz w:val="22"/>
          <w:szCs w:val="22"/>
        </w:rPr>
        <w:t xml:space="preserve"> Parameterne gir ikke et dekkende bilde av resultatutviklingen i sektoren, men angir områder der departementet vil være særlig opptatt av resultatforbedringer i sektoren. I tillegg har NTNU en utviklingsavtale med KD med varighet ut 2019. </w:t>
      </w:r>
      <w:r w:rsidR="001671D1" w:rsidRPr="0039772E">
        <w:rPr>
          <w:sz w:val="22"/>
          <w:szCs w:val="22"/>
        </w:rPr>
        <w:t xml:space="preserve"> </w:t>
      </w:r>
      <w:r w:rsidRPr="0039772E">
        <w:rPr>
          <w:sz w:val="22"/>
          <w:szCs w:val="22"/>
        </w:rPr>
        <w:t xml:space="preserve">KD har varslet forenklinger av målstrukturen </w:t>
      </w:r>
      <w:r w:rsidR="00251625" w:rsidRPr="0039772E">
        <w:rPr>
          <w:sz w:val="22"/>
          <w:szCs w:val="22"/>
        </w:rPr>
        <w:t>for sektoren.</w:t>
      </w:r>
    </w:p>
    <w:p w14:paraId="27A9943C" w14:textId="77777777" w:rsidR="001671D1" w:rsidRPr="0039772E" w:rsidRDefault="00251625" w:rsidP="77A404A7">
      <w:pPr>
        <w:ind w:right="85"/>
        <w:rPr>
          <w:sz w:val="22"/>
          <w:szCs w:val="22"/>
        </w:rPr>
      </w:pPr>
      <w:r w:rsidRPr="0039772E">
        <w:rPr>
          <w:sz w:val="22"/>
          <w:szCs w:val="22"/>
        </w:rPr>
        <w:t xml:space="preserve"> </w:t>
      </w:r>
    </w:p>
    <w:p w14:paraId="2FA89ABD" w14:textId="77777777" w:rsidR="00BA3C8B" w:rsidRDefault="77A404A7" w:rsidP="77A404A7">
      <w:pPr>
        <w:ind w:right="85"/>
        <w:rPr>
          <w:sz w:val="22"/>
          <w:szCs w:val="22"/>
        </w:rPr>
      </w:pPr>
      <w:r w:rsidRPr="0039772E">
        <w:rPr>
          <w:sz w:val="22"/>
          <w:szCs w:val="22"/>
        </w:rPr>
        <w:t xml:space="preserve">Vi har selv stor frihet til å definere </w:t>
      </w:r>
      <w:r w:rsidR="00FD1E46">
        <w:rPr>
          <w:sz w:val="22"/>
          <w:szCs w:val="22"/>
        </w:rPr>
        <w:t>NTNUs</w:t>
      </w:r>
      <w:r w:rsidRPr="0039772E">
        <w:rPr>
          <w:sz w:val="22"/>
          <w:szCs w:val="22"/>
        </w:rPr>
        <w:t xml:space="preserve"> styringssystem innenfor KDs rammer. Vi foreslår endel endringer allerede nå, og vil gjøre ytterligere justeringer dersom det kommer nye føringer fra KD.</w:t>
      </w:r>
    </w:p>
    <w:p w14:paraId="72450F70" w14:textId="77777777" w:rsidR="0039772E" w:rsidRPr="0039772E" w:rsidRDefault="0039772E" w:rsidP="77A404A7">
      <w:pPr>
        <w:ind w:right="85"/>
        <w:rPr>
          <w:sz w:val="22"/>
          <w:szCs w:val="22"/>
        </w:rPr>
      </w:pPr>
    </w:p>
    <w:p w14:paraId="5E6E202A" w14:textId="77777777" w:rsidR="0039772E" w:rsidRPr="0039772E" w:rsidRDefault="0039772E" w:rsidP="0039772E">
      <w:pPr>
        <w:ind w:right="85"/>
        <w:rPr>
          <w:sz w:val="22"/>
          <w:szCs w:val="22"/>
        </w:rPr>
      </w:pPr>
      <w:r w:rsidRPr="0039772E">
        <w:rPr>
          <w:sz w:val="22"/>
          <w:szCs w:val="22"/>
        </w:rPr>
        <w:t>Styret ble orientert om statsbudsjettet for 2019 i sak S-21/18 i oktober. NTNUs bevilgning foreslås økt med 229 mill. kroner til 6,7 mrd. kr i 2019. Dette er en nominell økning på 3,5 prosent som tilsvarer en realøkning på 0,6 prosent.</w:t>
      </w:r>
    </w:p>
    <w:p w14:paraId="41D4DB6D" w14:textId="77777777" w:rsidR="00313B4E" w:rsidRPr="0039772E" w:rsidRDefault="00313B4E" w:rsidP="00A02A16">
      <w:pPr>
        <w:ind w:right="85"/>
        <w:rPr>
          <w:sz w:val="22"/>
          <w:szCs w:val="22"/>
        </w:rPr>
      </w:pPr>
    </w:p>
    <w:p w14:paraId="1DF2BB38" w14:textId="77777777" w:rsidR="00251625" w:rsidRPr="0039772E" w:rsidRDefault="00251625" w:rsidP="00A02A16">
      <w:pPr>
        <w:ind w:right="85"/>
        <w:rPr>
          <w:sz w:val="22"/>
          <w:szCs w:val="22"/>
        </w:rPr>
      </w:pPr>
    </w:p>
    <w:p w14:paraId="040505ED" w14:textId="77777777" w:rsidR="00313B4E" w:rsidRPr="0039772E" w:rsidRDefault="00313B4E" w:rsidP="00313B4E">
      <w:pPr>
        <w:rPr>
          <w:i/>
          <w:iCs/>
          <w:sz w:val="22"/>
          <w:szCs w:val="22"/>
        </w:rPr>
      </w:pPr>
      <w:r w:rsidRPr="0039772E">
        <w:rPr>
          <w:i/>
          <w:iCs/>
          <w:sz w:val="22"/>
          <w:szCs w:val="22"/>
        </w:rPr>
        <w:t>ABE-reformen</w:t>
      </w:r>
    </w:p>
    <w:p w14:paraId="4FC0F983" w14:textId="77777777" w:rsidR="00313B4E" w:rsidRPr="0039772E" w:rsidRDefault="00313B4E" w:rsidP="00313B4E">
      <w:pPr>
        <w:rPr>
          <w:sz w:val="22"/>
          <w:szCs w:val="22"/>
        </w:rPr>
      </w:pPr>
      <w:r w:rsidRPr="0039772E">
        <w:rPr>
          <w:sz w:val="22"/>
          <w:szCs w:val="22"/>
        </w:rPr>
        <w:t xml:space="preserve">De politiske signalene går ut på at avbyråkratiserings- og effektiviseringsreformen vil fortsette gjennom hele strategiperioden. Regjeringens forventninger knyttet til reformen er at virksomhetene arbeider systematisk med å utnytte tildelte ressurser bedre og øke produktiviteten. Digitalisering av arbeidsprosesser og tjenester er et sentralt virkemiddel i dette arbeidet, sammen med f.eks. omorganisering, prosessforbedring og bruk av </w:t>
      </w:r>
      <w:r w:rsidR="00FD1E46" w:rsidRPr="0039772E">
        <w:rPr>
          <w:sz w:val="22"/>
          <w:szCs w:val="22"/>
        </w:rPr>
        <w:t xml:space="preserve">annen </w:t>
      </w:r>
      <w:r w:rsidR="00FD1E46">
        <w:rPr>
          <w:sz w:val="22"/>
          <w:szCs w:val="22"/>
        </w:rPr>
        <w:t xml:space="preserve">ny </w:t>
      </w:r>
      <w:r w:rsidRPr="0039772E">
        <w:rPr>
          <w:sz w:val="22"/>
          <w:szCs w:val="22"/>
        </w:rPr>
        <w:t>teknologi.</w:t>
      </w:r>
    </w:p>
    <w:p w14:paraId="3930FB12" w14:textId="77777777" w:rsidR="00251625" w:rsidRPr="0039772E" w:rsidRDefault="00251625" w:rsidP="00313B4E">
      <w:pPr>
        <w:rPr>
          <w:sz w:val="22"/>
          <w:szCs w:val="22"/>
        </w:rPr>
      </w:pPr>
    </w:p>
    <w:p w14:paraId="271CAB45" w14:textId="1D40EC1A" w:rsidR="00313B4E" w:rsidRDefault="00B51A73" w:rsidP="000E47A7">
      <w:pPr>
        <w:rPr>
          <w:sz w:val="22"/>
          <w:szCs w:val="22"/>
        </w:rPr>
      </w:pPr>
      <w:r w:rsidRPr="0039772E">
        <w:rPr>
          <w:sz w:val="22"/>
          <w:szCs w:val="22"/>
        </w:rPr>
        <w:t>Regjeringens avbyråkratiserings- og effektiviseringsreform (ABE) viderefør</w:t>
      </w:r>
      <w:r w:rsidR="000E47A7">
        <w:rPr>
          <w:sz w:val="22"/>
          <w:szCs w:val="22"/>
        </w:rPr>
        <w:t>es</w:t>
      </w:r>
      <w:r w:rsidRPr="0039772E">
        <w:rPr>
          <w:sz w:val="22"/>
          <w:szCs w:val="22"/>
        </w:rPr>
        <w:t xml:space="preserve"> med en effekt på 0,5 prosent av bevilgningen, som tilsvarer 32,7 mill. kroner</w:t>
      </w:r>
      <w:r w:rsidR="000E47A7">
        <w:rPr>
          <w:sz w:val="22"/>
          <w:szCs w:val="22"/>
        </w:rPr>
        <w:t xml:space="preserve"> i 2019.</w:t>
      </w:r>
    </w:p>
    <w:p w14:paraId="11E345B8" w14:textId="77777777" w:rsidR="00BD6043" w:rsidRDefault="00BD6043" w:rsidP="00A02A16">
      <w:pPr>
        <w:ind w:right="85"/>
        <w:rPr>
          <w:sz w:val="22"/>
          <w:szCs w:val="22"/>
        </w:rPr>
      </w:pPr>
    </w:p>
    <w:p w14:paraId="56F65A8A" w14:textId="77777777" w:rsidR="006530AF" w:rsidRPr="0039772E" w:rsidRDefault="006530AF" w:rsidP="00A02A16">
      <w:pPr>
        <w:ind w:right="85"/>
        <w:rPr>
          <w:sz w:val="22"/>
          <w:szCs w:val="22"/>
        </w:rPr>
      </w:pPr>
    </w:p>
    <w:p w14:paraId="43FC50E6" w14:textId="77777777" w:rsidR="00E63CA7" w:rsidRPr="0039772E" w:rsidRDefault="77A404A7" w:rsidP="77A404A7">
      <w:pPr>
        <w:rPr>
          <w:i/>
          <w:iCs/>
          <w:sz w:val="22"/>
          <w:szCs w:val="22"/>
        </w:rPr>
      </w:pPr>
      <w:r w:rsidRPr="0039772E">
        <w:rPr>
          <w:i/>
          <w:iCs/>
          <w:sz w:val="22"/>
          <w:szCs w:val="22"/>
        </w:rPr>
        <w:t>Den økonomiske situasjonen på kort og lang sikt</w:t>
      </w:r>
    </w:p>
    <w:p w14:paraId="41B86F8E" w14:textId="77777777" w:rsidR="00E63CA7" w:rsidRPr="00C155F1" w:rsidRDefault="77A404A7" w:rsidP="77A404A7">
      <w:pPr>
        <w:rPr>
          <w:sz w:val="22"/>
          <w:szCs w:val="22"/>
        </w:rPr>
      </w:pPr>
      <w:r w:rsidRPr="00C155F1">
        <w:rPr>
          <w:sz w:val="22"/>
          <w:szCs w:val="22"/>
        </w:rPr>
        <w:t xml:space="preserve">De økonomiske ressursene er en vesentlig rammebetingelse for realiseringen av strategien. NTNU vektlegger langsiktig styring av økonomien, og fordelingen av budsjettrammene ses i et langsiktig perspektiv. </w:t>
      </w:r>
    </w:p>
    <w:p w14:paraId="5B9C78EB" w14:textId="77777777" w:rsidR="00E63CA7" w:rsidRPr="00C155F1" w:rsidRDefault="00E63CA7" w:rsidP="00E63CA7">
      <w:pPr>
        <w:rPr>
          <w:sz w:val="22"/>
          <w:szCs w:val="22"/>
        </w:rPr>
      </w:pPr>
    </w:p>
    <w:p w14:paraId="1CD7C383" w14:textId="29301E79" w:rsidR="00E63CA7" w:rsidRPr="0039772E" w:rsidRDefault="77A404A7" w:rsidP="77A404A7">
      <w:pPr>
        <w:rPr>
          <w:sz w:val="22"/>
          <w:szCs w:val="22"/>
        </w:rPr>
      </w:pPr>
      <w:r w:rsidRPr="00C155F1">
        <w:rPr>
          <w:sz w:val="22"/>
          <w:szCs w:val="22"/>
        </w:rPr>
        <w:t xml:space="preserve">Utgangspunktet for forslaget til rammefordeling for 2019 er at det forventes en liten vekst i bevilgningsrammen for 2019 og 2020 og at bevilgningsnivået i resten av perioden forventes relativt stabilt. NTNU </w:t>
      </w:r>
      <w:r w:rsidR="001671D1" w:rsidRPr="00C155F1">
        <w:rPr>
          <w:sz w:val="22"/>
          <w:szCs w:val="22"/>
        </w:rPr>
        <w:t>forventer å gå inn i 2019 med</w:t>
      </w:r>
      <w:r w:rsidRPr="00C155F1">
        <w:rPr>
          <w:sz w:val="22"/>
          <w:szCs w:val="22"/>
        </w:rPr>
        <w:t xml:space="preserve"> et avsetningsnivå</w:t>
      </w:r>
      <w:r w:rsidR="00F76CA1">
        <w:rPr>
          <w:sz w:val="22"/>
          <w:szCs w:val="22"/>
        </w:rPr>
        <w:t xml:space="preserve"> på anslagsvis 450-550</w:t>
      </w:r>
      <w:r w:rsidR="0068411D">
        <w:rPr>
          <w:sz w:val="22"/>
          <w:szCs w:val="22"/>
        </w:rPr>
        <w:t xml:space="preserve"> mill.kr</w:t>
      </w:r>
      <w:r w:rsidRPr="00C155F1">
        <w:rPr>
          <w:sz w:val="22"/>
          <w:szCs w:val="22"/>
        </w:rPr>
        <w:t xml:space="preserve">, hvilket tilsvarer ca. </w:t>
      </w:r>
      <w:r w:rsidR="00F76CA1">
        <w:rPr>
          <w:sz w:val="22"/>
          <w:szCs w:val="22"/>
        </w:rPr>
        <w:t xml:space="preserve">7-8% </w:t>
      </w:r>
      <w:r w:rsidRPr="00C155F1">
        <w:rPr>
          <w:sz w:val="22"/>
          <w:szCs w:val="22"/>
        </w:rPr>
        <w:t>av NTNUs årlige bevilgning. Det legges derfor opp t</w:t>
      </w:r>
      <w:r w:rsidR="001671D1" w:rsidRPr="00C155F1">
        <w:rPr>
          <w:sz w:val="22"/>
          <w:szCs w:val="22"/>
        </w:rPr>
        <w:t>il et aktivitetsnivå både i 2019</w:t>
      </w:r>
      <w:r w:rsidRPr="00C155F1">
        <w:rPr>
          <w:sz w:val="22"/>
          <w:szCs w:val="22"/>
        </w:rPr>
        <w:t xml:space="preserve"> og de kommende årene i langtidsperioden som bidrar til at nivået på u</w:t>
      </w:r>
      <w:r w:rsidR="00C155F1" w:rsidRPr="00C155F1">
        <w:rPr>
          <w:sz w:val="22"/>
          <w:szCs w:val="22"/>
        </w:rPr>
        <w:t>brukte bevilgninger bygges ned.</w:t>
      </w:r>
    </w:p>
    <w:p w14:paraId="1C7440E6" w14:textId="77777777" w:rsidR="00E63CA7" w:rsidRPr="0039772E" w:rsidRDefault="00E63CA7" w:rsidP="00E63CA7">
      <w:pPr>
        <w:rPr>
          <w:sz w:val="22"/>
          <w:szCs w:val="22"/>
        </w:rPr>
      </w:pPr>
    </w:p>
    <w:p w14:paraId="32EA75E5" w14:textId="77777777" w:rsidR="00251625" w:rsidRPr="0039772E" w:rsidRDefault="00251625" w:rsidP="00E63CA7">
      <w:pPr>
        <w:rPr>
          <w:sz w:val="22"/>
          <w:szCs w:val="22"/>
        </w:rPr>
      </w:pPr>
    </w:p>
    <w:p w14:paraId="67B9B0D3" w14:textId="77777777" w:rsidR="00E63CA7" w:rsidRPr="0039772E" w:rsidRDefault="006530AF" w:rsidP="77A404A7">
      <w:pPr>
        <w:rPr>
          <w:i/>
          <w:iCs/>
          <w:sz w:val="22"/>
          <w:szCs w:val="22"/>
        </w:rPr>
      </w:pPr>
      <w:r>
        <w:rPr>
          <w:i/>
          <w:iCs/>
          <w:sz w:val="22"/>
          <w:szCs w:val="22"/>
        </w:rPr>
        <w:t>Etablert praksis for rammefordeling</w:t>
      </w:r>
    </w:p>
    <w:p w14:paraId="59C1784D" w14:textId="7C0FC35D" w:rsidR="006530AF" w:rsidRDefault="77A404A7" w:rsidP="00BD7791">
      <w:pPr>
        <w:rPr>
          <w:sz w:val="22"/>
          <w:szCs w:val="22"/>
        </w:rPr>
      </w:pPr>
      <w:r w:rsidRPr="0039772E">
        <w:rPr>
          <w:sz w:val="22"/>
          <w:szCs w:val="22"/>
        </w:rPr>
        <w:t xml:space="preserve">Ny rammefordelingsmodell (RFM) er nå i full drift. RFM er et redskap for å fordele NTNUs bevilgning fra Kunnskapsdepartementet til fakultetene, vitenskapsmuseet og fellesadministrasjonen. </w:t>
      </w:r>
      <w:r w:rsidR="00BD7791" w:rsidRPr="0039772E">
        <w:rPr>
          <w:sz w:val="22"/>
          <w:szCs w:val="22"/>
        </w:rPr>
        <w:t>R</w:t>
      </w:r>
      <w:r w:rsidRPr="0039772E">
        <w:rPr>
          <w:sz w:val="22"/>
          <w:szCs w:val="22"/>
        </w:rPr>
        <w:t>amme</w:t>
      </w:r>
      <w:r w:rsidR="00BD7791" w:rsidRPr="0039772E">
        <w:rPr>
          <w:sz w:val="22"/>
          <w:szCs w:val="22"/>
        </w:rPr>
        <w:t>ne</w:t>
      </w:r>
      <w:r w:rsidRPr="0039772E">
        <w:rPr>
          <w:sz w:val="22"/>
          <w:szCs w:val="22"/>
        </w:rPr>
        <w:t xml:space="preserve"> for 2019 og </w:t>
      </w:r>
      <w:r w:rsidR="00BD7791" w:rsidRPr="0039772E">
        <w:rPr>
          <w:sz w:val="22"/>
          <w:szCs w:val="22"/>
        </w:rPr>
        <w:t xml:space="preserve">videre utover i </w:t>
      </w:r>
      <w:r w:rsidRPr="0039772E">
        <w:rPr>
          <w:sz w:val="22"/>
          <w:szCs w:val="22"/>
        </w:rPr>
        <w:t xml:space="preserve">langtidsperioden </w:t>
      </w:r>
      <w:r w:rsidR="00BD7791" w:rsidRPr="0039772E">
        <w:rPr>
          <w:sz w:val="22"/>
          <w:szCs w:val="22"/>
        </w:rPr>
        <w:t>for fakultetene og fellesadministrasjonen</w:t>
      </w:r>
      <w:r w:rsidRPr="0039772E">
        <w:rPr>
          <w:sz w:val="22"/>
          <w:szCs w:val="22"/>
        </w:rPr>
        <w:t xml:space="preserve"> beregnes </w:t>
      </w:r>
      <w:r w:rsidR="005A03F5">
        <w:rPr>
          <w:sz w:val="22"/>
          <w:szCs w:val="22"/>
        </w:rPr>
        <w:t>ved hjelp av</w:t>
      </w:r>
      <w:r w:rsidRPr="0039772E">
        <w:rPr>
          <w:sz w:val="22"/>
          <w:szCs w:val="22"/>
        </w:rPr>
        <w:t xml:space="preserve"> modellen</w:t>
      </w:r>
      <w:r w:rsidR="00BD7791" w:rsidRPr="0039772E">
        <w:rPr>
          <w:sz w:val="22"/>
          <w:szCs w:val="22"/>
        </w:rPr>
        <w:t xml:space="preserve">. </w:t>
      </w:r>
    </w:p>
    <w:p w14:paraId="6E310028" w14:textId="77777777" w:rsidR="006530AF" w:rsidRDefault="006530AF" w:rsidP="00BD7791">
      <w:pPr>
        <w:rPr>
          <w:sz w:val="22"/>
          <w:szCs w:val="22"/>
        </w:rPr>
      </w:pPr>
    </w:p>
    <w:p w14:paraId="68DFE4BB" w14:textId="77777777" w:rsidR="00C155F1" w:rsidRDefault="00BD7791" w:rsidP="00BD7791">
      <w:pPr>
        <w:rPr>
          <w:sz w:val="22"/>
          <w:szCs w:val="22"/>
        </w:rPr>
      </w:pPr>
      <w:r w:rsidRPr="0039772E">
        <w:rPr>
          <w:sz w:val="22"/>
          <w:szCs w:val="22"/>
        </w:rPr>
        <w:t>For å sikre</w:t>
      </w:r>
      <w:r w:rsidR="77A404A7" w:rsidRPr="0039772E">
        <w:rPr>
          <w:sz w:val="22"/>
          <w:szCs w:val="22"/>
        </w:rPr>
        <w:t xml:space="preserve"> </w:t>
      </w:r>
      <w:r w:rsidR="004A51AE" w:rsidRPr="0039772E">
        <w:rPr>
          <w:sz w:val="22"/>
          <w:szCs w:val="22"/>
        </w:rPr>
        <w:t xml:space="preserve">at NTNU har </w:t>
      </w:r>
      <w:r w:rsidR="00063FAD" w:rsidRPr="0039772E">
        <w:rPr>
          <w:sz w:val="22"/>
          <w:szCs w:val="22"/>
        </w:rPr>
        <w:t xml:space="preserve">tilstrekkelig </w:t>
      </w:r>
      <w:r w:rsidR="004A51AE" w:rsidRPr="0039772E">
        <w:rPr>
          <w:sz w:val="22"/>
          <w:szCs w:val="22"/>
        </w:rPr>
        <w:t xml:space="preserve">ressurser til </w:t>
      </w:r>
      <w:r w:rsidR="77A404A7" w:rsidRPr="0039772E">
        <w:rPr>
          <w:sz w:val="22"/>
          <w:szCs w:val="22"/>
        </w:rPr>
        <w:t xml:space="preserve">strategisk </w:t>
      </w:r>
      <w:r w:rsidR="00063FAD" w:rsidRPr="0039772E">
        <w:rPr>
          <w:sz w:val="22"/>
          <w:szCs w:val="22"/>
        </w:rPr>
        <w:t>satsing på</w:t>
      </w:r>
      <w:r w:rsidR="00C155F1">
        <w:rPr>
          <w:sz w:val="22"/>
          <w:szCs w:val="22"/>
        </w:rPr>
        <w:t xml:space="preserve"> felles utviklingsoppgaver</w:t>
      </w:r>
      <w:r w:rsidRPr="0039772E">
        <w:rPr>
          <w:sz w:val="22"/>
          <w:szCs w:val="22"/>
        </w:rPr>
        <w:t xml:space="preserve">, legges det </w:t>
      </w:r>
      <w:r w:rsidR="00BA3E9C" w:rsidRPr="0039772E">
        <w:rPr>
          <w:sz w:val="22"/>
          <w:szCs w:val="22"/>
        </w:rPr>
        <w:t xml:space="preserve">i </w:t>
      </w:r>
      <w:r w:rsidR="00BA3E9C" w:rsidRPr="00FF2213">
        <w:rPr>
          <w:sz w:val="22"/>
          <w:szCs w:val="22"/>
        </w:rPr>
        <w:t xml:space="preserve">utgangspunktet </w:t>
      </w:r>
      <w:r w:rsidRPr="00FF2213">
        <w:rPr>
          <w:sz w:val="22"/>
          <w:szCs w:val="22"/>
        </w:rPr>
        <w:t>opp til at SO-ramma skal trappes opp til å utgjøre minst 15% av samlet bevilgning innen utgangen av 2021.</w:t>
      </w:r>
      <w:r w:rsidR="006530AF" w:rsidRPr="00FF2213">
        <w:rPr>
          <w:sz w:val="22"/>
          <w:szCs w:val="22"/>
        </w:rPr>
        <w:t xml:space="preserve"> Rammen inneholder kun bevilgninger </w:t>
      </w:r>
      <w:r w:rsidR="00993018" w:rsidRPr="00FF2213">
        <w:rPr>
          <w:sz w:val="22"/>
          <w:szCs w:val="22"/>
        </w:rPr>
        <w:t xml:space="preserve">til tidsavgrensede satsinger eller prosjekter </w:t>
      </w:r>
      <w:r w:rsidR="006530AF" w:rsidRPr="00FF2213">
        <w:rPr>
          <w:sz w:val="22"/>
          <w:szCs w:val="22"/>
        </w:rPr>
        <w:t xml:space="preserve">som er bundet for avgrensede perioder. Årlig </w:t>
      </w:r>
      <w:r w:rsidR="00993018" w:rsidRPr="00FF2213">
        <w:rPr>
          <w:sz w:val="22"/>
          <w:szCs w:val="22"/>
        </w:rPr>
        <w:t xml:space="preserve">frigjøres og </w:t>
      </w:r>
      <w:r w:rsidR="006530AF" w:rsidRPr="00FF2213">
        <w:rPr>
          <w:sz w:val="22"/>
          <w:szCs w:val="22"/>
        </w:rPr>
        <w:t xml:space="preserve">refordeles </w:t>
      </w:r>
      <w:r w:rsidR="00993018" w:rsidRPr="00FF2213">
        <w:rPr>
          <w:sz w:val="22"/>
          <w:szCs w:val="22"/>
        </w:rPr>
        <w:t>deler av rammen</w:t>
      </w:r>
      <w:r w:rsidR="006530AF" w:rsidRPr="00FF2213">
        <w:rPr>
          <w:sz w:val="22"/>
          <w:szCs w:val="22"/>
        </w:rPr>
        <w:t xml:space="preserve"> når satsinger </w:t>
      </w:r>
      <w:r w:rsidR="00993018" w:rsidRPr="00FF2213">
        <w:rPr>
          <w:sz w:val="22"/>
          <w:szCs w:val="22"/>
        </w:rPr>
        <w:t xml:space="preserve">avsluttes </w:t>
      </w:r>
      <w:r w:rsidR="006530AF" w:rsidRPr="00FF2213">
        <w:rPr>
          <w:sz w:val="22"/>
          <w:szCs w:val="22"/>
        </w:rPr>
        <w:t xml:space="preserve">eller overføres til </w:t>
      </w:r>
      <w:r w:rsidR="00993018" w:rsidRPr="00FF2213">
        <w:rPr>
          <w:sz w:val="22"/>
          <w:szCs w:val="22"/>
        </w:rPr>
        <w:t xml:space="preserve">ordinær finansiering over NTNUs </w:t>
      </w:r>
      <w:r w:rsidR="006530AF" w:rsidRPr="00FF2213">
        <w:rPr>
          <w:sz w:val="22"/>
          <w:szCs w:val="22"/>
        </w:rPr>
        <w:t>drift</w:t>
      </w:r>
      <w:r w:rsidR="00DC1B7F" w:rsidRPr="00FF2213">
        <w:rPr>
          <w:sz w:val="22"/>
          <w:szCs w:val="22"/>
        </w:rPr>
        <w:t>s</w:t>
      </w:r>
      <w:r w:rsidR="00993018" w:rsidRPr="00FF2213">
        <w:rPr>
          <w:sz w:val="22"/>
          <w:szCs w:val="22"/>
        </w:rPr>
        <w:t>budsjett (Ramme drift)</w:t>
      </w:r>
      <w:r w:rsidR="006530AF" w:rsidRPr="00FF2213">
        <w:rPr>
          <w:sz w:val="22"/>
          <w:szCs w:val="22"/>
        </w:rPr>
        <w:t>.</w:t>
      </w:r>
    </w:p>
    <w:p w14:paraId="7056D0D8" w14:textId="77777777" w:rsidR="00C155F1" w:rsidRDefault="00C155F1" w:rsidP="00BD7791">
      <w:pPr>
        <w:rPr>
          <w:sz w:val="22"/>
          <w:szCs w:val="22"/>
        </w:rPr>
      </w:pPr>
    </w:p>
    <w:p w14:paraId="4D96D26C" w14:textId="77777777" w:rsidR="00E63CA7" w:rsidRPr="0039772E" w:rsidRDefault="00BD7791" w:rsidP="00C155F1">
      <w:pPr>
        <w:rPr>
          <w:sz w:val="22"/>
          <w:szCs w:val="22"/>
        </w:rPr>
      </w:pPr>
      <w:r w:rsidRPr="0039772E">
        <w:rPr>
          <w:sz w:val="22"/>
          <w:szCs w:val="22"/>
        </w:rPr>
        <w:t xml:space="preserve">Vekst i den faglige aktiviteten vil gi økt uttelling i KDs finansieringssystem, men mye av veksten i 2020 og 2021 </w:t>
      </w:r>
      <w:r w:rsidR="00BA3E9C" w:rsidRPr="0039772E">
        <w:rPr>
          <w:sz w:val="22"/>
          <w:szCs w:val="22"/>
        </w:rPr>
        <w:t>kan</w:t>
      </w:r>
      <w:r w:rsidRPr="0039772E">
        <w:rPr>
          <w:sz w:val="22"/>
          <w:szCs w:val="22"/>
        </w:rPr>
        <w:t xml:space="preserve"> bli </w:t>
      </w:r>
      <w:r w:rsidR="00C155F1">
        <w:rPr>
          <w:sz w:val="22"/>
          <w:szCs w:val="22"/>
        </w:rPr>
        <w:t>«</w:t>
      </w:r>
      <w:r w:rsidRPr="0039772E">
        <w:rPr>
          <w:sz w:val="22"/>
          <w:szCs w:val="22"/>
        </w:rPr>
        <w:t>spist opp</w:t>
      </w:r>
      <w:r w:rsidR="00C155F1">
        <w:rPr>
          <w:sz w:val="22"/>
          <w:szCs w:val="22"/>
        </w:rPr>
        <w:t>»</w:t>
      </w:r>
      <w:r w:rsidRPr="0039772E">
        <w:rPr>
          <w:sz w:val="22"/>
          <w:szCs w:val="22"/>
        </w:rPr>
        <w:t xml:space="preserve"> av ABE-kuttet og opptrappingen av SO-ramma.</w:t>
      </w:r>
      <w:r w:rsidR="00C155F1" w:rsidRPr="00C155F1">
        <w:rPr>
          <w:sz w:val="22"/>
          <w:szCs w:val="22"/>
        </w:rPr>
        <w:t xml:space="preserve"> </w:t>
      </w:r>
      <w:r w:rsidR="00C155F1">
        <w:rPr>
          <w:sz w:val="22"/>
          <w:szCs w:val="22"/>
        </w:rPr>
        <w:t>I langtidsperioden ser vi behov for å følge ekstra nøye med på balansen mellom de ulike rammene i fordelingen.</w:t>
      </w:r>
    </w:p>
    <w:p w14:paraId="2E135F10" w14:textId="77777777" w:rsidR="00684A6F" w:rsidRPr="0039772E" w:rsidRDefault="00684A6F" w:rsidP="002C2232">
      <w:pPr>
        <w:rPr>
          <w:sz w:val="22"/>
          <w:szCs w:val="22"/>
        </w:rPr>
      </w:pPr>
    </w:p>
    <w:p w14:paraId="3832BCE2" w14:textId="77777777" w:rsidR="00874462" w:rsidRPr="00270B73" w:rsidRDefault="77A404A7" w:rsidP="00BF7B9E">
      <w:pPr>
        <w:pStyle w:val="Heading1"/>
      </w:pPr>
      <w:bookmarkStart w:id="3" w:name="_Toc366574437"/>
      <w:bookmarkStart w:id="4" w:name="_Toc366575369"/>
      <w:bookmarkEnd w:id="3"/>
      <w:bookmarkEnd w:id="4"/>
      <w:r>
        <w:t>Forslag til prioriteringer for 2019 og langtidsperioden</w:t>
      </w:r>
    </w:p>
    <w:p w14:paraId="0D84FC4D" w14:textId="77777777" w:rsidR="007F4B28" w:rsidRDefault="007F4B28" w:rsidP="007F4B28">
      <w:pPr>
        <w:rPr>
          <w:sz w:val="22"/>
          <w:szCs w:val="22"/>
        </w:rPr>
      </w:pPr>
    </w:p>
    <w:p w14:paraId="41CFD36A" w14:textId="77777777" w:rsidR="006E7316" w:rsidRPr="006E7316" w:rsidRDefault="006E7316" w:rsidP="009958EC">
      <w:pPr>
        <w:ind w:right="85"/>
        <w:rPr>
          <w:i/>
          <w:sz w:val="22"/>
          <w:szCs w:val="22"/>
        </w:rPr>
      </w:pPr>
      <w:r w:rsidRPr="006E7316">
        <w:rPr>
          <w:i/>
          <w:sz w:val="22"/>
          <w:szCs w:val="22"/>
        </w:rPr>
        <w:t>Kort om prosessen</w:t>
      </w:r>
    </w:p>
    <w:p w14:paraId="5CEE613F" w14:textId="77777777" w:rsidR="004A6A7D" w:rsidRPr="009958EC" w:rsidRDefault="007F4B28" w:rsidP="009958EC">
      <w:pPr>
        <w:ind w:right="85"/>
        <w:rPr>
          <w:sz w:val="22"/>
          <w:szCs w:val="22"/>
        </w:rPr>
      </w:pPr>
      <w:r w:rsidRPr="00BE6FE8">
        <w:rPr>
          <w:sz w:val="22"/>
          <w:szCs w:val="22"/>
        </w:rPr>
        <w:t xml:space="preserve">Basert på vårens prosess vedtok NTNUs styre </w:t>
      </w:r>
      <w:r w:rsidRPr="009958EC">
        <w:rPr>
          <w:sz w:val="22"/>
          <w:szCs w:val="22"/>
        </w:rPr>
        <w:t>retningen</w:t>
      </w:r>
      <w:r w:rsidRPr="00BE6FE8">
        <w:rPr>
          <w:sz w:val="22"/>
          <w:szCs w:val="22"/>
        </w:rPr>
        <w:t xml:space="preserve"> for det videre planleggingsarbeidet gjennom fem hovedområder beskrevet i styresaken om «Planleggingsrammer for 2019 og langtidsperioden».</w:t>
      </w:r>
      <w:r w:rsidR="004A6A7D" w:rsidRPr="009958EC">
        <w:rPr>
          <w:sz w:val="22"/>
          <w:szCs w:val="22"/>
        </w:rPr>
        <w:t xml:space="preserve"> </w:t>
      </w:r>
      <w:r w:rsidR="00A64C24">
        <w:rPr>
          <w:sz w:val="22"/>
          <w:szCs w:val="22"/>
        </w:rPr>
        <w:t>De fem</w:t>
      </w:r>
      <w:r w:rsidR="00431862" w:rsidRPr="009958EC">
        <w:rPr>
          <w:sz w:val="22"/>
          <w:szCs w:val="22"/>
        </w:rPr>
        <w:t xml:space="preserve"> </w:t>
      </w:r>
      <w:r w:rsidR="004A6A7D" w:rsidRPr="009958EC">
        <w:rPr>
          <w:sz w:val="22"/>
          <w:szCs w:val="22"/>
        </w:rPr>
        <w:t xml:space="preserve">områdene </w:t>
      </w:r>
      <w:r w:rsidR="00431862">
        <w:rPr>
          <w:sz w:val="22"/>
          <w:szCs w:val="22"/>
        </w:rPr>
        <w:t xml:space="preserve">er gjensidig forsterkende, de </w:t>
      </w:r>
      <w:r w:rsidR="004A6A7D" w:rsidRPr="009958EC">
        <w:rPr>
          <w:sz w:val="22"/>
          <w:szCs w:val="22"/>
        </w:rPr>
        <w:t xml:space="preserve">går på tvers av virksomhetsområdene og </w:t>
      </w:r>
      <w:r w:rsidR="0031699B">
        <w:rPr>
          <w:sz w:val="22"/>
          <w:szCs w:val="22"/>
        </w:rPr>
        <w:t xml:space="preserve">vil </w:t>
      </w:r>
      <w:r w:rsidR="00431862">
        <w:rPr>
          <w:sz w:val="22"/>
          <w:szCs w:val="22"/>
        </w:rPr>
        <w:t xml:space="preserve">både kreve og </w:t>
      </w:r>
      <w:r w:rsidR="0031699B">
        <w:rPr>
          <w:sz w:val="22"/>
          <w:szCs w:val="22"/>
        </w:rPr>
        <w:t>stimulere til samarbeid</w:t>
      </w:r>
      <w:r w:rsidR="00431862">
        <w:rPr>
          <w:sz w:val="22"/>
          <w:szCs w:val="22"/>
        </w:rPr>
        <w:t xml:space="preserve"> mellom organisasjonsenheter</w:t>
      </w:r>
      <w:r w:rsidR="004A6A7D" w:rsidRPr="009958EC">
        <w:rPr>
          <w:sz w:val="22"/>
          <w:szCs w:val="22"/>
        </w:rPr>
        <w:t xml:space="preserve">. De representerer områder som er store, tunge og tidkrevende å endre. Det er derfor viktig at </w:t>
      </w:r>
      <w:r w:rsidR="00431862">
        <w:rPr>
          <w:sz w:val="22"/>
          <w:szCs w:val="22"/>
        </w:rPr>
        <w:t>det settes inn innsats</w:t>
      </w:r>
      <w:r w:rsidR="004A6A7D" w:rsidRPr="009958EC">
        <w:rPr>
          <w:sz w:val="22"/>
          <w:szCs w:val="22"/>
        </w:rPr>
        <w:t xml:space="preserve"> tidlig i strategiperioden for å realisere målene på lenger sikt.</w:t>
      </w:r>
    </w:p>
    <w:p w14:paraId="4015A2A0" w14:textId="77777777" w:rsidR="000F5884" w:rsidRDefault="000F5884" w:rsidP="009958EC">
      <w:pPr>
        <w:ind w:right="85"/>
        <w:rPr>
          <w:sz w:val="22"/>
          <w:szCs w:val="22"/>
        </w:rPr>
      </w:pPr>
    </w:p>
    <w:p w14:paraId="190CADD1" w14:textId="77777777" w:rsidR="007F4B28" w:rsidRPr="000F5884" w:rsidRDefault="000F5884" w:rsidP="009958EC">
      <w:pPr>
        <w:ind w:right="85"/>
        <w:rPr>
          <w:sz w:val="22"/>
          <w:szCs w:val="22"/>
        </w:rPr>
      </w:pPr>
      <w:r w:rsidRPr="00BE6FE8">
        <w:rPr>
          <w:sz w:val="22"/>
          <w:szCs w:val="22"/>
        </w:rPr>
        <w:t xml:space="preserve">Høstens arbeid </w:t>
      </w:r>
      <w:r>
        <w:rPr>
          <w:sz w:val="22"/>
          <w:szCs w:val="22"/>
        </w:rPr>
        <w:t xml:space="preserve">har </w:t>
      </w:r>
      <w:r w:rsidRPr="00BE6FE8">
        <w:rPr>
          <w:sz w:val="22"/>
          <w:szCs w:val="22"/>
        </w:rPr>
        <w:t>handle</w:t>
      </w:r>
      <w:r>
        <w:rPr>
          <w:sz w:val="22"/>
          <w:szCs w:val="22"/>
        </w:rPr>
        <w:t>t om konkretisering av de fem områdene, og vi har hatt flere diskusjoner med rektorat og dekanmøte, i tillegg til at vi også har hatt møter med instituttlederne, lederne i Fellesadministrasjonen og SESAM.</w:t>
      </w:r>
      <w:r w:rsidR="00BE515D">
        <w:rPr>
          <w:sz w:val="22"/>
          <w:szCs w:val="22"/>
        </w:rPr>
        <w:t xml:space="preserve"> </w:t>
      </w:r>
      <w:r>
        <w:rPr>
          <w:sz w:val="22"/>
          <w:szCs w:val="22"/>
        </w:rPr>
        <w:t xml:space="preserve">Diskusjonene har handlet om forenkling av styringssystemet og rydding i styrende dokumenter, vi har vurdert på hvilke områder organisasjonen har behov for </w:t>
      </w:r>
      <w:r w:rsidR="00431862">
        <w:rPr>
          <w:sz w:val="22"/>
          <w:szCs w:val="22"/>
        </w:rPr>
        <w:t>å sette inn ekstra innsats</w:t>
      </w:r>
      <w:r>
        <w:rPr>
          <w:sz w:val="22"/>
          <w:szCs w:val="22"/>
        </w:rPr>
        <w:t xml:space="preserve"> i endringsarbeidet, behov for</w:t>
      </w:r>
      <w:r w:rsidR="00431862">
        <w:rPr>
          <w:sz w:val="22"/>
          <w:szCs w:val="22"/>
        </w:rPr>
        <w:t xml:space="preserve"> å gjøre</w:t>
      </w:r>
      <w:r>
        <w:rPr>
          <w:sz w:val="22"/>
          <w:szCs w:val="22"/>
        </w:rPr>
        <w:t xml:space="preserve"> endringer i </w:t>
      </w:r>
      <w:r w:rsidR="007F4B28" w:rsidRPr="000F5884">
        <w:rPr>
          <w:sz w:val="22"/>
          <w:szCs w:val="22"/>
        </w:rPr>
        <w:t>strategiske prioriteringer over SO-ramma for langtidsperioden</w:t>
      </w:r>
      <w:r>
        <w:rPr>
          <w:sz w:val="22"/>
          <w:szCs w:val="22"/>
        </w:rPr>
        <w:t xml:space="preserve">, og </w:t>
      </w:r>
      <w:r w:rsidRPr="00BE6FE8">
        <w:rPr>
          <w:sz w:val="22"/>
          <w:szCs w:val="22"/>
        </w:rPr>
        <w:t>indikatorer vi ønsker å bruke for å følge med på strategisk endringsarbeid</w:t>
      </w:r>
      <w:r w:rsidR="004A6A7D">
        <w:rPr>
          <w:sz w:val="22"/>
          <w:szCs w:val="22"/>
        </w:rPr>
        <w:t>.</w:t>
      </w:r>
    </w:p>
    <w:p w14:paraId="1674EEAA" w14:textId="77777777" w:rsidR="00CD5864" w:rsidRDefault="00CD5864" w:rsidP="009958EC">
      <w:pPr>
        <w:ind w:right="85"/>
        <w:rPr>
          <w:sz w:val="22"/>
          <w:szCs w:val="22"/>
        </w:rPr>
      </w:pPr>
    </w:p>
    <w:p w14:paraId="1EF4AB07" w14:textId="77777777" w:rsidR="006E7316" w:rsidRDefault="006E7316" w:rsidP="009958EC">
      <w:pPr>
        <w:ind w:right="85"/>
        <w:rPr>
          <w:sz w:val="22"/>
          <w:szCs w:val="22"/>
        </w:rPr>
      </w:pPr>
    </w:p>
    <w:p w14:paraId="2B51F905" w14:textId="77777777" w:rsidR="006E7316" w:rsidRPr="00482CCB" w:rsidRDefault="006E7316" w:rsidP="006E7316">
      <w:pPr>
        <w:ind w:right="85"/>
        <w:rPr>
          <w:i/>
          <w:sz w:val="22"/>
          <w:szCs w:val="22"/>
        </w:rPr>
      </w:pPr>
      <w:r w:rsidRPr="00482CCB">
        <w:rPr>
          <w:i/>
          <w:sz w:val="22"/>
          <w:szCs w:val="22"/>
        </w:rPr>
        <w:t>Standardisering av styrende dokumenter</w:t>
      </w:r>
    </w:p>
    <w:p w14:paraId="02CB079E" w14:textId="77777777" w:rsidR="006E7316" w:rsidRDefault="006E7316" w:rsidP="006E7316">
      <w:pPr>
        <w:ind w:right="85"/>
        <w:rPr>
          <w:sz w:val="22"/>
          <w:szCs w:val="22"/>
        </w:rPr>
      </w:pPr>
      <w:r>
        <w:rPr>
          <w:sz w:val="22"/>
          <w:szCs w:val="22"/>
        </w:rPr>
        <w:t xml:space="preserve">Som en del av høstens prosess har vi arbeidet med en </w:t>
      </w:r>
      <w:r w:rsidRPr="006B3CFA">
        <w:rPr>
          <w:sz w:val="22"/>
          <w:szCs w:val="22"/>
        </w:rPr>
        <w:t xml:space="preserve">standardisering av </w:t>
      </w:r>
      <w:r>
        <w:rPr>
          <w:sz w:val="22"/>
          <w:szCs w:val="22"/>
        </w:rPr>
        <w:t>NTNUs</w:t>
      </w:r>
      <w:r w:rsidRPr="006B3CFA">
        <w:rPr>
          <w:sz w:val="22"/>
          <w:szCs w:val="22"/>
        </w:rPr>
        <w:t xml:space="preserve"> styrende dokumente</w:t>
      </w:r>
      <w:r>
        <w:rPr>
          <w:sz w:val="22"/>
          <w:szCs w:val="22"/>
        </w:rPr>
        <w:t>r</w:t>
      </w:r>
      <w:r w:rsidRPr="006B3CFA">
        <w:rPr>
          <w:sz w:val="22"/>
          <w:szCs w:val="22"/>
        </w:rPr>
        <w:t xml:space="preserve"> </w:t>
      </w:r>
      <w:r>
        <w:rPr>
          <w:sz w:val="22"/>
          <w:szCs w:val="22"/>
        </w:rPr>
        <w:t>og laget en plan for rydding</w:t>
      </w:r>
      <w:r w:rsidRPr="006B3CFA">
        <w:rPr>
          <w:sz w:val="22"/>
          <w:szCs w:val="22"/>
        </w:rPr>
        <w:t xml:space="preserve">. </w:t>
      </w:r>
      <w:r>
        <w:rPr>
          <w:sz w:val="22"/>
          <w:szCs w:val="22"/>
        </w:rPr>
        <w:t>Målet er at d</w:t>
      </w:r>
      <w:r w:rsidRPr="006B3CFA">
        <w:rPr>
          <w:sz w:val="22"/>
          <w:szCs w:val="22"/>
        </w:rPr>
        <w:t xml:space="preserve">okumentene </w:t>
      </w:r>
      <w:r>
        <w:rPr>
          <w:sz w:val="22"/>
          <w:szCs w:val="22"/>
        </w:rPr>
        <w:t>skal få</w:t>
      </w:r>
      <w:r w:rsidRPr="006B3CFA">
        <w:rPr>
          <w:sz w:val="22"/>
          <w:szCs w:val="22"/>
        </w:rPr>
        <w:t xml:space="preserve"> en felles, ryddig struktur og være presise og kortfattede. Dette gir dokumenter med bedre kvalitet, enklere vedlikehold og lettere gjenfinning, økt forståelse og gjenkjennelighet som gir større sannsynlighet for etterlevelse.</w:t>
      </w:r>
    </w:p>
    <w:p w14:paraId="41EFE0DC" w14:textId="77777777" w:rsidR="006E7316" w:rsidRDefault="006E7316" w:rsidP="006E7316">
      <w:pPr>
        <w:ind w:right="85"/>
        <w:rPr>
          <w:sz w:val="22"/>
          <w:szCs w:val="22"/>
        </w:rPr>
      </w:pPr>
    </w:p>
    <w:p w14:paraId="2A923510" w14:textId="77777777" w:rsidR="006E7316" w:rsidRDefault="006E7316" w:rsidP="006E7316">
      <w:pPr>
        <w:ind w:right="85"/>
        <w:rPr>
          <w:sz w:val="22"/>
          <w:szCs w:val="22"/>
        </w:rPr>
      </w:pPr>
      <w:r>
        <w:rPr>
          <w:sz w:val="22"/>
          <w:szCs w:val="22"/>
        </w:rPr>
        <w:t>Særlig tre typer dokumenter er viktige for gjennomføring av strategien og defineres som følger:</w:t>
      </w:r>
    </w:p>
    <w:p w14:paraId="460A68D3" w14:textId="77777777" w:rsidR="006E7316" w:rsidRPr="002C62C0" w:rsidRDefault="006E7316" w:rsidP="006E7316">
      <w:pPr>
        <w:pStyle w:val="ListParagraph"/>
        <w:numPr>
          <w:ilvl w:val="0"/>
          <w:numId w:val="30"/>
        </w:numPr>
        <w:ind w:right="85"/>
        <w:rPr>
          <w:sz w:val="22"/>
          <w:szCs w:val="22"/>
        </w:rPr>
      </w:pPr>
      <w:r w:rsidRPr="002C62C0">
        <w:rPr>
          <w:i/>
          <w:sz w:val="22"/>
          <w:szCs w:val="22"/>
        </w:rPr>
        <w:t>En politikk</w:t>
      </w:r>
      <w:r w:rsidRPr="002C62C0">
        <w:rPr>
          <w:sz w:val="22"/>
          <w:szCs w:val="22"/>
        </w:rPr>
        <w:t xml:space="preserve"> er et styrende dokument som beskriver overordnede prinsipper, krav og føringer, og myndighet, roller og ansvar knyttet til det området politikken gjelder for. </w:t>
      </w:r>
    </w:p>
    <w:p w14:paraId="18644178" w14:textId="77777777" w:rsidR="006E7316" w:rsidRPr="002C62C0" w:rsidRDefault="006E7316" w:rsidP="006E7316">
      <w:pPr>
        <w:pStyle w:val="ListParagraph"/>
        <w:numPr>
          <w:ilvl w:val="0"/>
          <w:numId w:val="30"/>
        </w:numPr>
        <w:ind w:right="85"/>
        <w:rPr>
          <w:sz w:val="22"/>
          <w:szCs w:val="22"/>
        </w:rPr>
      </w:pPr>
      <w:r w:rsidRPr="002C62C0">
        <w:rPr>
          <w:i/>
          <w:sz w:val="22"/>
          <w:szCs w:val="22"/>
        </w:rPr>
        <w:t>En utviklingsplan</w:t>
      </w:r>
      <w:r w:rsidRPr="002C62C0">
        <w:rPr>
          <w:sz w:val="22"/>
          <w:szCs w:val="22"/>
        </w:rPr>
        <w:t xml:space="preserve"> med tilhørende virkemidler og tiltak er laget for å realisere et eller flere utviklingsmål i strategien. Utviklingsplaner utarbeides på områder der det er behov for å iverksette betydelig endring, og der alle nivåer forplikter seg med tiltak og ressurser</w:t>
      </w:r>
      <w:r>
        <w:rPr>
          <w:sz w:val="22"/>
          <w:szCs w:val="22"/>
        </w:rPr>
        <w:t xml:space="preserve"> innenfor en begrenset tidsperiode</w:t>
      </w:r>
      <w:r w:rsidRPr="002C62C0">
        <w:rPr>
          <w:sz w:val="22"/>
          <w:szCs w:val="22"/>
        </w:rPr>
        <w:t xml:space="preserve">. </w:t>
      </w:r>
    </w:p>
    <w:p w14:paraId="593051C3" w14:textId="77777777" w:rsidR="006E7316" w:rsidRPr="002C62C0" w:rsidRDefault="006E7316" w:rsidP="006E7316">
      <w:pPr>
        <w:pStyle w:val="ListParagraph"/>
        <w:numPr>
          <w:ilvl w:val="0"/>
          <w:numId w:val="30"/>
        </w:numPr>
        <w:ind w:right="85"/>
        <w:rPr>
          <w:sz w:val="22"/>
          <w:szCs w:val="22"/>
        </w:rPr>
      </w:pPr>
      <w:r w:rsidRPr="002C62C0">
        <w:rPr>
          <w:i/>
          <w:sz w:val="22"/>
          <w:szCs w:val="22"/>
        </w:rPr>
        <w:t>En langtidsplan</w:t>
      </w:r>
      <w:r w:rsidRPr="002C62C0">
        <w:rPr>
          <w:sz w:val="22"/>
          <w:szCs w:val="22"/>
        </w:rPr>
        <w:t xml:space="preserve"> er en flerårig plan som rulleres årlig og som skal sikre tilstrekkelig vedlikehold, rehabilitering, reinvestering og fornyelse av tung og kostnadskrevende fysisk infrastruktur.</w:t>
      </w:r>
    </w:p>
    <w:p w14:paraId="2DBD9662" w14:textId="77777777" w:rsidR="006E7316" w:rsidRDefault="006E7316" w:rsidP="006E7316">
      <w:pPr>
        <w:ind w:right="85"/>
        <w:rPr>
          <w:sz w:val="22"/>
          <w:szCs w:val="22"/>
        </w:rPr>
      </w:pPr>
    </w:p>
    <w:p w14:paraId="5D3F00B2" w14:textId="77777777" w:rsidR="006E7316" w:rsidRDefault="00C33B48" w:rsidP="006E7316">
      <w:pPr>
        <w:ind w:right="85"/>
        <w:rPr>
          <w:sz w:val="22"/>
          <w:szCs w:val="22"/>
        </w:rPr>
      </w:pPr>
      <w:r w:rsidRPr="00C33B48">
        <w:rPr>
          <w:sz w:val="22"/>
          <w:szCs w:val="22"/>
        </w:rPr>
        <w:t>Utdypende informasjon og detaljerte</w:t>
      </w:r>
      <w:r w:rsidR="006E7316" w:rsidRPr="00C33B48">
        <w:rPr>
          <w:sz w:val="22"/>
          <w:szCs w:val="22"/>
        </w:rPr>
        <w:t xml:space="preserve"> definisjoner følger i vedlegg.</w:t>
      </w:r>
    </w:p>
    <w:p w14:paraId="550A975C" w14:textId="77777777" w:rsidR="006E7316" w:rsidRDefault="006E7316" w:rsidP="009958EC">
      <w:pPr>
        <w:ind w:right="85"/>
        <w:rPr>
          <w:sz w:val="22"/>
          <w:szCs w:val="22"/>
        </w:rPr>
      </w:pPr>
    </w:p>
    <w:p w14:paraId="125D9771" w14:textId="77777777" w:rsidR="006E7316" w:rsidRDefault="006E7316" w:rsidP="009958EC">
      <w:pPr>
        <w:ind w:right="85"/>
        <w:rPr>
          <w:sz w:val="22"/>
          <w:szCs w:val="22"/>
        </w:rPr>
      </w:pPr>
    </w:p>
    <w:p w14:paraId="2B87768F" w14:textId="77777777" w:rsidR="006E7316" w:rsidRPr="006E7316" w:rsidRDefault="006E7316" w:rsidP="009958EC">
      <w:pPr>
        <w:ind w:right="85"/>
        <w:rPr>
          <w:i/>
          <w:sz w:val="22"/>
          <w:szCs w:val="22"/>
        </w:rPr>
      </w:pPr>
      <w:r w:rsidRPr="006E7316">
        <w:rPr>
          <w:i/>
          <w:sz w:val="22"/>
          <w:szCs w:val="22"/>
        </w:rPr>
        <w:t>Helheten i planverket</w:t>
      </w:r>
    </w:p>
    <w:p w14:paraId="06DC21BF" w14:textId="77777777" w:rsidR="004A6A7D" w:rsidRPr="009958EC" w:rsidRDefault="00431862" w:rsidP="009958EC">
      <w:pPr>
        <w:ind w:right="85"/>
        <w:rPr>
          <w:sz w:val="22"/>
          <w:szCs w:val="22"/>
        </w:rPr>
      </w:pPr>
      <w:r>
        <w:rPr>
          <w:sz w:val="22"/>
          <w:szCs w:val="22"/>
        </w:rPr>
        <w:t>Nedenfor</w:t>
      </w:r>
      <w:r w:rsidRPr="009958EC">
        <w:rPr>
          <w:sz w:val="22"/>
          <w:szCs w:val="22"/>
        </w:rPr>
        <w:t xml:space="preserve"> </w:t>
      </w:r>
      <w:r w:rsidR="007F4B28" w:rsidRPr="009958EC">
        <w:rPr>
          <w:sz w:val="22"/>
          <w:szCs w:val="22"/>
        </w:rPr>
        <w:t>følger en beskrivelse av planene knyttet til hver av de fem hovedområdene.</w:t>
      </w:r>
      <w:r>
        <w:rPr>
          <w:sz w:val="22"/>
          <w:szCs w:val="22"/>
        </w:rPr>
        <w:t xml:space="preserve"> Det presiseres at det her fokuseres på forhold som må endres eller forbedres. En rekke eksisterende virkemidler og tiltak som retter seg mot området vil bli videreført også i 2019</w:t>
      </w:r>
      <w:r w:rsidR="00415AE5">
        <w:rPr>
          <w:sz w:val="22"/>
          <w:szCs w:val="22"/>
        </w:rPr>
        <w:t>.</w:t>
      </w:r>
      <w:r>
        <w:rPr>
          <w:sz w:val="22"/>
          <w:szCs w:val="22"/>
        </w:rPr>
        <w:t xml:space="preserve"> </w:t>
      </w:r>
      <w:r w:rsidR="00415AE5">
        <w:rPr>
          <w:sz w:val="22"/>
          <w:szCs w:val="22"/>
        </w:rPr>
        <w:t>D</w:t>
      </w:r>
      <w:r>
        <w:rPr>
          <w:sz w:val="22"/>
          <w:szCs w:val="22"/>
        </w:rPr>
        <w:t>isse kommer i tillegg</w:t>
      </w:r>
      <w:r w:rsidR="00415AE5">
        <w:rPr>
          <w:sz w:val="22"/>
          <w:szCs w:val="22"/>
        </w:rPr>
        <w:t xml:space="preserve"> og beskrives ikke uttømmende nedenfor.</w:t>
      </w:r>
    </w:p>
    <w:p w14:paraId="46074F0A" w14:textId="77777777" w:rsidR="00C33B48" w:rsidRPr="00C33B48" w:rsidRDefault="00C33B48" w:rsidP="00C33B48">
      <w:pPr>
        <w:ind w:right="85"/>
        <w:rPr>
          <w:sz w:val="22"/>
          <w:szCs w:val="22"/>
        </w:rPr>
      </w:pPr>
    </w:p>
    <w:p w14:paraId="21700462" w14:textId="1BC045BE" w:rsidR="00C33B48" w:rsidRDefault="00C33B48" w:rsidP="00C33B48">
      <w:pPr>
        <w:ind w:right="85"/>
        <w:rPr>
          <w:sz w:val="22"/>
          <w:szCs w:val="22"/>
        </w:rPr>
      </w:pPr>
      <w:r w:rsidRPr="00C33B48">
        <w:rPr>
          <w:sz w:val="22"/>
          <w:szCs w:val="22"/>
        </w:rPr>
        <w:t xml:space="preserve">Det er også slik at kapitlene, utviklingsplanene og indikatorene må ses som en helhet som </w:t>
      </w:r>
      <w:r w:rsidR="0068411D">
        <w:rPr>
          <w:sz w:val="22"/>
          <w:szCs w:val="22"/>
        </w:rPr>
        <w:t>må sees i sammenheng</w:t>
      </w:r>
      <w:r w:rsidRPr="00C33B48">
        <w:rPr>
          <w:sz w:val="22"/>
          <w:szCs w:val="22"/>
        </w:rPr>
        <w:t xml:space="preserve"> og </w:t>
      </w:r>
      <w:r w:rsidR="0068411D">
        <w:rPr>
          <w:sz w:val="22"/>
          <w:szCs w:val="22"/>
        </w:rPr>
        <w:t xml:space="preserve">som </w:t>
      </w:r>
      <w:r w:rsidRPr="00C33B48">
        <w:rPr>
          <w:sz w:val="22"/>
          <w:szCs w:val="22"/>
        </w:rPr>
        <w:t>forsterker hverandre.</w:t>
      </w:r>
    </w:p>
    <w:p w14:paraId="6164DD98" w14:textId="77777777" w:rsidR="004A6A7D" w:rsidRDefault="004A6A7D">
      <w:pPr>
        <w:rPr>
          <w:sz w:val="23"/>
          <w:szCs w:val="23"/>
        </w:rPr>
      </w:pPr>
      <w:r>
        <w:rPr>
          <w:sz w:val="23"/>
          <w:szCs w:val="23"/>
        </w:rPr>
        <w:br w:type="page"/>
      </w:r>
    </w:p>
    <w:p w14:paraId="759600AF" w14:textId="77777777" w:rsidR="00AC7DE7" w:rsidRPr="00590F34" w:rsidRDefault="00801F7F" w:rsidP="77A404A7">
      <w:pPr>
        <w:rPr>
          <w:b/>
          <w:bCs/>
          <w:szCs w:val="28"/>
        </w:rPr>
      </w:pPr>
      <w:r>
        <w:rPr>
          <w:b/>
          <w:bCs/>
          <w:szCs w:val="28"/>
        </w:rPr>
        <w:t>3</w:t>
      </w:r>
      <w:r w:rsidR="00FD0B80" w:rsidRPr="00590F34">
        <w:rPr>
          <w:b/>
          <w:bCs/>
          <w:szCs w:val="28"/>
        </w:rPr>
        <w:t>.1</w:t>
      </w:r>
      <w:r w:rsidR="00FD0B80" w:rsidRPr="00590F34">
        <w:rPr>
          <w:b/>
        </w:rPr>
        <w:tab/>
      </w:r>
      <w:r w:rsidR="003D25CA" w:rsidRPr="00590F34">
        <w:rPr>
          <w:b/>
          <w:bCs/>
          <w:szCs w:val="28"/>
        </w:rPr>
        <w:t>Sterke fagmiljøer</w:t>
      </w:r>
    </w:p>
    <w:p w14:paraId="16A52C11" w14:textId="77777777" w:rsidR="003D25CA" w:rsidRPr="003F014E" w:rsidRDefault="003D25CA" w:rsidP="00AC7DE7">
      <w:pPr>
        <w:rPr>
          <w:sz w:val="22"/>
          <w:szCs w:val="22"/>
        </w:rPr>
      </w:pPr>
    </w:p>
    <w:p w14:paraId="599850A1" w14:textId="77777777" w:rsidR="002E6EC7" w:rsidRPr="003A5B99" w:rsidRDefault="004E628E" w:rsidP="002E6EC7">
      <w:pPr>
        <w:rPr>
          <w:i/>
          <w:color w:val="0070C0"/>
          <w:sz w:val="22"/>
          <w:szCs w:val="22"/>
        </w:rPr>
      </w:pPr>
      <w:r w:rsidRPr="003A5B99">
        <w:rPr>
          <w:i/>
          <w:color w:val="0070C0"/>
          <w:sz w:val="22"/>
          <w:szCs w:val="22"/>
        </w:rPr>
        <w:t>Hvilke ambisjoner og strategiske utviklingsmål har vi?</w:t>
      </w:r>
    </w:p>
    <w:p w14:paraId="435A2321" w14:textId="5608A988" w:rsidR="004E628E" w:rsidRPr="003F014E" w:rsidRDefault="004E628E" w:rsidP="004E628E">
      <w:pPr>
        <w:rPr>
          <w:sz w:val="22"/>
          <w:szCs w:val="22"/>
        </w:rPr>
      </w:pPr>
      <w:r w:rsidRPr="003F014E">
        <w:rPr>
          <w:sz w:val="22"/>
          <w:szCs w:val="22"/>
        </w:rPr>
        <w:t xml:space="preserve">Strategien innebærer en ambisjon om at alle våre institutter skal ha fagmiljøer som er på et dokumentert høyt internasjonalt nivå innenfor minst </w:t>
      </w:r>
      <w:r w:rsidRPr="003F014E">
        <w:rPr>
          <w:sz w:val="22"/>
          <w:szCs w:val="22"/>
          <w:u w:val="single"/>
        </w:rPr>
        <w:t>ett</w:t>
      </w:r>
      <w:r w:rsidRPr="003F014E">
        <w:rPr>
          <w:sz w:val="22"/>
          <w:szCs w:val="22"/>
        </w:rPr>
        <w:t xml:space="preserve"> av sine kjerneområder (utdanning, forskning, nyskaping eller formidling). Videreutvikling av sterke fagmiljøer er fundamentet for vår virksomhet og avgjørende for å realisere strategien. I dag har enkelte fagmiljøer for lav kvalitet, og det er behov både for å løfte den faglige kvaliteten i bredden og å utvikle flere spissmiljøer. </w:t>
      </w:r>
      <w:r w:rsidR="00415AE5">
        <w:rPr>
          <w:sz w:val="22"/>
          <w:szCs w:val="22"/>
        </w:rPr>
        <w:t xml:space="preserve">Dette gjelder både </w:t>
      </w:r>
      <w:r w:rsidR="00415AE5" w:rsidRPr="003F014E">
        <w:rPr>
          <w:sz w:val="22"/>
          <w:szCs w:val="22"/>
        </w:rPr>
        <w:t>innenfor utdanning, forskning, nyskaping eller formidling</w:t>
      </w:r>
      <w:r w:rsidR="00415AE5">
        <w:rPr>
          <w:sz w:val="22"/>
          <w:szCs w:val="22"/>
        </w:rPr>
        <w:t>.</w:t>
      </w:r>
      <w:r w:rsidR="00415AE5" w:rsidRPr="003F014E">
        <w:rPr>
          <w:sz w:val="22"/>
          <w:szCs w:val="22"/>
        </w:rPr>
        <w:t xml:space="preserve"> </w:t>
      </w:r>
      <w:r w:rsidRPr="003F014E">
        <w:rPr>
          <w:sz w:val="22"/>
          <w:szCs w:val="22"/>
        </w:rPr>
        <w:t xml:space="preserve">Fremfor å forvente at alle skal bli bedre til alt og gjøre mer av alt, blir det vesentlig å dyrke fram fagmiljøer som har særlig </w:t>
      </w:r>
      <w:r w:rsidR="007300F9">
        <w:rPr>
          <w:sz w:val="22"/>
          <w:szCs w:val="22"/>
        </w:rPr>
        <w:t>styrker</w:t>
      </w:r>
      <w:r w:rsidR="007300F9" w:rsidRPr="003F014E">
        <w:rPr>
          <w:sz w:val="22"/>
          <w:szCs w:val="22"/>
        </w:rPr>
        <w:t xml:space="preserve"> </w:t>
      </w:r>
      <w:r w:rsidRPr="003F014E">
        <w:rPr>
          <w:sz w:val="22"/>
          <w:szCs w:val="22"/>
        </w:rPr>
        <w:t>eller fortrinn være seg</w:t>
      </w:r>
      <w:r w:rsidR="00415AE5">
        <w:rPr>
          <w:sz w:val="22"/>
          <w:szCs w:val="22"/>
        </w:rPr>
        <w:t xml:space="preserve"> </w:t>
      </w:r>
      <w:r w:rsidRPr="003F014E">
        <w:rPr>
          <w:sz w:val="22"/>
          <w:szCs w:val="22"/>
        </w:rPr>
        <w:t>innenfor</w:t>
      </w:r>
      <w:r w:rsidR="00415AE5">
        <w:rPr>
          <w:sz w:val="22"/>
          <w:szCs w:val="22"/>
        </w:rPr>
        <w:t xml:space="preserve"> et eller flere av disse virksomhets</w:t>
      </w:r>
      <w:r w:rsidR="00CB5531">
        <w:rPr>
          <w:sz w:val="22"/>
          <w:szCs w:val="22"/>
        </w:rPr>
        <w:t>-</w:t>
      </w:r>
      <w:r w:rsidR="00415AE5">
        <w:rPr>
          <w:sz w:val="22"/>
          <w:szCs w:val="22"/>
        </w:rPr>
        <w:t>områdene</w:t>
      </w:r>
      <w:r w:rsidRPr="003F014E">
        <w:rPr>
          <w:sz w:val="22"/>
          <w:szCs w:val="22"/>
        </w:rPr>
        <w:t>. Dette innebærer at det utvikles en tydeligere arbeidsdeling der den enkelte</w:t>
      </w:r>
      <w:r w:rsidR="00415AE5">
        <w:rPr>
          <w:sz w:val="22"/>
          <w:szCs w:val="22"/>
        </w:rPr>
        <w:t xml:space="preserve"> ansatte </w:t>
      </w:r>
      <w:r w:rsidRPr="003F014E">
        <w:rPr>
          <w:sz w:val="22"/>
          <w:szCs w:val="22"/>
        </w:rPr>
        <w:t>s</w:t>
      </w:r>
      <w:r w:rsidR="00415AE5">
        <w:rPr>
          <w:sz w:val="22"/>
          <w:szCs w:val="22"/>
        </w:rPr>
        <w:t>in</w:t>
      </w:r>
      <w:r w:rsidRPr="003F014E">
        <w:rPr>
          <w:sz w:val="22"/>
          <w:szCs w:val="22"/>
        </w:rPr>
        <w:t xml:space="preserve"> karriere og </w:t>
      </w:r>
      <w:r w:rsidR="00415AE5">
        <w:rPr>
          <w:sz w:val="22"/>
          <w:szCs w:val="22"/>
        </w:rPr>
        <w:t xml:space="preserve">det enkelte fagmiljø sitt </w:t>
      </w:r>
      <w:r w:rsidRPr="003F014E">
        <w:rPr>
          <w:sz w:val="22"/>
          <w:szCs w:val="22"/>
        </w:rPr>
        <w:t xml:space="preserve">bidrag til helheten settes i fokus. </w:t>
      </w:r>
    </w:p>
    <w:p w14:paraId="74027F61" w14:textId="77777777" w:rsidR="004E628E" w:rsidRPr="003F014E" w:rsidRDefault="004E628E" w:rsidP="004E628E">
      <w:pPr>
        <w:rPr>
          <w:sz w:val="22"/>
          <w:szCs w:val="22"/>
        </w:rPr>
      </w:pPr>
    </w:p>
    <w:p w14:paraId="1EDD96A4" w14:textId="77777777" w:rsidR="002E6EC7" w:rsidRPr="003F014E" w:rsidRDefault="002E6EC7" w:rsidP="002E6EC7">
      <w:pPr>
        <w:rPr>
          <w:sz w:val="22"/>
          <w:szCs w:val="22"/>
        </w:rPr>
      </w:pPr>
      <w:r w:rsidRPr="003F014E">
        <w:rPr>
          <w:sz w:val="22"/>
          <w:szCs w:val="22"/>
        </w:rPr>
        <w:t xml:space="preserve">13 av utviklingsmålene i strategien handler om ulike sider ved utvikling av sterke fagmiljøer. </w:t>
      </w:r>
      <w:r w:rsidR="003F014E">
        <w:rPr>
          <w:sz w:val="22"/>
          <w:szCs w:val="22"/>
        </w:rPr>
        <w:t xml:space="preserve">Målene </w:t>
      </w:r>
      <w:r w:rsidRPr="003F014E">
        <w:rPr>
          <w:sz w:val="22"/>
          <w:szCs w:val="22"/>
        </w:rPr>
        <w:t xml:space="preserve">handler om NTNUs konkurranseevne og gjennomslagskraft, kompetanseutvikling og dokumentasjon av kompetanse, </w:t>
      </w:r>
      <w:r w:rsidR="003F014E">
        <w:rPr>
          <w:sz w:val="22"/>
          <w:szCs w:val="22"/>
        </w:rPr>
        <w:t xml:space="preserve">karriereutvikling, </w:t>
      </w:r>
      <w:r w:rsidRPr="003F014E">
        <w:rPr>
          <w:sz w:val="22"/>
          <w:szCs w:val="22"/>
        </w:rPr>
        <w:t>samt rekruttering og mer indirekte – arbeidsdeling. I tillegg legges det til grunn at sterke fagmiljøer også trenger gode arbeidsmiljøer og at de har en god kjønnsbalanse.</w:t>
      </w:r>
    </w:p>
    <w:p w14:paraId="35E8C25B" w14:textId="77777777" w:rsidR="002E6EC7" w:rsidRPr="003F014E" w:rsidRDefault="002E6EC7" w:rsidP="006D3EBC">
      <w:pPr>
        <w:rPr>
          <w:sz w:val="22"/>
          <w:szCs w:val="22"/>
        </w:rPr>
      </w:pPr>
    </w:p>
    <w:p w14:paraId="3D75006A" w14:textId="77777777" w:rsidR="00F210C7" w:rsidRPr="003F014E" w:rsidRDefault="00F210C7" w:rsidP="006D3EBC">
      <w:pPr>
        <w:rPr>
          <w:sz w:val="22"/>
          <w:szCs w:val="22"/>
        </w:rPr>
      </w:pPr>
    </w:p>
    <w:p w14:paraId="4C9DB6CD" w14:textId="77777777" w:rsidR="00417295" w:rsidRPr="003A5B99" w:rsidRDefault="00417295" w:rsidP="006D3EBC">
      <w:pPr>
        <w:rPr>
          <w:i/>
          <w:color w:val="0070C0"/>
          <w:sz w:val="22"/>
          <w:szCs w:val="22"/>
        </w:rPr>
      </w:pPr>
      <w:r w:rsidRPr="003A5B99">
        <w:rPr>
          <w:i/>
          <w:color w:val="0070C0"/>
          <w:sz w:val="22"/>
          <w:szCs w:val="22"/>
        </w:rPr>
        <w:t>Hvordan arbeider vi med utvikling?</w:t>
      </w:r>
    </w:p>
    <w:p w14:paraId="597ABD93" w14:textId="77777777" w:rsidR="00417295" w:rsidRPr="003F014E" w:rsidRDefault="00C8045E" w:rsidP="00417295">
      <w:pPr>
        <w:rPr>
          <w:sz w:val="22"/>
          <w:szCs w:val="22"/>
        </w:rPr>
      </w:pPr>
      <w:r>
        <w:rPr>
          <w:sz w:val="22"/>
          <w:szCs w:val="22"/>
        </w:rPr>
        <w:t xml:space="preserve">Det viktigste arbeidet med å utvikle sterke fagmiljøer skjer i fagmiljøene selv. </w:t>
      </w:r>
      <w:r w:rsidR="00417295" w:rsidRPr="003F014E">
        <w:rPr>
          <w:sz w:val="22"/>
          <w:szCs w:val="22"/>
        </w:rPr>
        <w:t xml:space="preserve">Alle instituttene og fakulteter må selv vurdere hvilke områder de har slike fortrinn innenfor, og hvilke tiltak som vil være mest effektive for å utvikle sterke fagmiljøer. Utvikling av </w:t>
      </w:r>
      <w:r w:rsidR="003F014E">
        <w:rPr>
          <w:sz w:val="22"/>
          <w:szCs w:val="22"/>
        </w:rPr>
        <w:t xml:space="preserve">sterke </w:t>
      </w:r>
      <w:r w:rsidR="00417295" w:rsidRPr="003F014E">
        <w:rPr>
          <w:sz w:val="22"/>
          <w:szCs w:val="22"/>
        </w:rPr>
        <w:t>fagmiljøer et prioritert område ved alle fakulteter. Hos noen handler det om styrket forskningskultur, hos andre er det utdanningsfaglig kompetanse eller nyskaping som krever ekstra oppmerksomhet. Flere har også tiltak for å styrke arbeidet med forskerutdanningen.</w:t>
      </w:r>
    </w:p>
    <w:p w14:paraId="54C787D8" w14:textId="77777777" w:rsidR="00417295" w:rsidRPr="003F014E" w:rsidRDefault="00417295" w:rsidP="006D3EBC">
      <w:pPr>
        <w:rPr>
          <w:sz w:val="22"/>
          <w:szCs w:val="22"/>
        </w:rPr>
      </w:pPr>
    </w:p>
    <w:p w14:paraId="05B34256" w14:textId="77777777" w:rsidR="003959E4" w:rsidRDefault="003959E4" w:rsidP="003959E4">
      <w:pPr>
        <w:rPr>
          <w:sz w:val="22"/>
          <w:szCs w:val="22"/>
        </w:rPr>
      </w:pPr>
      <w:r w:rsidRPr="003F014E">
        <w:rPr>
          <w:sz w:val="22"/>
          <w:szCs w:val="22"/>
        </w:rPr>
        <w:t xml:space="preserve">NTNU har </w:t>
      </w:r>
      <w:r>
        <w:rPr>
          <w:sz w:val="22"/>
          <w:szCs w:val="22"/>
        </w:rPr>
        <w:t xml:space="preserve">allerede </w:t>
      </w:r>
      <w:r w:rsidRPr="003F014E">
        <w:rPr>
          <w:sz w:val="22"/>
          <w:szCs w:val="22"/>
        </w:rPr>
        <w:t xml:space="preserve">en rekke virkemidler som skal </w:t>
      </w:r>
      <w:r w:rsidR="00C8045E">
        <w:rPr>
          <w:sz w:val="22"/>
          <w:szCs w:val="22"/>
        </w:rPr>
        <w:t xml:space="preserve">støtte og </w:t>
      </w:r>
      <w:r w:rsidRPr="003F014E">
        <w:rPr>
          <w:sz w:val="22"/>
          <w:szCs w:val="22"/>
        </w:rPr>
        <w:t xml:space="preserve">stimulere </w:t>
      </w:r>
      <w:r>
        <w:rPr>
          <w:sz w:val="22"/>
          <w:szCs w:val="22"/>
        </w:rPr>
        <w:t>utvikling av sterke fagmiljøer, og alle disse videreføres</w:t>
      </w:r>
      <w:r w:rsidR="00EC7878">
        <w:rPr>
          <w:sz w:val="22"/>
          <w:szCs w:val="22"/>
        </w:rPr>
        <w:t xml:space="preserve"> i 2019</w:t>
      </w:r>
      <w:r>
        <w:rPr>
          <w:sz w:val="22"/>
          <w:szCs w:val="22"/>
        </w:rPr>
        <w:t xml:space="preserve">. </w:t>
      </w:r>
      <w:r w:rsidRPr="003F014E">
        <w:rPr>
          <w:sz w:val="22"/>
          <w:szCs w:val="22"/>
        </w:rPr>
        <w:t xml:space="preserve">En stor del av </w:t>
      </w:r>
      <w:r>
        <w:rPr>
          <w:sz w:val="22"/>
          <w:szCs w:val="22"/>
        </w:rPr>
        <w:t>virkemidlene</w:t>
      </w:r>
      <w:r w:rsidRPr="003F014E">
        <w:rPr>
          <w:sz w:val="22"/>
          <w:szCs w:val="22"/>
        </w:rPr>
        <w:t xml:space="preserve"> innebærer finansiell støtte til fagmiljøer som får uttelling på nasjonale og internasjonale konkurransearenaer. Det ligger også </w:t>
      </w:r>
      <w:r>
        <w:rPr>
          <w:sz w:val="22"/>
          <w:szCs w:val="22"/>
        </w:rPr>
        <w:t>tiltak for</w:t>
      </w:r>
      <w:r w:rsidR="00973D0C">
        <w:rPr>
          <w:sz w:val="22"/>
          <w:szCs w:val="22"/>
        </w:rPr>
        <w:t xml:space="preserve"> rekruttering og </w:t>
      </w:r>
      <w:r w:rsidRPr="003F014E">
        <w:rPr>
          <w:sz w:val="22"/>
          <w:szCs w:val="22"/>
        </w:rPr>
        <w:t xml:space="preserve">utvikling av talenter og spissmiljøer, samt tiltak som skal løfte bredden innen </w:t>
      </w:r>
      <w:r>
        <w:rPr>
          <w:sz w:val="22"/>
          <w:szCs w:val="22"/>
        </w:rPr>
        <w:t>utdanningsfaglig kompetanse</w:t>
      </w:r>
      <w:r w:rsidRPr="003F014E">
        <w:rPr>
          <w:sz w:val="22"/>
          <w:szCs w:val="22"/>
        </w:rPr>
        <w:t xml:space="preserve"> og nyskaping.</w:t>
      </w:r>
      <w:r w:rsidRPr="00E83C06">
        <w:rPr>
          <w:sz w:val="22"/>
          <w:szCs w:val="22"/>
        </w:rPr>
        <w:t xml:space="preserve"> </w:t>
      </w:r>
    </w:p>
    <w:p w14:paraId="4904A10D" w14:textId="77777777" w:rsidR="00417295" w:rsidRDefault="00417295" w:rsidP="006D3EBC">
      <w:pPr>
        <w:rPr>
          <w:sz w:val="22"/>
          <w:szCs w:val="22"/>
        </w:rPr>
      </w:pPr>
    </w:p>
    <w:p w14:paraId="51A35852" w14:textId="77777777" w:rsidR="00A53035" w:rsidRDefault="003959E4" w:rsidP="006D3EBC">
      <w:pPr>
        <w:rPr>
          <w:sz w:val="22"/>
          <w:szCs w:val="22"/>
        </w:rPr>
      </w:pPr>
      <w:r>
        <w:rPr>
          <w:sz w:val="22"/>
          <w:szCs w:val="22"/>
        </w:rPr>
        <w:t>For å gi området et ytterligere løft v</w:t>
      </w:r>
      <w:r w:rsidR="00913C0B">
        <w:rPr>
          <w:sz w:val="22"/>
          <w:szCs w:val="22"/>
        </w:rPr>
        <w:t xml:space="preserve">il vi i 2019 gjøre </w:t>
      </w:r>
      <w:r w:rsidR="003A2F67">
        <w:rPr>
          <w:sz w:val="22"/>
          <w:szCs w:val="22"/>
        </w:rPr>
        <w:t>følgende</w:t>
      </w:r>
      <w:r w:rsidR="00913C0B">
        <w:rPr>
          <w:sz w:val="22"/>
          <w:szCs w:val="22"/>
        </w:rPr>
        <w:t xml:space="preserve"> hovedgrep:</w:t>
      </w:r>
      <w:r w:rsidR="00A53035" w:rsidRPr="003F014E">
        <w:rPr>
          <w:sz w:val="22"/>
          <w:szCs w:val="22"/>
        </w:rPr>
        <w:t xml:space="preserve"> </w:t>
      </w:r>
    </w:p>
    <w:p w14:paraId="02803183" w14:textId="77777777" w:rsidR="00A53035" w:rsidRDefault="00A53035" w:rsidP="006D3EBC">
      <w:pPr>
        <w:rPr>
          <w:sz w:val="22"/>
          <w:szCs w:val="22"/>
        </w:rPr>
      </w:pPr>
    </w:p>
    <w:p w14:paraId="0AF81B67" w14:textId="77777777" w:rsidR="003F014E" w:rsidRPr="004965A3" w:rsidRDefault="003959E4" w:rsidP="00801F7F">
      <w:pPr>
        <w:pStyle w:val="ListParagraph"/>
        <w:numPr>
          <w:ilvl w:val="0"/>
          <w:numId w:val="8"/>
        </w:numPr>
        <w:rPr>
          <w:sz w:val="22"/>
          <w:szCs w:val="22"/>
        </w:rPr>
      </w:pPr>
      <w:r w:rsidRPr="00EC7878">
        <w:rPr>
          <w:i/>
          <w:sz w:val="22"/>
          <w:szCs w:val="22"/>
        </w:rPr>
        <w:t>Ny personalpolitikk:</w:t>
      </w:r>
      <w:r w:rsidRPr="00EC7878">
        <w:rPr>
          <w:sz w:val="22"/>
          <w:szCs w:val="22"/>
        </w:rPr>
        <w:t xml:space="preserve"> </w:t>
      </w:r>
      <w:r w:rsidR="003F014E" w:rsidRPr="00EC7878">
        <w:rPr>
          <w:sz w:val="22"/>
          <w:szCs w:val="22"/>
        </w:rPr>
        <w:t xml:space="preserve">Arbeid med utvikling av sterke fagmiljøer krever ryddighet i styrende dokumenter. </w:t>
      </w:r>
      <w:r w:rsidR="00415AE5">
        <w:rPr>
          <w:sz w:val="22"/>
          <w:szCs w:val="22"/>
        </w:rPr>
        <w:t>NTNU har</w:t>
      </w:r>
      <w:r w:rsidR="003F014E" w:rsidRPr="00EC7878">
        <w:rPr>
          <w:sz w:val="22"/>
          <w:szCs w:val="22"/>
        </w:rPr>
        <w:t xml:space="preserve"> i dag en lang rekke dokumenter som omhandler ulike sider av </w:t>
      </w:r>
      <w:r w:rsidR="003F014E" w:rsidRPr="004965A3">
        <w:rPr>
          <w:sz w:val="22"/>
          <w:szCs w:val="22"/>
        </w:rPr>
        <w:t xml:space="preserve">personalpolitikken. Vi ønsker å bruke 2019 til å utarbeide en ny </w:t>
      </w:r>
      <w:r w:rsidR="00415AE5" w:rsidRPr="004965A3">
        <w:rPr>
          <w:sz w:val="22"/>
          <w:szCs w:val="22"/>
        </w:rPr>
        <w:t xml:space="preserve">helhetlig </w:t>
      </w:r>
      <w:r w:rsidR="003F014E" w:rsidRPr="004965A3">
        <w:rPr>
          <w:sz w:val="22"/>
          <w:szCs w:val="22"/>
        </w:rPr>
        <w:t xml:space="preserve">personalpolitikk, med utgangspunkt i dagens dokumenter. </w:t>
      </w:r>
      <w:r w:rsidR="00A53035" w:rsidRPr="004965A3">
        <w:rPr>
          <w:sz w:val="22"/>
          <w:szCs w:val="22"/>
        </w:rPr>
        <w:t>En ny personalpolitikk bør også tydeliggjøre overordnede prinsipper for karriereutvikling</w:t>
      </w:r>
      <w:r w:rsidR="00D03685" w:rsidRPr="004965A3">
        <w:rPr>
          <w:sz w:val="22"/>
          <w:szCs w:val="22"/>
        </w:rPr>
        <w:t xml:space="preserve"> og merittering</w:t>
      </w:r>
      <w:r w:rsidR="00A53035" w:rsidRPr="004965A3">
        <w:rPr>
          <w:sz w:val="22"/>
          <w:szCs w:val="22"/>
        </w:rPr>
        <w:t>.</w:t>
      </w:r>
    </w:p>
    <w:p w14:paraId="6B3FE35C" w14:textId="77777777" w:rsidR="00EC7878" w:rsidRPr="004965A3" w:rsidRDefault="003959E4" w:rsidP="00801F7F">
      <w:pPr>
        <w:pStyle w:val="ListParagraph"/>
        <w:numPr>
          <w:ilvl w:val="0"/>
          <w:numId w:val="8"/>
        </w:numPr>
        <w:rPr>
          <w:sz w:val="22"/>
          <w:szCs w:val="22"/>
        </w:rPr>
      </w:pPr>
      <w:r w:rsidRPr="004965A3">
        <w:rPr>
          <w:i/>
          <w:sz w:val="22"/>
          <w:szCs w:val="22"/>
        </w:rPr>
        <w:t>Utviklingsplan for ledelses- og kompetanseutvikling:</w:t>
      </w:r>
      <w:r w:rsidRPr="004965A3">
        <w:rPr>
          <w:sz w:val="22"/>
          <w:szCs w:val="22"/>
        </w:rPr>
        <w:t xml:space="preserve"> </w:t>
      </w:r>
      <w:r w:rsidR="00EC7878" w:rsidRPr="004965A3">
        <w:rPr>
          <w:sz w:val="22"/>
          <w:szCs w:val="22"/>
        </w:rPr>
        <w:t xml:space="preserve">Utviklingsplanen skal svare ut et behov </w:t>
      </w:r>
      <w:r w:rsidR="00415AE5" w:rsidRPr="004965A3">
        <w:rPr>
          <w:sz w:val="22"/>
          <w:szCs w:val="22"/>
        </w:rPr>
        <w:t xml:space="preserve">for </w:t>
      </w:r>
      <w:r w:rsidR="00EC7878" w:rsidRPr="004965A3">
        <w:rPr>
          <w:sz w:val="22"/>
          <w:szCs w:val="22"/>
        </w:rPr>
        <w:t>systematisering av arbeidet med kompetanseutvikling</w:t>
      </w:r>
      <w:r w:rsidR="005909A6" w:rsidRPr="004965A3">
        <w:rPr>
          <w:sz w:val="22"/>
          <w:szCs w:val="22"/>
        </w:rPr>
        <w:t xml:space="preserve"> i hele NTNUs organisasjon. Viktige elementer vil være å utvikle metodikk for mer erfaringsutveksling og læring på tvers i organisasjonen, samt utvikle konkrete tiltak for</w:t>
      </w:r>
      <w:r w:rsidR="00D03685" w:rsidRPr="004965A3">
        <w:rPr>
          <w:sz w:val="22"/>
          <w:szCs w:val="22"/>
        </w:rPr>
        <w:t xml:space="preserve"> både</w:t>
      </w:r>
      <w:r w:rsidR="005909A6" w:rsidRPr="004965A3">
        <w:rPr>
          <w:sz w:val="22"/>
          <w:szCs w:val="22"/>
        </w:rPr>
        <w:t xml:space="preserve"> ledere og ansatte</w:t>
      </w:r>
      <w:r w:rsidR="00D03685" w:rsidRPr="004965A3">
        <w:rPr>
          <w:sz w:val="22"/>
          <w:szCs w:val="22"/>
        </w:rPr>
        <w:t>, eksempelvis</w:t>
      </w:r>
      <w:r w:rsidR="005909A6" w:rsidRPr="004965A3">
        <w:rPr>
          <w:sz w:val="22"/>
          <w:szCs w:val="22"/>
        </w:rPr>
        <w:t xml:space="preserve"> innen områder som lederutvikling, </w:t>
      </w:r>
      <w:r w:rsidR="00D03685" w:rsidRPr="004965A3">
        <w:rPr>
          <w:sz w:val="22"/>
          <w:szCs w:val="22"/>
        </w:rPr>
        <w:t xml:space="preserve">helhetlig </w:t>
      </w:r>
      <w:r w:rsidR="005909A6" w:rsidRPr="004965A3">
        <w:rPr>
          <w:sz w:val="22"/>
          <w:szCs w:val="22"/>
        </w:rPr>
        <w:t xml:space="preserve">utdanningsfaglig kompetanse, prosjektledelse, </w:t>
      </w:r>
      <w:r w:rsidR="00D03685" w:rsidRPr="004965A3">
        <w:rPr>
          <w:sz w:val="22"/>
          <w:szCs w:val="22"/>
        </w:rPr>
        <w:t xml:space="preserve">digital kompetanse, </w:t>
      </w:r>
      <w:r w:rsidR="005909A6" w:rsidRPr="004965A3">
        <w:rPr>
          <w:sz w:val="22"/>
          <w:szCs w:val="22"/>
        </w:rPr>
        <w:t>kompetanse i bruk av moderne kommunikasjonsmetoder og samhandlingsverktøy etc. Utviklingsplanen</w:t>
      </w:r>
      <w:r w:rsidR="00415AE5" w:rsidRPr="004965A3">
        <w:rPr>
          <w:sz w:val="22"/>
          <w:szCs w:val="22"/>
        </w:rPr>
        <w:t xml:space="preserve"> vil i utgangspunktet omfatte både vitenskapelig, teknisk og administrativt personale. Vi vil vurdere nærmere om det er hensiktsmessig å samle dette i en felles utviklingsplan eller om det skal egne lages for flere ulike målgrupper</w:t>
      </w:r>
      <w:r w:rsidR="00D76D8F" w:rsidRPr="004965A3">
        <w:rPr>
          <w:sz w:val="22"/>
          <w:szCs w:val="22"/>
        </w:rPr>
        <w:t>, ref. kap. 3.5</w:t>
      </w:r>
      <w:r w:rsidR="00A64C24" w:rsidRPr="004965A3">
        <w:rPr>
          <w:sz w:val="22"/>
          <w:szCs w:val="22"/>
        </w:rPr>
        <w:t xml:space="preserve">. </w:t>
      </w:r>
    </w:p>
    <w:p w14:paraId="0D021FF3" w14:textId="487432DA" w:rsidR="00415AE5" w:rsidRPr="004965A3" w:rsidRDefault="003A2F67" w:rsidP="003A2F67">
      <w:pPr>
        <w:pStyle w:val="ListParagraph"/>
        <w:numPr>
          <w:ilvl w:val="0"/>
          <w:numId w:val="8"/>
        </w:numPr>
        <w:rPr>
          <w:i/>
          <w:sz w:val="22"/>
          <w:szCs w:val="22"/>
        </w:rPr>
      </w:pPr>
      <w:r w:rsidRPr="004965A3">
        <w:rPr>
          <w:i/>
          <w:sz w:val="22"/>
          <w:szCs w:val="22"/>
        </w:rPr>
        <w:t xml:space="preserve">European Research Council (ERC) Grants </w:t>
      </w:r>
      <w:r w:rsidRPr="004965A3">
        <w:rPr>
          <w:sz w:val="22"/>
          <w:szCs w:val="22"/>
        </w:rPr>
        <w:t xml:space="preserve">er de mest prestisjefylte grunnforskningsbevilgningene som tildeles i Europa og er en målestokk på forskningsaktivitet på høyt internasjonalt nivå. For å bli ansett som et godt forskningsuniversitet er det av stor betydning at NTNU øker antallet ERC Grants. Som en del av internasjonal handlingsplan </w:t>
      </w:r>
      <w:r w:rsidR="00DC5E1A" w:rsidRPr="004965A3">
        <w:rPr>
          <w:sz w:val="22"/>
          <w:szCs w:val="22"/>
        </w:rPr>
        <w:t xml:space="preserve">forsterkes </w:t>
      </w:r>
      <w:r w:rsidRPr="004965A3">
        <w:rPr>
          <w:sz w:val="22"/>
          <w:szCs w:val="22"/>
        </w:rPr>
        <w:t>arbeidet med å øke vår portefølje av ERC</w:t>
      </w:r>
      <w:r w:rsidR="00D76D8F" w:rsidRPr="004965A3">
        <w:rPr>
          <w:sz w:val="22"/>
          <w:szCs w:val="22"/>
        </w:rPr>
        <w:t xml:space="preserve"> G</w:t>
      </w:r>
      <w:r w:rsidRPr="004965A3">
        <w:rPr>
          <w:sz w:val="22"/>
          <w:szCs w:val="22"/>
        </w:rPr>
        <w:t>rants.</w:t>
      </w:r>
      <w:r w:rsidR="007D0CBD">
        <w:rPr>
          <w:sz w:val="22"/>
          <w:szCs w:val="22"/>
        </w:rPr>
        <w:t xml:space="preserve"> For å lykkes i spiss kreves også bredde. Mye av arbeidet med å styrke forskningskulturen i bredde gjøres i fagmiljøene selv, men vi vil i 2019 vurdere behov for felles virkemidler eller tiltak.</w:t>
      </w:r>
    </w:p>
    <w:p w14:paraId="2590683F" w14:textId="77777777" w:rsidR="00A53035" w:rsidRPr="003F014E" w:rsidRDefault="00A53035" w:rsidP="006D3EBC">
      <w:pPr>
        <w:rPr>
          <w:sz w:val="22"/>
          <w:szCs w:val="22"/>
        </w:rPr>
      </w:pPr>
    </w:p>
    <w:p w14:paraId="2FFC10DB" w14:textId="77777777" w:rsidR="003959E4" w:rsidRDefault="003959E4" w:rsidP="00E83C06">
      <w:pPr>
        <w:rPr>
          <w:sz w:val="22"/>
          <w:szCs w:val="22"/>
        </w:rPr>
      </w:pPr>
    </w:p>
    <w:p w14:paraId="741F5E79" w14:textId="77777777" w:rsidR="003959E4" w:rsidRPr="003A5B99" w:rsidRDefault="003959E4" w:rsidP="003959E4">
      <w:pPr>
        <w:rPr>
          <w:i/>
          <w:iCs/>
          <w:color w:val="0070C0"/>
          <w:sz w:val="22"/>
          <w:szCs w:val="22"/>
        </w:rPr>
      </w:pPr>
      <w:r w:rsidRPr="003A5B99">
        <w:rPr>
          <w:i/>
          <w:iCs/>
          <w:color w:val="0070C0"/>
          <w:sz w:val="22"/>
          <w:szCs w:val="22"/>
        </w:rPr>
        <w:t>Finansiering i 2019:</w:t>
      </w:r>
    </w:p>
    <w:p w14:paraId="72783BA5" w14:textId="77777777" w:rsidR="00E83C06" w:rsidRDefault="003959E4" w:rsidP="00E83C06">
      <w:pPr>
        <w:rPr>
          <w:sz w:val="22"/>
          <w:szCs w:val="22"/>
        </w:rPr>
      </w:pPr>
      <w:r>
        <w:rPr>
          <w:sz w:val="22"/>
          <w:szCs w:val="22"/>
        </w:rPr>
        <w:t>Fagmiljøene er utfordret på å styrke eget handlingsrom, blant annet gjennom økt ekstern finansiering</w:t>
      </w:r>
      <w:r w:rsidR="00632A35">
        <w:rPr>
          <w:sz w:val="22"/>
          <w:szCs w:val="22"/>
        </w:rPr>
        <w:t>. Fakultetene har a</w:t>
      </w:r>
      <w:r>
        <w:rPr>
          <w:sz w:val="22"/>
          <w:szCs w:val="22"/>
        </w:rPr>
        <w:t xml:space="preserve">vsatt strategiske midler til lokale tiltak. For NTNU samlet </w:t>
      </w:r>
      <w:r w:rsidR="00E83C06">
        <w:rPr>
          <w:sz w:val="22"/>
          <w:szCs w:val="22"/>
        </w:rPr>
        <w:t xml:space="preserve">finansieres virkemidler og tiltak </w:t>
      </w:r>
      <w:r w:rsidRPr="003F014E">
        <w:rPr>
          <w:sz w:val="22"/>
          <w:szCs w:val="22"/>
        </w:rPr>
        <w:t>som skal støtte utviklingen av sterke fagmiljø</w:t>
      </w:r>
      <w:r>
        <w:rPr>
          <w:sz w:val="22"/>
          <w:szCs w:val="22"/>
        </w:rPr>
        <w:t xml:space="preserve">er </w:t>
      </w:r>
      <w:r w:rsidR="00E83C06">
        <w:rPr>
          <w:sz w:val="22"/>
          <w:szCs w:val="22"/>
        </w:rPr>
        <w:t>for drøye 110 mill.kr. over</w:t>
      </w:r>
      <w:r w:rsidR="00E83C06" w:rsidRPr="003F014E">
        <w:rPr>
          <w:sz w:val="22"/>
          <w:szCs w:val="22"/>
        </w:rPr>
        <w:t xml:space="preserve"> SO-</w:t>
      </w:r>
      <w:r>
        <w:rPr>
          <w:sz w:val="22"/>
          <w:szCs w:val="22"/>
        </w:rPr>
        <w:t xml:space="preserve">ramma til tiltak. </w:t>
      </w:r>
      <w:r w:rsidR="00E83C06" w:rsidRPr="003F014E">
        <w:rPr>
          <w:sz w:val="22"/>
          <w:szCs w:val="22"/>
        </w:rPr>
        <w:t>For øvrig fordeles rekrutterings-stillinger over SO-ramma. Disse er en nøkkelfaktor i fornyelsen av fagmiljøene.</w:t>
      </w:r>
    </w:p>
    <w:p w14:paraId="0995142B" w14:textId="77777777" w:rsidR="00A53035" w:rsidRDefault="00A53035" w:rsidP="00A53035">
      <w:pPr>
        <w:rPr>
          <w:sz w:val="22"/>
          <w:szCs w:val="22"/>
        </w:rPr>
      </w:pPr>
    </w:p>
    <w:p w14:paraId="37336666" w14:textId="77777777" w:rsidR="00EC7878" w:rsidRPr="003F014E" w:rsidRDefault="00EC7878" w:rsidP="00A53035">
      <w:pPr>
        <w:rPr>
          <w:sz w:val="22"/>
          <w:szCs w:val="22"/>
        </w:rPr>
      </w:pPr>
    </w:p>
    <w:p w14:paraId="49EC3A69" w14:textId="77777777" w:rsidR="00417295" w:rsidRPr="003A5B99" w:rsidRDefault="00EC7878" w:rsidP="006D3EBC">
      <w:pPr>
        <w:rPr>
          <w:i/>
          <w:color w:val="0070C0"/>
          <w:sz w:val="22"/>
          <w:szCs w:val="22"/>
        </w:rPr>
      </w:pPr>
      <w:r w:rsidRPr="003A5B99">
        <w:rPr>
          <w:i/>
          <w:color w:val="0070C0"/>
          <w:sz w:val="22"/>
          <w:szCs w:val="22"/>
        </w:rPr>
        <w:t>Hvordan vet vi om vi lykkes?</w:t>
      </w:r>
    </w:p>
    <w:p w14:paraId="6AB8F74E" w14:textId="4326DED2" w:rsidR="004D0048" w:rsidRDefault="004D0048" w:rsidP="004D0048">
      <w:pPr>
        <w:spacing w:after="60"/>
        <w:ind w:right="85"/>
        <w:rPr>
          <w:sz w:val="22"/>
          <w:szCs w:val="22"/>
        </w:rPr>
      </w:pPr>
      <w:r w:rsidRPr="00973D0C">
        <w:rPr>
          <w:sz w:val="22"/>
          <w:szCs w:val="22"/>
        </w:rPr>
        <w:t xml:space="preserve">Vårt renomme avhenger mye av synlighet og suksess på </w:t>
      </w:r>
      <w:r>
        <w:rPr>
          <w:sz w:val="22"/>
          <w:szCs w:val="22"/>
        </w:rPr>
        <w:t>nasjonale og internasjonale</w:t>
      </w:r>
      <w:r w:rsidRPr="00973D0C">
        <w:rPr>
          <w:sz w:val="22"/>
          <w:szCs w:val="22"/>
        </w:rPr>
        <w:t xml:space="preserve"> konkurransearenaer</w:t>
      </w:r>
      <w:r>
        <w:rPr>
          <w:sz w:val="22"/>
          <w:szCs w:val="22"/>
        </w:rPr>
        <w:t>, eksempelvis gjennom tildeling av vertskapsrollen for ulike sentra som f.eks. SFI, SFU eller SFF, eller ERC Grants</w:t>
      </w:r>
      <w:r w:rsidRPr="00973D0C">
        <w:rPr>
          <w:sz w:val="22"/>
          <w:szCs w:val="22"/>
        </w:rPr>
        <w:t xml:space="preserve">. </w:t>
      </w:r>
      <w:r>
        <w:rPr>
          <w:sz w:val="22"/>
          <w:szCs w:val="22"/>
        </w:rPr>
        <w:t xml:space="preserve">For øvrig vil flere indikatorer kunne indikere utvikling i fagmiljøene. Vi vil følge med på publisering, ekstern finansiering, antall meritterte undervisere, samt utvikling i førstestillinger. </w:t>
      </w:r>
    </w:p>
    <w:p w14:paraId="692989C9" w14:textId="77777777" w:rsidR="00F8031B" w:rsidRDefault="00F8031B" w:rsidP="00973D0C">
      <w:pPr>
        <w:spacing w:after="60"/>
        <w:ind w:right="85"/>
        <w:rPr>
          <w:sz w:val="22"/>
          <w:szCs w:val="22"/>
        </w:rPr>
      </w:pPr>
    </w:p>
    <w:p w14:paraId="7997E1D2" w14:textId="77777777" w:rsidR="00072995" w:rsidRDefault="00072995" w:rsidP="00973D0C">
      <w:pPr>
        <w:spacing w:after="60"/>
        <w:ind w:right="85"/>
        <w:rPr>
          <w:sz w:val="22"/>
          <w:szCs w:val="22"/>
        </w:rPr>
      </w:pPr>
    </w:p>
    <w:p w14:paraId="52BF3484" w14:textId="77777777" w:rsidR="001A4BD7" w:rsidRPr="003F014E" w:rsidRDefault="001A4BD7" w:rsidP="00973D0C">
      <w:pPr>
        <w:spacing w:after="60"/>
        <w:ind w:right="85"/>
        <w:rPr>
          <w:sz w:val="22"/>
          <w:szCs w:val="22"/>
        </w:rPr>
      </w:pPr>
    </w:p>
    <w:p w14:paraId="0C4E9648" w14:textId="77777777" w:rsidR="002E6EC7" w:rsidRPr="00EB5F5F" w:rsidRDefault="00801F7F" w:rsidP="002E6EC7">
      <w:pPr>
        <w:rPr>
          <w:b/>
          <w:bCs/>
          <w:szCs w:val="28"/>
        </w:rPr>
      </w:pPr>
      <w:r>
        <w:rPr>
          <w:b/>
          <w:bCs/>
          <w:szCs w:val="28"/>
        </w:rPr>
        <w:t>3</w:t>
      </w:r>
      <w:r w:rsidR="002E6EC7" w:rsidRPr="00590F34">
        <w:rPr>
          <w:b/>
          <w:bCs/>
          <w:szCs w:val="28"/>
        </w:rPr>
        <w:t>.</w:t>
      </w:r>
      <w:r w:rsidR="002E6EC7">
        <w:rPr>
          <w:b/>
          <w:bCs/>
          <w:szCs w:val="28"/>
        </w:rPr>
        <w:t>2</w:t>
      </w:r>
      <w:r w:rsidR="002E6EC7" w:rsidRPr="00590F34">
        <w:rPr>
          <w:b/>
        </w:rPr>
        <w:tab/>
      </w:r>
      <w:r w:rsidR="002E6EC7" w:rsidRPr="00590F34">
        <w:rPr>
          <w:b/>
          <w:bCs/>
          <w:szCs w:val="28"/>
        </w:rPr>
        <w:t xml:space="preserve">Styrket samspill </w:t>
      </w:r>
      <w:r w:rsidR="002E6EC7" w:rsidRPr="00EB5F5F">
        <w:rPr>
          <w:b/>
          <w:bCs/>
          <w:szCs w:val="28"/>
        </w:rPr>
        <w:t>og tverrfaglighet</w:t>
      </w:r>
    </w:p>
    <w:p w14:paraId="3DE7F1F7" w14:textId="77777777" w:rsidR="002E6EC7" w:rsidRDefault="002E6EC7" w:rsidP="002E6EC7"/>
    <w:p w14:paraId="063A7836" w14:textId="77777777" w:rsidR="003A5B99" w:rsidRPr="00507F86" w:rsidRDefault="003A5B99" w:rsidP="003A5B99">
      <w:pPr>
        <w:rPr>
          <w:i/>
          <w:color w:val="0070C0"/>
          <w:sz w:val="22"/>
          <w:szCs w:val="22"/>
        </w:rPr>
      </w:pPr>
      <w:r w:rsidRPr="00507F86">
        <w:rPr>
          <w:i/>
          <w:color w:val="0070C0"/>
          <w:sz w:val="22"/>
          <w:szCs w:val="22"/>
        </w:rPr>
        <w:t>Hvilke ambisjoner og strategiske utviklingsmål har vi?</w:t>
      </w:r>
    </w:p>
    <w:p w14:paraId="0C225D2D" w14:textId="77777777" w:rsidR="000D7271" w:rsidRPr="00507F86" w:rsidRDefault="00B13859" w:rsidP="000D7271">
      <w:pPr>
        <w:rPr>
          <w:sz w:val="22"/>
          <w:szCs w:val="22"/>
        </w:rPr>
      </w:pPr>
      <w:r w:rsidRPr="00507F86">
        <w:rPr>
          <w:sz w:val="22"/>
          <w:szCs w:val="22"/>
        </w:rPr>
        <w:t>Samarbeid med fagmiljøer og institusjoner i andre land er et virkemiddel for å heve kvaliteten i</w:t>
      </w:r>
      <w:r w:rsidR="00EE6252" w:rsidRPr="00507F86">
        <w:rPr>
          <w:sz w:val="22"/>
          <w:szCs w:val="22"/>
        </w:rPr>
        <w:t xml:space="preserve"> vår egen virksomhet. </w:t>
      </w:r>
      <w:r w:rsidRPr="00507F86">
        <w:rPr>
          <w:sz w:val="22"/>
          <w:szCs w:val="22"/>
        </w:rPr>
        <w:t xml:space="preserve">Samspill med </w:t>
      </w:r>
      <w:r w:rsidR="00AF32B4" w:rsidRPr="00507F86">
        <w:rPr>
          <w:sz w:val="22"/>
          <w:szCs w:val="22"/>
        </w:rPr>
        <w:t xml:space="preserve">samfunns- og </w:t>
      </w:r>
      <w:r w:rsidRPr="00507F86">
        <w:rPr>
          <w:sz w:val="22"/>
          <w:szCs w:val="22"/>
        </w:rPr>
        <w:t>arbeidslivet er viktig for å styrke vår rolle som samarbeidspartner for omstilling, være en bidragsyter i å finne morgendagens løsninger</w:t>
      </w:r>
      <w:r w:rsidR="00AF32B4" w:rsidRPr="00507F86">
        <w:rPr>
          <w:sz w:val="22"/>
          <w:szCs w:val="22"/>
        </w:rPr>
        <w:t xml:space="preserve"> og </w:t>
      </w:r>
      <w:r w:rsidR="00863BAE" w:rsidRPr="00507F86">
        <w:rPr>
          <w:sz w:val="22"/>
          <w:szCs w:val="22"/>
        </w:rPr>
        <w:t>sikre</w:t>
      </w:r>
      <w:r w:rsidR="00AF32B4" w:rsidRPr="00507F86">
        <w:rPr>
          <w:sz w:val="22"/>
          <w:szCs w:val="22"/>
        </w:rPr>
        <w:t xml:space="preserve"> at vi utdanner kandidater med høy og relevant kompetanse</w:t>
      </w:r>
      <w:r w:rsidRPr="00507F86">
        <w:rPr>
          <w:sz w:val="22"/>
          <w:szCs w:val="22"/>
        </w:rPr>
        <w:t xml:space="preserve">. </w:t>
      </w:r>
      <w:r w:rsidR="00EE6252" w:rsidRPr="00507F86">
        <w:rPr>
          <w:sz w:val="22"/>
          <w:szCs w:val="22"/>
        </w:rPr>
        <w:t xml:space="preserve">NTNU har en unik faglig bredde i fagmiljøene, og vi </w:t>
      </w:r>
      <w:r w:rsidRPr="00507F86">
        <w:rPr>
          <w:sz w:val="22"/>
          <w:szCs w:val="22"/>
        </w:rPr>
        <w:t>har mulighet til å bli en mer attraktiv samarbeidspartner og styrke konkurransekraften gjennom at s</w:t>
      </w:r>
      <w:r w:rsidR="003A5B99" w:rsidRPr="00507F86">
        <w:rPr>
          <w:sz w:val="22"/>
          <w:szCs w:val="22"/>
        </w:rPr>
        <w:t xml:space="preserve">amarbeidskulturen i enda større grad </w:t>
      </w:r>
      <w:r w:rsidRPr="00507F86">
        <w:rPr>
          <w:sz w:val="22"/>
          <w:szCs w:val="22"/>
        </w:rPr>
        <w:t>blir</w:t>
      </w:r>
      <w:r w:rsidR="003A5B99" w:rsidRPr="00507F86">
        <w:rPr>
          <w:sz w:val="22"/>
          <w:szCs w:val="22"/>
        </w:rPr>
        <w:t xml:space="preserve"> </w:t>
      </w:r>
      <w:r w:rsidR="009A269C" w:rsidRPr="00507F86">
        <w:rPr>
          <w:sz w:val="22"/>
          <w:szCs w:val="22"/>
        </w:rPr>
        <w:t>en del av alle våre fagmiljøer.</w:t>
      </w:r>
    </w:p>
    <w:p w14:paraId="1D5D4B9C" w14:textId="77777777" w:rsidR="000D7271" w:rsidRPr="00507F86" w:rsidRDefault="000D7271" w:rsidP="000D7271">
      <w:pPr>
        <w:rPr>
          <w:sz w:val="22"/>
          <w:szCs w:val="22"/>
        </w:rPr>
      </w:pPr>
    </w:p>
    <w:p w14:paraId="1F2A655C" w14:textId="7FD088FF" w:rsidR="003A5B99" w:rsidRPr="00507F86" w:rsidRDefault="000D7271" w:rsidP="002E6EC7">
      <w:pPr>
        <w:rPr>
          <w:sz w:val="22"/>
          <w:szCs w:val="22"/>
        </w:rPr>
      </w:pPr>
      <w:r w:rsidRPr="00507F86">
        <w:rPr>
          <w:sz w:val="22"/>
          <w:szCs w:val="22"/>
        </w:rPr>
        <w:t>15 av utviklingsmålene i strategien handler om hvordan vi ønsker å bruke et styrket samspill med eksterne</w:t>
      </w:r>
      <w:r w:rsidR="003A5B99" w:rsidRPr="00507F86">
        <w:rPr>
          <w:sz w:val="22"/>
          <w:szCs w:val="22"/>
        </w:rPr>
        <w:t xml:space="preserve"> som et virkemiddel</w:t>
      </w:r>
      <w:r w:rsidRPr="00507F86">
        <w:rPr>
          <w:sz w:val="22"/>
          <w:szCs w:val="22"/>
        </w:rPr>
        <w:t xml:space="preserve"> for å styrke våre fagmiljøer og resultater, samt øke kjennskapen til NTNU. Utviklingsmålene er også rettet mot interne forhold og vår evne til å utnytte vår tverrfagli</w:t>
      </w:r>
      <w:r w:rsidR="00EE6252" w:rsidRPr="00507F86">
        <w:rPr>
          <w:sz w:val="22"/>
          <w:szCs w:val="22"/>
        </w:rPr>
        <w:t xml:space="preserve">ghet som et konkurransefortrinn. </w:t>
      </w:r>
      <w:r w:rsidR="00B13859" w:rsidRPr="00507F86">
        <w:rPr>
          <w:sz w:val="22"/>
          <w:szCs w:val="22"/>
        </w:rPr>
        <w:t xml:space="preserve">I strategien har vi definert </w:t>
      </w:r>
      <w:r w:rsidR="00B13859" w:rsidRPr="00507F86">
        <w:rPr>
          <w:i/>
          <w:sz w:val="22"/>
          <w:szCs w:val="22"/>
        </w:rPr>
        <w:t>tverrfaglig samhandling</w:t>
      </w:r>
      <w:r w:rsidR="00B13859" w:rsidRPr="00507F86">
        <w:rPr>
          <w:sz w:val="22"/>
          <w:szCs w:val="22"/>
        </w:rPr>
        <w:t xml:space="preserve"> som et innsatsområde. </w:t>
      </w:r>
      <w:r w:rsidR="0068411D">
        <w:rPr>
          <w:sz w:val="22"/>
          <w:szCs w:val="22"/>
        </w:rPr>
        <w:t>D</w:t>
      </w:r>
      <w:r w:rsidR="00B13859" w:rsidRPr="00507F86">
        <w:rPr>
          <w:sz w:val="22"/>
          <w:szCs w:val="22"/>
        </w:rPr>
        <w:t xml:space="preserve">ette innsatsområdet trekker </w:t>
      </w:r>
      <w:r w:rsidR="0068411D">
        <w:rPr>
          <w:sz w:val="22"/>
          <w:szCs w:val="22"/>
        </w:rPr>
        <w:t xml:space="preserve">også </w:t>
      </w:r>
      <w:r w:rsidR="00B13859" w:rsidRPr="00507F86">
        <w:rPr>
          <w:sz w:val="22"/>
          <w:szCs w:val="22"/>
        </w:rPr>
        <w:t xml:space="preserve">KD </w:t>
      </w:r>
      <w:r w:rsidR="0068411D">
        <w:rPr>
          <w:sz w:val="22"/>
          <w:szCs w:val="22"/>
        </w:rPr>
        <w:t xml:space="preserve">spesielt </w:t>
      </w:r>
      <w:r w:rsidR="00B13859" w:rsidRPr="00507F86">
        <w:rPr>
          <w:sz w:val="22"/>
          <w:szCs w:val="22"/>
        </w:rPr>
        <w:t>frem i sin årlige tilbakemelding, og har store forvent</w:t>
      </w:r>
      <w:r w:rsidR="007300F9">
        <w:rPr>
          <w:sz w:val="22"/>
          <w:szCs w:val="22"/>
        </w:rPr>
        <w:t>n</w:t>
      </w:r>
      <w:r w:rsidR="00B13859" w:rsidRPr="00507F86">
        <w:rPr>
          <w:sz w:val="22"/>
          <w:szCs w:val="22"/>
        </w:rPr>
        <w:t>inger til vår utvikling.</w:t>
      </w:r>
    </w:p>
    <w:p w14:paraId="387F2B0D" w14:textId="77777777" w:rsidR="00B13859" w:rsidRPr="00507F86" w:rsidRDefault="00B13859" w:rsidP="002E6EC7">
      <w:pPr>
        <w:rPr>
          <w:sz w:val="22"/>
          <w:szCs w:val="22"/>
        </w:rPr>
      </w:pPr>
    </w:p>
    <w:p w14:paraId="01A36725" w14:textId="77777777" w:rsidR="00B13859" w:rsidRPr="00507F86" w:rsidRDefault="00B13859" w:rsidP="002E6EC7">
      <w:pPr>
        <w:rPr>
          <w:sz w:val="22"/>
          <w:szCs w:val="22"/>
        </w:rPr>
      </w:pPr>
    </w:p>
    <w:p w14:paraId="74B8AC9D" w14:textId="77777777" w:rsidR="003A5B99" w:rsidRPr="00507F86" w:rsidRDefault="003A5B99" w:rsidP="003A5B99">
      <w:pPr>
        <w:rPr>
          <w:i/>
          <w:color w:val="0070C0"/>
          <w:sz w:val="22"/>
          <w:szCs w:val="22"/>
        </w:rPr>
      </w:pPr>
      <w:r w:rsidRPr="00507F86">
        <w:rPr>
          <w:i/>
          <w:color w:val="0070C0"/>
          <w:sz w:val="22"/>
          <w:szCs w:val="22"/>
        </w:rPr>
        <w:t>Hvordan arbeider vi med utvikling?</w:t>
      </w:r>
    </w:p>
    <w:p w14:paraId="6BC2E963" w14:textId="77777777" w:rsidR="0094492E" w:rsidRPr="00507F86" w:rsidRDefault="00863BAE" w:rsidP="0094492E">
      <w:pPr>
        <w:rPr>
          <w:sz w:val="22"/>
          <w:szCs w:val="22"/>
        </w:rPr>
      </w:pPr>
      <w:r w:rsidRPr="00507F86">
        <w:rPr>
          <w:sz w:val="22"/>
          <w:szCs w:val="22"/>
        </w:rPr>
        <w:t xml:space="preserve">Tett og systematisk samarbeid med samfunns- og arbeidsliv er avgjørende for å </w:t>
      </w:r>
      <w:r w:rsidR="0094492E" w:rsidRPr="00507F86">
        <w:rPr>
          <w:sz w:val="22"/>
          <w:szCs w:val="22"/>
        </w:rPr>
        <w:t xml:space="preserve">sikre relevans </w:t>
      </w:r>
      <w:r w:rsidRPr="00507F86">
        <w:rPr>
          <w:sz w:val="22"/>
          <w:szCs w:val="22"/>
        </w:rPr>
        <w:t xml:space="preserve">i alle våre studietilbud. </w:t>
      </w:r>
      <w:r w:rsidR="0094492E" w:rsidRPr="00507F86">
        <w:rPr>
          <w:sz w:val="22"/>
          <w:szCs w:val="22"/>
        </w:rPr>
        <w:t>Mange utdanninger har praksiskrav, og stadig flere program tilrettelegger for at studentene skal få arbeidslivserfaring underveis i studiene. I tillegg styrkes relevansen i utdanningene gjennom utstrakt samarbeid på institutt- og forskernivå om prosjekter, praksisorienterte masteroppgaver, bruk av problemstillinger i emner og øvingsopplegg m.m.</w:t>
      </w:r>
      <w:r w:rsidRPr="00507F86">
        <w:rPr>
          <w:sz w:val="22"/>
          <w:szCs w:val="22"/>
        </w:rPr>
        <w:t xml:space="preserve"> Dette arbeidet styrkes gjennom arbeidet med </w:t>
      </w:r>
      <w:r w:rsidRPr="00FD6E5E">
        <w:rPr>
          <w:sz w:val="22"/>
          <w:szCs w:val="22"/>
        </w:rPr>
        <w:t>fornyelse av porteføljen, se pkt</w:t>
      </w:r>
      <w:r w:rsidR="00CD5864">
        <w:rPr>
          <w:sz w:val="22"/>
          <w:szCs w:val="22"/>
        </w:rPr>
        <w:t>.</w:t>
      </w:r>
      <w:r w:rsidRPr="00FD6E5E">
        <w:rPr>
          <w:sz w:val="22"/>
          <w:szCs w:val="22"/>
        </w:rPr>
        <w:t xml:space="preserve"> </w:t>
      </w:r>
      <w:r w:rsidR="00FD6E5E" w:rsidRPr="00FD6E5E">
        <w:rPr>
          <w:sz w:val="22"/>
          <w:szCs w:val="22"/>
        </w:rPr>
        <w:t>3</w:t>
      </w:r>
      <w:r w:rsidRPr="00FD6E5E">
        <w:rPr>
          <w:sz w:val="22"/>
          <w:szCs w:val="22"/>
        </w:rPr>
        <w:t>.3.</w:t>
      </w:r>
    </w:p>
    <w:p w14:paraId="2F8064FD" w14:textId="77777777" w:rsidR="0094492E" w:rsidRPr="00507F86" w:rsidRDefault="0094492E" w:rsidP="0094492E">
      <w:pPr>
        <w:rPr>
          <w:sz w:val="22"/>
          <w:szCs w:val="22"/>
        </w:rPr>
      </w:pPr>
    </w:p>
    <w:p w14:paraId="6BAF18A5" w14:textId="7F1A4D1F" w:rsidR="0094492E" w:rsidRPr="001C2862" w:rsidRDefault="0094492E" w:rsidP="0094492E">
      <w:pPr>
        <w:rPr>
          <w:sz w:val="22"/>
          <w:szCs w:val="22"/>
        </w:rPr>
      </w:pPr>
      <w:r w:rsidRPr="001C2862">
        <w:rPr>
          <w:sz w:val="22"/>
          <w:szCs w:val="22"/>
        </w:rPr>
        <w:t>De tematiske satsingene og de muliggjørende teknologiene er viktige virkemid</w:t>
      </w:r>
      <w:r w:rsidR="0068411D">
        <w:rPr>
          <w:sz w:val="22"/>
          <w:szCs w:val="22"/>
        </w:rPr>
        <w:t>ler</w:t>
      </w:r>
      <w:r w:rsidRPr="001C2862">
        <w:rPr>
          <w:sz w:val="22"/>
          <w:szCs w:val="22"/>
        </w:rPr>
        <w:t xml:space="preserve"> for å styrke det tverrfaglige samarbeidet internt, samt synliggjøre vår relevans og øke samspillet med samfunnet. </w:t>
      </w:r>
      <w:r w:rsidR="001C2862" w:rsidRPr="001C2862">
        <w:rPr>
          <w:sz w:val="22"/>
          <w:szCs w:val="22"/>
        </w:rPr>
        <w:t>U</w:t>
      </w:r>
      <w:r w:rsidR="0068411D">
        <w:rPr>
          <w:sz w:val="22"/>
          <w:szCs w:val="22"/>
        </w:rPr>
        <w:t>niversitetsskole</w:t>
      </w:r>
      <w:r w:rsidR="001C2862" w:rsidRPr="001C2862">
        <w:rPr>
          <w:sz w:val="22"/>
          <w:szCs w:val="22"/>
        </w:rPr>
        <w:t>- og u</w:t>
      </w:r>
      <w:r w:rsidR="0068411D">
        <w:rPr>
          <w:sz w:val="22"/>
          <w:szCs w:val="22"/>
        </w:rPr>
        <w:t>niversitetskommune-</w:t>
      </w:r>
      <w:r w:rsidR="001C2862" w:rsidRPr="001C2862">
        <w:rPr>
          <w:sz w:val="22"/>
          <w:szCs w:val="22"/>
        </w:rPr>
        <w:t>sam</w:t>
      </w:r>
      <w:r w:rsidRPr="001C2862">
        <w:rPr>
          <w:sz w:val="22"/>
          <w:szCs w:val="22"/>
        </w:rPr>
        <w:t xml:space="preserve">arbeidet </w:t>
      </w:r>
      <w:r w:rsidR="001C2862" w:rsidRPr="001C2862">
        <w:rPr>
          <w:sz w:val="22"/>
          <w:szCs w:val="22"/>
        </w:rPr>
        <w:t>med Trondheim kommune er gode eksempler nye store prosjekter.</w:t>
      </w:r>
    </w:p>
    <w:p w14:paraId="375170DF" w14:textId="77777777" w:rsidR="000D7271" w:rsidRPr="001C2862" w:rsidRDefault="000D7271" w:rsidP="002E6EC7">
      <w:pPr>
        <w:rPr>
          <w:sz w:val="22"/>
          <w:szCs w:val="22"/>
        </w:rPr>
      </w:pPr>
    </w:p>
    <w:p w14:paraId="4A63E976" w14:textId="77777777" w:rsidR="001457D3" w:rsidRDefault="001457D3" w:rsidP="001457D3">
      <w:pPr>
        <w:rPr>
          <w:sz w:val="22"/>
          <w:szCs w:val="22"/>
        </w:rPr>
      </w:pPr>
      <w:r>
        <w:rPr>
          <w:sz w:val="22"/>
          <w:szCs w:val="22"/>
        </w:rPr>
        <w:t>For å gi området et ytterligere løft vil vi i 2019 gjøre følgende hovedgrep:</w:t>
      </w:r>
      <w:r w:rsidRPr="003F014E">
        <w:rPr>
          <w:sz w:val="22"/>
          <w:szCs w:val="22"/>
        </w:rPr>
        <w:t xml:space="preserve"> </w:t>
      </w:r>
    </w:p>
    <w:p w14:paraId="76003486" w14:textId="77777777" w:rsidR="003A5B99" w:rsidRPr="001C2862" w:rsidRDefault="003A5B99" w:rsidP="002E6EC7">
      <w:pPr>
        <w:rPr>
          <w:sz w:val="22"/>
          <w:szCs w:val="22"/>
        </w:rPr>
      </w:pPr>
    </w:p>
    <w:p w14:paraId="00EBDEA9" w14:textId="77777777" w:rsidR="0094492E" w:rsidRPr="001C2862" w:rsidRDefault="0094492E" w:rsidP="00801F7F">
      <w:pPr>
        <w:pStyle w:val="ListParagraph"/>
        <w:numPr>
          <w:ilvl w:val="0"/>
          <w:numId w:val="7"/>
        </w:numPr>
        <w:rPr>
          <w:sz w:val="22"/>
          <w:szCs w:val="22"/>
        </w:rPr>
      </w:pPr>
      <w:r w:rsidRPr="001C2862">
        <w:rPr>
          <w:i/>
          <w:sz w:val="22"/>
          <w:szCs w:val="22"/>
        </w:rPr>
        <w:t>Iverksetting av ny Internasjonal handlingsplan:</w:t>
      </w:r>
      <w:r w:rsidRPr="001C2862">
        <w:rPr>
          <w:sz w:val="22"/>
          <w:szCs w:val="22"/>
        </w:rPr>
        <w:t xml:space="preserve"> </w:t>
      </w:r>
      <w:r w:rsidR="00B13859" w:rsidRPr="001C2862">
        <w:rPr>
          <w:sz w:val="22"/>
          <w:szCs w:val="22"/>
        </w:rPr>
        <w:t xml:space="preserve">Planen </w:t>
      </w:r>
      <w:r w:rsidRPr="001C2862">
        <w:rPr>
          <w:sz w:val="22"/>
          <w:szCs w:val="22"/>
        </w:rPr>
        <w:t xml:space="preserve">ble vedtatt høsten 2018, med en varighet ut 2021. Iverksetting vil pågå inn i 2019 og </w:t>
      </w:r>
      <w:r w:rsidR="00AF32B4" w:rsidRPr="001C2862">
        <w:rPr>
          <w:sz w:val="22"/>
          <w:szCs w:val="22"/>
        </w:rPr>
        <w:t xml:space="preserve">internasjonalisering er tema for årets ledersamling på Oppdal i januar. Planen </w:t>
      </w:r>
      <w:r w:rsidR="00B13859" w:rsidRPr="001C2862">
        <w:rPr>
          <w:sz w:val="22"/>
          <w:szCs w:val="22"/>
        </w:rPr>
        <w:t xml:space="preserve">konkretiserer NTNUs visjon og strategi på det internasjonale området. </w:t>
      </w:r>
      <w:r w:rsidRPr="001C2862">
        <w:rPr>
          <w:sz w:val="22"/>
          <w:szCs w:val="22"/>
        </w:rPr>
        <w:t xml:space="preserve">Internasjonalt samarbeid bidrar til kvalitet i den faglige virksomheten og gir høy vitenskapelig og samfunnsmessig gjennomslagskraft. Internasjonal mobilitet skal også gi kvalitet i utdanningen og forberede studentene for et globalt arbeidsmarked. </w:t>
      </w:r>
    </w:p>
    <w:p w14:paraId="73C9B51C" w14:textId="77777777" w:rsidR="000D7271" w:rsidRPr="002A720C" w:rsidRDefault="00AF32B4" w:rsidP="00801F7F">
      <w:pPr>
        <w:pStyle w:val="ListParagraph"/>
        <w:numPr>
          <w:ilvl w:val="0"/>
          <w:numId w:val="7"/>
        </w:numPr>
        <w:rPr>
          <w:sz w:val="22"/>
          <w:szCs w:val="22"/>
        </w:rPr>
      </w:pPr>
      <w:r w:rsidRPr="002A720C">
        <w:rPr>
          <w:i/>
          <w:sz w:val="22"/>
          <w:szCs w:val="22"/>
        </w:rPr>
        <w:t>Utviklingsplan for økt samspill, innovasjon og samfunnseffekt:</w:t>
      </w:r>
      <w:r w:rsidRPr="002A720C">
        <w:rPr>
          <w:sz w:val="22"/>
          <w:szCs w:val="22"/>
        </w:rPr>
        <w:t xml:space="preserve"> Utviklingsplanen fungerer som overbygning for et systematisk arbeid for å styrke </w:t>
      </w:r>
      <w:r w:rsidR="002A720C">
        <w:rPr>
          <w:sz w:val="22"/>
          <w:szCs w:val="22"/>
        </w:rPr>
        <w:t>nyskapings</w:t>
      </w:r>
      <w:r w:rsidRPr="002A720C">
        <w:rPr>
          <w:sz w:val="22"/>
          <w:szCs w:val="22"/>
        </w:rPr>
        <w:t>feltet</w:t>
      </w:r>
      <w:r w:rsidR="002A720C">
        <w:rPr>
          <w:sz w:val="22"/>
          <w:szCs w:val="22"/>
        </w:rPr>
        <w:t xml:space="preserve"> i seg selv, og </w:t>
      </w:r>
      <w:r w:rsidR="00E45293">
        <w:rPr>
          <w:sz w:val="22"/>
          <w:szCs w:val="22"/>
        </w:rPr>
        <w:t xml:space="preserve">samtidig </w:t>
      </w:r>
      <w:r w:rsidR="002A720C">
        <w:rPr>
          <w:sz w:val="22"/>
          <w:szCs w:val="22"/>
        </w:rPr>
        <w:t xml:space="preserve">bidra til at </w:t>
      </w:r>
      <w:r w:rsidR="00E45293">
        <w:rPr>
          <w:sz w:val="22"/>
          <w:szCs w:val="22"/>
        </w:rPr>
        <w:t>samspill og innovasjon</w:t>
      </w:r>
      <w:r w:rsidR="002A720C">
        <w:rPr>
          <w:sz w:val="22"/>
          <w:szCs w:val="22"/>
        </w:rPr>
        <w:t xml:space="preserve"> blir en mer integrert del av all vår faglige virksomhet</w:t>
      </w:r>
      <w:r w:rsidRPr="002A720C">
        <w:rPr>
          <w:sz w:val="22"/>
          <w:szCs w:val="22"/>
        </w:rPr>
        <w:t xml:space="preserve">. Tiltak som omfattes av planen er </w:t>
      </w:r>
      <w:r w:rsidR="001C2862" w:rsidRPr="002A720C">
        <w:rPr>
          <w:sz w:val="22"/>
          <w:szCs w:val="22"/>
        </w:rPr>
        <w:t xml:space="preserve">blant annet forbedring av økosystemet for nyskaping, samarbeidet med TTO, </w:t>
      </w:r>
      <w:r w:rsidRPr="002A720C">
        <w:rPr>
          <w:sz w:val="22"/>
          <w:szCs w:val="22"/>
        </w:rPr>
        <w:t>innovasjonsledere, innovasjonsstipend, universitetskommunesamarbeidet</w:t>
      </w:r>
      <w:r w:rsidR="00507F86" w:rsidRPr="002A720C">
        <w:rPr>
          <w:sz w:val="22"/>
          <w:szCs w:val="22"/>
        </w:rPr>
        <w:t>, m.m.</w:t>
      </w:r>
    </w:p>
    <w:p w14:paraId="1C35EA76" w14:textId="77777777" w:rsidR="0092189A" w:rsidRPr="003A2F67" w:rsidRDefault="00507F86" w:rsidP="00F76CA1">
      <w:pPr>
        <w:pStyle w:val="ListParagraph"/>
        <w:numPr>
          <w:ilvl w:val="0"/>
          <w:numId w:val="7"/>
        </w:numPr>
        <w:rPr>
          <w:sz w:val="22"/>
          <w:szCs w:val="22"/>
        </w:rPr>
      </w:pPr>
      <w:r w:rsidRPr="003A2F67">
        <w:rPr>
          <w:i/>
          <w:sz w:val="22"/>
          <w:szCs w:val="22"/>
        </w:rPr>
        <w:t>Vitenskapsfestivalen 2019:</w:t>
      </w:r>
      <w:r w:rsidR="001C2862" w:rsidRPr="003A2F67">
        <w:rPr>
          <w:i/>
          <w:sz w:val="22"/>
          <w:szCs w:val="22"/>
        </w:rPr>
        <w:t xml:space="preserve"> </w:t>
      </w:r>
      <w:r w:rsidR="003A2F67" w:rsidRPr="003A2F67">
        <w:rPr>
          <w:sz w:val="22"/>
          <w:szCs w:val="22"/>
        </w:rPr>
        <w:t>NTNU vil, i samarbeid Trondheim kommune og Trøndelag fylkeskommune, arrangere en fire dagers vitenskapsfestival i Trondheim 17.-20. juni 2019. Det faglige innholdet i festivalen skal omhandle vitenskap relatert til NTNUs faglige profil, NTNUs tematiske satsingsområder og FNs bærekraftsmål. Et viktig element i festivalen vil være å inspirere og motivere barn og unge for forskning og kunnskapsutvikling. Som en integrert del av festivalen tas det sikte på å gi musikk, kunst og kultur stor plass</w:t>
      </w:r>
      <w:r w:rsidR="00CD5864">
        <w:rPr>
          <w:sz w:val="22"/>
          <w:szCs w:val="22"/>
        </w:rPr>
        <w:t>.</w:t>
      </w:r>
    </w:p>
    <w:p w14:paraId="5B707679" w14:textId="77777777" w:rsidR="000D7271" w:rsidRPr="00507F86" w:rsidRDefault="000D7271" w:rsidP="002E6EC7">
      <w:pPr>
        <w:rPr>
          <w:sz w:val="22"/>
          <w:szCs w:val="22"/>
        </w:rPr>
      </w:pPr>
    </w:p>
    <w:p w14:paraId="047DF659" w14:textId="77777777" w:rsidR="0094492E" w:rsidRPr="00507F86" w:rsidRDefault="0094492E" w:rsidP="002E6EC7">
      <w:pPr>
        <w:rPr>
          <w:sz w:val="22"/>
          <w:szCs w:val="22"/>
        </w:rPr>
      </w:pPr>
    </w:p>
    <w:p w14:paraId="6F606781" w14:textId="77777777" w:rsidR="003A5B99" w:rsidRPr="00507F86" w:rsidRDefault="003A5B99" w:rsidP="003A5B99">
      <w:pPr>
        <w:rPr>
          <w:i/>
          <w:iCs/>
          <w:color w:val="0070C0"/>
          <w:sz w:val="22"/>
          <w:szCs w:val="22"/>
        </w:rPr>
      </w:pPr>
      <w:r w:rsidRPr="00507F86">
        <w:rPr>
          <w:i/>
          <w:iCs/>
          <w:color w:val="0070C0"/>
          <w:sz w:val="22"/>
          <w:szCs w:val="22"/>
        </w:rPr>
        <w:t>Finansiering i 2019:</w:t>
      </w:r>
    </w:p>
    <w:p w14:paraId="606FC263" w14:textId="77777777" w:rsidR="00EE6252" w:rsidRPr="00507F86" w:rsidRDefault="00EE6252" w:rsidP="003A5B99">
      <w:pPr>
        <w:rPr>
          <w:sz w:val="22"/>
          <w:szCs w:val="22"/>
        </w:rPr>
      </w:pPr>
      <w:r w:rsidRPr="00507F86">
        <w:rPr>
          <w:sz w:val="22"/>
          <w:szCs w:val="22"/>
        </w:rPr>
        <w:t xml:space="preserve">Samlet sett er det i 2019 avsatt i underkant av </w:t>
      </w:r>
      <w:r w:rsidR="00AC20A8">
        <w:rPr>
          <w:sz w:val="22"/>
          <w:szCs w:val="22"/>
        </w:rPr>
        <w:t>7</w:t>
      </w:r>
      <w:r w:rsidRPr="00507F86">
        <w:rPr>
          <w:sz w:val="22"/>
          <w:szCs w:val="22"/>
        </w:rPr>
        <w:t>5 mill.kr. over SO-ramma</w:t>
      </w:r>
      <w:r w:rsidR="00F76CA1">
        <w:rPr>
          <w:sz w:val="22"/>
          <w:szCs w:val="22"/>
        </w:rPr>
        <w:t xml:space="preserve">, samt 14 mill.kr over driftsramma (til Vitenskapsfestivalen) </w:t>
      </w:r>
      <w:r w:rsidRPr="00507F86">
        <w:rPr>
          <w:sz w:val="22"/>
          <w:szCs w:val="22"/>
        </w:rPr>
        <w:t>for å stimulere til ø</w:t>
      </w:r>
      <w:r w:rsidR="00F76CA1">
        <w:rPr>
          <w:sz w:val="22"/>
          <w:szCs w:val="22"/>
        </w:rPr>
        <w:t>kt samspill eksternt og internt</w:t>
      </w:r>
    </w:p>
    <w:p w14:paraId="3A8139FD" w14:textId="77777777" w:rsidR="00EE6252" w:rsidRPr="00507F86" w:rsidRDefault="00EE6252" w:rsidP="003A5B99">
      <w:pPr>
        <w:rPr>
          <w:sz w:val="22"/>
          <w:szCs w:val="22"/>
        </w:rPr>
      </w:pPr>
    </w:p>
    <w:p w14:paraId="0A9A7994" w14:textId="77777777" w:rsidR="003A5B99" w:rsidRPr="00507F86" w:rsidRDefault="003A5B99" w:rsidP="003A5B99">
      <w:pPr>
        <w:rPr>
          <w:sz w:val="22"/>
          <w:szCs w:val="22"/>
        </w:rPr>
      </w:pPr>
    </w:p>
    <w:p w14:paraId="6336CDFF" w14:textId="77777777" w:rsidR="003A5B99" w:rsidRPr="00507F86" w:rsidRDefault="003A5B99" w:rsidP="003A5B99">
      <w:pPr>
        <w:rPr>
          <w:i/>
          <w:color w:val="0070C0"/>
          <w:sz w:val="22"/>
          <w:szCs w:val="22"/>
        </w:rPr>
      </w:pPr>
      <w:r w:rsidRPr="00507F86">
        <w:rPr>
          <w:i/>
          <w:color w:val="0070C0"/>
          <w:sz w:val="22"/>
          <w:szCs w:val="22"/>
        </w:rPr>
        <w:t>Hvordan vet vi om vi lykkes?</w:t>
      </w:r>
    </w:p>
    <w:p w14:paraId="4889A86C" w14:textId="77777777" w:rsidR="002E6EC7" w:rsidRPr="00507F86" w:rsidRDefault="001A4BD7" w:rsidP="00507F86">
      <w:pPr>
        <w:spacing w:after="60"/>
        <w:ind w:right="85"/>
        <w:rPr>
          <w:sz w:val="22"/>
          <w:szCs w:val="22"/>
        </w:rPr>
      </w:pPr>
      <w:r>
        <w:rPr>
          <w:sz w:val="22"/>
          <w:szCs w:val="22"/>
        </w:rPr>
        <w:t>Hvordan vi u</w:t>
      </w:r>
      <w:r w:rsidR="00454589" w:rsidRPr="00507F86">
        <w:rPr>
          <w:sz w:val="22"/>
          <w:szCs w:val="22"/>
        </w:rPr>
        <w:t>t</w:t>
      </w:r>
      <w:r w:rsidR="003A5B99" w:rsidRPr="00507F86">
        <w:rPr>
          <w:sz w:val="22"/>
          <w:szCs w:val="22"/>
        </w:rPr>
        <w:t>vikl</w:t>
      </w:r>
      <w:r>
        <w:rPr>
          <w:sz w:val="22"/>
          <w:szCs w:val="22"/>
        </w:rPr>
        <w:t>er oss</w:t>
      </w:r>
      <w:r w:rsidR="003A5B99" w:rsidRPr="00507F86">
        <w:rPr>
          <w:sz w:val="22"/>
          <w:szCs w:val="22"/>
        </w:rPr>
        <w:t xml:space="preserve"> på </w:t>
      </w:r>
      <w:r>
        <w:rPr>
          <w:sz w:val="22"/>
          <w:szCs w:val="22"/>
        </w:rPr>
        <w:t>flere</w:t>
      </w:r>
      <w:r w:rsidR="003A5B99" w:rsidRPr="00507F86">
        <w:rPr>
          <w:sz w:val="22"/>
          <w:szCs w:val="22"/>
        </w:rPr>
        <w:t xml:space="preserve"> indikatorer </w:t>
      </w:r>
      <w:r>
        <w:rPr>
          <w:sz w:val="22"/>
          <w:szCs w:val="22"/>
        </w:rPr>
        <w:t>vil fortelle oss noe</w:t>
      </w:r>
      <w:r w:rsidR="003A5B99" w:rsidRPr="00507F86">
        <w:rPr>
          <w:sz w:val="22"/>
          <w:szCs w:val="22"/>
        </w:rPr>
        <w:t xml:space="preserve"> </w:t>
      </w:r>
      <w:r>
        <w:rPr>
          <w:sz w:val="22"/>
          <w:szCs w:val="22"/>
        </w:rPr>
        <w:t xml:space="preserve">om </w:t>
      </w:r>
      <w:r w:rsidR="0092189A">
        <w:rPr>
          <w:sz w:val="22"/>
          <w:szCs w:val="22"/>
        </w:rPr>
        <w:t>sam</w:t>
      </w:r>
      <w:r w:rsidR="00454589" w:rsidRPr="00507F86">
        <w:rPr>
          <w:sz w:val="22"/>
          <w:szCs w:val="22"/>
        </w:rPr>
        <w:t>s</w:t>
      </w:r>
      <w:r w:rsidR="0092189A">
        <w:rPr>
          <w:sz w:val="22"/>
          <w:szCs w:val="22"/>
        </w:rPr>
        <w:t>p</w:t>
      </w:r>
      <w:r w:rsidR="00454589" w:rsidRPr="00507F86">
        <w:rPr>
          <w:sz w:val="22"/>
          <w:szCs w:val="22"/>
        </w:rPr>
        <w:t>ill</w:t>
      </w:r>
      <w:r>
        <w:rPr>
          <w:sz w:val="22"/>
          <w:szCs w:val="22"/>
        </w:rPr>
        <w:t>et med eksterne øker</w:t>
      </w:r>
      <w:r w:rsidR="003A5B99" w:rsidRPr="00507F86">
        <w:rPr>
          <w:sz w:val="22"/>
          <w:szCs w:val="22"/>
        </w:rPr>
        <w:t xml:space="preserve">. Vi vil følge med på </w:t>
      </w:r>
      <w:r w:rsidR="00454589" w:rsidRPr="00507F86">
        <w:rPr>
          <w:sz w:val="22"/>
          <w:szCs w:val="22"/>
        </w:rPr>
        <w:t>utreise for studenter og ansatte, antall ideer, lisenser og bedriftsetableringer fra studenter og ansatte, sampublisering med andre sektorer og internasjonale fagfeller</w:t>
      </w:r>
      <w:r w:rsidR="00507F86" w:rsidRPr="00507F86">
        <w:rPr>
          <w:sz w:val="22"/>
          <w:szCs w:val="22"/>
        </w:rPr>
        <w:t>, samt antall formidlingstiltak. Utvikling i BOA er også relevant for dette området.</w:t>
      </w:r>
    </w:p>
    <w:p w14:paraId="640F0994" w14:textId="77777777" w:rsidR="00FA2D73" w:rsidRDefault="00FA2D73"/>
    <w:p w14:paraId="2FEF6482" w14:textId="77777777" w:rsidR="00507F86" w:rsidRDefault="00507F86"/>
    <w:p w14:paraId="0DEF9EBB" w14:textId="77777777" w:rsidR="00072995" w:rsidRDefault="00072995"/>
    <w:p w14:paraId="3CA914B2" w14:textId="77777777" w:rsidR="003D25CA" w:rsidRPr="00590F34" w:rsidRDefault="00801F7F" w:rsidP="77A404A7">
      <w:pPr>
        <w:rPr>
          <w:b/>
          <w:bCs/>
          <w:szCs w:val="28"/>
        </w:rPr>
      </w:pPr>
      <w:r>
        <w:rPr>
          <w:b/>
          <w:bCs/>
          <w:szCs w:val="28"/>
        </w:rPr>
        <w:t>3</w:t>
      </w:r>
      <w:r w:rsidR="00507F86">
        <w:rPr>
          <w:b/>
          <w:bCs/>
          <w:szCs w:val="28"/>
        </w:rPr>
        <w:t>.3</w:t>
      </w:r>
      <w:r w:rsidR="00FD0B80" w:rsidRPr="00590F34">
        <w:rPr>
          <w:b/>
        </w:rPr>
        <w:tab/>
      </w:r>
      <w:r w:rsidR="007417C7" w:rsidRPr="00590F34">
        <w:rPr>
          <w:b/>
          <w:bCs/>
          <w:szCs w:val="28"/>
        </w:rPr>
        <w:t xml:space="preserve">Framtidens </w:t>
      </w:r>
      <w:r w:rsidR="003D25CA" w:rsidRPr="00590F34">
        <w:rPr>
          <w:b/>
          <w:bCs/>
          <w:szCs w:val="28"/>
        </w:rPr>
        <w:t>studietilbud</w:t>
      </w:r>
      <w:r w:rsidR="007417C7" w:rsidRPr="00590F34">
        <w:rPr>
          <w:b/>
          <w:bCs/>
          <w:szCs w:val="28"/>
        </w:rPr>
        <w:t xml:space="preserve"> og livslang læring</w:t>
      </w:r>
    </w:p>
    <w:p w14:paraId="3D8BC34F" w14:textId="77777777" w:rsidR="00132DAB" w:rsidRDefault="00132DAB" w:rsidP="00A36318"/>
    <w:p w14:paraId="35D094F4" w14:textId="77777777" w:rsidR="0092189A" w:rsidRPr="0051773D" w:rsidRDefault="0092189A" w:rsidP="0092189A">
      <w:pPr>
        <w:rPr>
          <w:i/>
          <w:color w:val="0070C0"/>
          <w:sz w:val="22"/>
          <w:szCs w:val="22"/>
        </w:rPr>
      </w:pPr>
      <w:r w:rsidRPr="0051773D">
        <w:rPr>
          <w:i/>
          <w:color w:val="0070C0"/>
          <w:sz w:val="22"/>
          <w:szCs w:val="22"/>
        </w:rPr>
        <w:t>Hvilke ambisjoner og strategiske utviklingsmål har vi?</w:t>
      </w:r>
    </w:p>
    <w:p w14:paraId="1DEF13A8" w14:textId="77777777" w:rsidR="000D7271" w:rsidRPr="0051773D" w:rsidRDefault="004B1225" w:rsidP="004B1225">
      <w:pPr>
        <w:spacing w:line="259" w:lineRule="auto"/>
        <w:rPr>
          <w:sz w:val="22"/>
          <w:szCs w:val="22"/>
        </w:rPr>
      </w:pPr>
      <w:r w:rsidRPr="0051773D">
        <w:rPr>
          <w:sz w:val="22"/>
          <w:szCs w:val="22"/>
        </w:rPr>
        <w:t xml:space="preserve">NTNU skal ha et studietilbud som gjør våre studenter godt rustet for deltakelse i et framtidig arbeidsliv og som tilrettelegger for livslang læring. </w:t>
      </w:r>
      <w:r w:rsidR="000D7271" w:rsidRPr="0051773D">
        <w:rPr>
          <w:sz w:val="22"/>
          <w:szCs w:val="22"/>
        </w:rPr>
        <w:t xml:space="preserve">Utvikling av et </w:t>
      </w:r>
      <w:r w:rsidR="000D7271" w:rsidRPr="0051773D">
        <w:rPr>
          <w:bCs/>
          <w:sz w:val="22"/>
          <w:szCs w:val="22"/>
        </w:rPr>
        <w:t>framtidsrettet studietilbud</w:t>
      </w:r>
      <w:r w:rsidR="000D7271" w:rsidRPr="0051773D">
        <w:rPr>
          <w:sz w:val="22"/>
          <w:szCs w:val="22"/>
        </w:rPr>
        <w:t xml:space="preserve"> og tilrettelegging for livslang læring innebærer fortsatt fokus på faglig integrasjon, og er viktig både for vår posisjon i sektoren og for styrking av handlingsrommet.</w:t>
      </w:r>
    </w:p>
    <w:p w14:paraId="77D1E4A7" w14:textId="77777777" w:rsidR="000D7271" w:rsidRPr="0051773D" w:rsidRDefault="000D7271" w:rsidP="000D7271">
      <w:pPr>
        <w:rPr>
          <w:sz w:val="22"/>
          <w:szCs w:val="22"/>
        </w:rPr>
      </w:pPr>
    </w:p>
    <w:p w14:paraId="4A3DC597" w14:textId="77777777" w:rsidR="000D7271" w:rsidRPr="0051773D" w:rsidRDefault="000D7271" w:rsidP="000D7271">
      <w:pPr>
        <w:rPr>
          <w:sz w:val="22"/>
          <w:szCs w:val="22"/>
        </w:rPr>
      </w:pPr>
      <w:r w:rsidRPr="0051773D">
        <w:rPr>
          <w:sz w:val="22"/>
          <w:szCs w:val="22"/>
        </w:rPr>
        <w:t>9 av utviklingsmålene i strategien handler om hvordan vi vil utvikle fremtidens studietilbud, herunder livslang læring. Målene omhandler både læringsprosesser og innhold i studietilbudet.</w:t>
      </w:r>
    </w:p>
    <w:p w14:paraId="3ED2137D" w14:textId="77777777" w:rsidR="002E6EC7" w:rsidRPr="0051773D" w:rsidRDefault="002E6EC7" w:rsidP="00A36318">
      <w:pPr>
        <w:rPr>
          <w:sz w:val="22"/>
          <w:szCs w:val="22"/>
        </w:rPr>
      </w:pPr>
    </w:p>
    <w:p w14:paraId="1C426FE3" w14:textId="77777777" w:rsidR="002E6EC7" w:rsidRPr="0051773D" w:rsidRDefault="002E6EC7" w:rsidP="00A36318">
      <w:pPr>
        <w:rPr>
          <w:sz w:val="22"/>
          <w:szCs w:val="22"/>
        </w:rPr>
      </w:pPr>
    </w:p>
    <w:p w14:paraId="3BCB2A43" w14:textId="77777777" w:rsidR="0092189A" w:rsidRPr="0051773D" w:rsidRDefault="0092189A" w:rsidP="0092189A">
      <w:pPr>
        <w:rPr>
          <w:i/>
          <w:color w:val="0070C0"/>
          <w:sz w:val="22"/>
          <w:szCs w:val="22"/>
        </w:rPr>
      </w:pPr>
      <w:r w:rsidRPr="0051773D">
        <w:rPr>
          <w:i/>
          <w:color w:val="0070C0"/>
          <w:sz w:val="22"/>
          <w:szCs w:val="22"/>
        </w:rPr>
        <w:t>Hvordan arbeider vi med utvikling?</w:t>
      </w:r>
    </w:p>
    <w:p w14:paraId="2F64FA70" w14:textId="4289F0B2" w:rsidR="00E950DF" w:rsidRPr="0051773D" w:rsidRDefault="00E950DF" w:rsidP="00E950DF">
      <w:pPr>
        <w:rPr>
          <w:sz w:val="22"/>
          <w:szCs w:val="22"/>
        </w:rPr>
      </w:pPr>
      <w:r w:rsidRPr="0051773D">
        <w:rPr>
          <w:sz w:val="22"/>
          <w:szCs w:val="22"/>
        </w:rPr>
        <w:t xml:space="preserve">Det pågår omfattende endringsarbeid innen utdanningsområdet i dag. Som følge av fusjonen har arbeid med samordning og konsentrasjon av studietilbudet hatt, og vil fortsatt ha, høy prioritet. </w:t>
      </w:r>
      <w:r w:rsidR="0068411D">
        <w:rPr>
          <w:sz w:val="22"/>
          <w:szCs w:val="22"/>
        </w:rPr>
        <w:t>Arbeids- og næringslivets</w:t>
      </w:r>
      <w:r w:rsidRPr="0051773D">
        <w:rPr>
          <w:sz w:val="22"/>
          <w:szCs w:val="22"/>
        </w:rPr>
        <w:t xml:space="preserve"> behov for livslang læring har utløst en satsing på å styrke tilbudet innen EVU. I tillegg foregår en rekke aktiviteter for å forbedre verktøy</w:t>
      </w:r>
      <w:r>
        <w:rPr>
          <w:sz w:val="22"/>
          <w:szCs w:val="22"/>
        </w:rPr>
        <w:t xml:space="preserve">, </w:t>
      </w:r>
      <w:r w:rsidRPr="0051773D">
        <w:rPr>
          <w:sz w:val="22"/>
          <w:szCs w:val="22"/>
        </w:rPr>
        <w:t>prosesser</w:t>
      </w:r>
      <w:r>
        <w:rPr>
          <w:sz w:val="22"/>
          <w:szCs w:val="22"/>
        </w:rPr>
        <w:t xml:space="preserve"> og støttesystemer</w:t>
      </w:r>
      <w:r w:rsidRPr="0051773D">
        <w:rPr>
          <w:sz w:val="22"/>
          <w:szCs w:val="22"/>
        </w:rPr>
        <w:t xml:space="preserve">. </w:t>
      </w:r>
    </w:p>
    <w:p w14:paraId="4FE86C22" w14:textId="77777777" w:rsidR="00E950DF" w:rsidRPr="0051773D" w:rsidRDefault="00E950DF" w:rsidP="00E950DF">
      <w:pPr>
        <w:rPr>
          <w:sz w:val="22"/>
          <w:szCs w:val="22"/>
        </w:rPr>
      </w:pPr>
    </w:p>
    <w:p w14:paraId="22893F34" w14:textId="77777777" w:rsidR="00E950DF" w:rsidRPr="004965A3" w:rsidRDefault="00E950DF" w:rsidP="00E950DF">
      <w:pPr>
        <w:rPr>
          <w:sz w:val="22"/>
          <w:szCs w:val="22"/>
        </w:rPr>
      </w:pPr>
      <w:r w:rsidRPr="004965A3">
        <w:rPr>
          <w:sz w:val="22"/>
          <w:szCs w:val="22"/>
        </w:rPr>
        <w:t>I 2019 og videre i langtidsperioden vil vi arbeide med tre hovedgrep som henger tett sammen:</w:t>
      </w:r>
    </w:p>
    <w:p w14:paraId="064A621F" w14:textId="77777777" w:rsidR="00E950DF" w:rsidRPr="004965A3" w:rsidRDefault="00E950DF" w:rsidP="00E950DF">
      <w:pPr>
        <w:rPr>
          <w:sz w:val="22"/>
          <w:szCs w:val="22"/>
        </w:rPr>
      </w:pPr>
    </w:p>
    <w:p w14:paraId="6EA2E386" w14:textId="6DE5C1B5" w:rsidR="00E950DF" w:rsidRPr="004965A3" w:rsidRDefault="00E950DF" w:rsidP="00E950DF">
      <w:pPr>
        <w:pStyle w:val="ListParagraph"/>
        <w:numPr>
          <w:ilvl w:val="0"/>
          <w:numId w:val="9"/>
        </w:numPr>
        <w:rPr>
          <w:sz w:val="22"/>
          <w:szCs w:val="22"/>
        </w:rPr>
      </w:pPr>
      <w:r w:rsidRPr="005E1216">
        <w:rPr>
          <w:i/>
          <w:sz w:val="22"/>
          <w:szCs w:val="22"/>
        </w:rPr>
        <w:t>Politikk for utvikling og kvalitet i studieporteføljen</w:t>
      </w:r>
      <w:r w:rsidRPr="004965A3">
        <w:rPr>
          <w:i/>
          <w:sz w:val="22"/>
          <w:szCs w:val="22"/>
        </w:rPr>
        <w:t>:</w:t>
      </w:r>
      <w:r w:rsidRPr="004965A3">
        <w:rPr>
          <w:sz w:val="22"/>
          <w:szCs w:val="22"/>
        </w:rPr>
        <w:t xml:space="preserve"> Dette er et nytt dokument</w:t>
      </w:r>
      <w:r w:rsidR="0068411D">
        <w:rPr>
          <w:sz w:val="22"/>
          <w:szCs w:val="22"/>
        </w:rPr>
        <w:t xml:space="preserve"> </w:t>
      </w:r>
      <w:r>
        <w:rPr>
          <w:sz w:val="22"/>
          <w:szCs w:val="22"/>
        </w:rPr>
        <w:t>som</w:t>
      </w:r>
      <w:r w:rsidRPr="004965A3">
        <w:rPr>
          <w:sz w:val="22"/>
          <w:szCs w:val="22"/>
        </w:rPr>
        <w:t xml:space="preserve"> er under utarbeidelse og forventes ferdigstilt på nyåret i 2019. Politikken </w:t>
      </w:r>
      <w:r>
        <w:rPr>
          <w:sz w:val="22"/>
          <w:szCs w:val="22"/>
        </w:rPr>
        <w:t>vil</w:t>
      </w:r>
      <w:r w:rsidRPr="004965A3">
        <w:rPr>
          <w:sz w:val="22"/>
          <w:szCs w:val="22"/>
        </w:rPr>
        <w:t xml:space="preserve"> definere kvalitetsstandarder for studieporteføljen og legge føringer for ytterligere forbedringer, og vil gi moment både til videre arbeid med utvikling av porteføljen og kvalitetsarbeidet. </w:t>
      </w:r>
      <w:r>
        <w:rPr>
          <w:sz w:val="22"/>
          <w:szCs w:val="22"/>
        </w:rPr>
        <w:t xml:space="preserve">I 2019 starter vi et arbeidet med en </w:t>
      </w:r>
      <w:r w:rsidRPr="004965A3">
        <w:rPr>
          <w:sz w:val="22"/>
          <w:szCs w:val="22"/>
        </w:rPr>
        <w:t>revisjon av kvalitetssystemet for utdanning.</w:t>
      </w:r>
    </w:p>
    <w:p w14:paraId="79FF8895" w14:textId="3B2E01F1" w:rsidR="00E950DF" w:rsidRPr="004965A3" w:rsidRDefault="00E950DF" w:rsidP="00E950DF">
      <w:pPr>
        <w:pStyle w:val="ListParagraph"/>
        <w:numPr>
          <w:ilvl w:val="0"/>
          <w:numId w:val="9"/>
        </w:numPr>
        <w:rPr>
          <w:sz w:val="22"/>
          <w:szCs w:val="22"/>
        </w:rPr>
      </w:pPr>
      <w:r w:rsidRPr="004965A3">
        <w:rPr>
          <w:i/>
          <w:sz w:val="22"/>
          <w:szCs w:val="22"/>
        </w:rPr>
        <w:t xml:space="preserve">Utviklingsplan for framtidens </w:t>
      </w:r>
      <w:r w:rsidR="00F56D72">
        <w:rPr>
          <w:i/>
          <w:sz w:val="22"/>
          <w:szCs w:val="22"/>
        </w:rPr>
        <w:t xml:space="preserve">studietilbud og livslang </w:t>
      </w:r>
      <w:r w:rsidR="00F56D72" w:rsidRPr="00CF248F">
        <w:rPr>
          <w:i/>
          <w:sz w:val="22"/>
          <w:szCs w:val="22"/>
        </w:rPr>
        <w:t>læring:</w:t>
      </w:r>
      <w:r w:rsidR="00F56D72" w:rsidRPr="00CF248F">
        <w:rPr>
          <w:sz w:val="22"/>
          <w:szCs w:val="22"/>
        </w:rPr>
        <w:t xml:space="preserve"> Utviklingsplanen innebærer en konkretisering av politikken omtalt i forrige punkt. </w:t>
      </w:r>
      <w:r w:rsidRPr="00CF248F">
        <w:rPr>
          <w:sz w:val="22"/>
          <w:szCs w:val="22"/>
        </w:rPr>
        <w:t>Gjennom fusjonen</w:t>
      </w:r>
      <w:r w:rsidRPr="004965A3">
        <w:rPr>
          <w:sz w:val="22"/>
          <w:szCs w:val="22"/>
        </w:rPr>
        <w:t xml:space="preserve"> har revisjon av studieporteføljen medført betydelige endringer. Dette er krevende prosesser og det er fortsatt stort behov for å holde et høyt trykk på gjennomføring av arbeidet. Pågående arbeid med å fornye læringsutbyttebeskrivelsene for studieprogrammene vil bidra til å utvikle og tydeliggjøre profilen i programmene. I april 2018 lanserte NTNU en </w:t>
      </w:r>
      <w:r w:rsidR="0068411D">
        <w:rPr>
          <w:sz w:val="22"/>
          <w:szCs w:val="22"/>
        </w:rPr>
        <w:t>ambisjon om</w:t>
      </w:r>
      <w:r w:rsidRPr="004965A3">
        <w:rPr>
          <w:sz w:val="22"/>
          <w:szCs w:val="22"/>
        </w:rPr>
        <w:t xml:space="preserve"> at omfanget av EVU-virksomheten skal dobles i løpet av tre år. En viktig aktivitet </w:t>
      </w:r>
      <w:r>
        <w:rPr>
          <w:sz w:val="22"/>
          <w:szCs w:val="22"/>
        </w:rPr>
        <w:t xml:space="preserve">i denne forbindelse er å </w:t>
      </w:r>
      <w:r w:rsidRPr="004965A3">
        <w:rPr>
          <w:sz w:val="22"/>
          <w:szCs w:val="22"/>
        </w:rPr>
        <w:t xml:space="preserve">styrke støttesystemene og infrastrukturen for EVU. En del av EVU-tilbudene skal gis fra lokalene som NTNU </w:t>
      </w:r>
      <w:r>
        <w:rPr>
          <w:sz w:val="22"/>
          <w:szCs w:val="22"/>
        </w:rPr>
        <w:t xml:space="preserve">skal etablere i Oslo. </w:t>
      </w:r>
    </w:p>
    <w:p w14:paraId="5B27B48A" w14:textId="77777777" w:rsidR="00E950DF" w:rsidRPr="00B0312E" w:rsidRDefault="00E950DF" w:rsidP="00E950DF">
      <w:pPr>
        <w:pStyle w:val="ListParagraph"/>
        <w:numPr>
          <w:ilvl w:val="0"/>
          <w:numId w:val="9"/>
        </w:numPr>
      </w:pPr>
      <w:r w:rsidRPr="005E1216">
        <w:rPr>
          <w:i/>
          <w:sz w:val="22"/>
          <w:szCs w:val="22"/>
        </w:rPr>
        <w:t xml:space="preserve">Utviklingsplan for læringsstøtte: </w:t>
      </w:r>
      <w:r w:rsidRPr="005E1216">
        <w:rPr>
          <w:sz w:val="22"/>
          <w:szCs w:val="22"/>
        </w:rPr>
        <w:t xml:space="preserve">Denne utviklingsplanen skal etableres i 2019, og skal bidra til et løft i </w:t>
      </w:r>
      <w:r w:rsidRPr="005C0730">
        <w:rPr>
          <w:sz w:val="22"/>
          <w:szCs w:val="22"/>
        </w:rPr>
        <w:t>systemene som støtter underviserne og studentene. Utviklingsplanen skal svare ut et behov for systematisering av arbeidet og sikre god rolle- og ansvarsfordeling mellom leverandører av ulike støttetjenester. Planen vil også kunne inkludere tiltak rettet inn mot NTNUs arbeid med læringsmiljø</w:t>
      </w:r>
      <w:r w:rsidRPr="00E950DF">
        <w:rPr>
          <w:sz w:val="22"/>
          <w:szCs w:val="22"/>
        </w:rPr>
        <w:t>, dvs. de ulike kontekstene hvor læring skjer og som påvirker studenters læringsutbytte.</w:t>
      </w:r>
      <w:r w:rsidRPr="005E1216" w:rsidDel="005C0730">
        <w:rPr>
          <w:sz w:val="22"/>
          <w:szCs w:val="22"/>
        </w:rPr>
        <w:t xml:space="preserve"> </w:t>
      </w:r>
    </w:p>
    <w:p w14:paraId="66D67863" w14:textId="77777777" w:rsidR="00B0312E" w:rsidRPr="00B0312E" w:rsidRDefault="00B0312E" w:rsidP="00B0312E">
      <w:pPr>
        <w:rPr>
          <w:sz w:val="22"/>
          <w:szCs w:val="22"/>
        </w:rPr>
      </w:pPr>
    </w:p>
    <w:p w14:paraId="4CD5633A" w14:textId="77777777" w:rsidR="00B0312E" w:rsidRPr="006571EA" w:rsidRDefault="00B0312E" w:rsidP="006571EA">
      <w:pPr>
        <w:rPr>
          <w:sz w:val="22"/>
          <w:szCs w:val="22"/>
        </w:rPr>
      </w:pPr>
    </w:p>
    <w:p w14:paraId="314C8C2D" w14:textId="77777777" w:rsidR="00E7415D" w:rsidRPr="0051773D" w:rsidRDefault="00E7415D" w:rsidP="00E7415D">
      <w:pPr>
        <w:rPr>
          <w:i/>
          <w:iCs/>
          <w:color w:val="0070C0"/>
          <w:sz w:val="22"/>
          <w:szCs w:val="22"/>
        </w:rPr>
      </w:pPr>
      <w:r w:rsidRPr="0051773D">
        <w:rPr>
          <w:i/>
          <w:iCs/>
          <w:color w:val="0070C0"/>
          <w:sz w:val="22"/>
          <w:szCs w:val="22"/>
        </w:rPr>
        <w:t>Finansiering i 2019:</w:t>
      </w:r>
    </w:p>
    <w:p w14:paraId="60AA6799" w14:textId="77777777" w:rsidR="00E7415D" w:rsidRPr="0051773D" w:rsidRDefault="00E7415D" w:rsidP="00E7415D">
      <w:pPr>
        <w:rPr>
          <w:sz w:val="22"/>
          <w:szCs w:val="22"/>
        </w:rPr>
      </w:pPr>
      <w:r w:rsidRPr="0051773D">
        <w:rPr>
          <w:sz w:val="22"/>
          <w:szCs w:val="22"/>
        </w:rPr>
        <w:t xml:space="preserve">Mye av arbeidet med </w:t>
      </w:r>
      <w:r w:rsidR="00415AE5">
        <w:rPr>
          <w:sz w:val="22"/>
          <w:szCs w:val="22"/>
        </w:rPr>
        <w:t xml:space="preserve">å utvikle </w:t>
      </w:r>
      <w:r w:rsidRPr="0051773D">
        <w:rPr>
          <w:sz w:val="22"/>
          <w:szCs w:val="22"/>
        </w:rPr>
        <w:t xml:space="preserve">studietilbudet finansieres </w:t>
      </w:r>
      <w:r w:rsidR="00415AE5">
        <w:rPr>
          <w:sz w:val="22"/>
          <w:szCs w:val="22"/>
        </w:rPr>
        <w:t>gjennom</w:t>
      </w:r>
      <w:r w:rsidRPr="0051773D">
        <w:rPr>
          <w:sz w:val="22"/>
          <w:szCs w:val="22"/>
        </w:rPr>
        <w:t xml:space="preserve"> den ordinære rammefinansieringen. Studieplanprosessen er gjenstand for en prosessgjennomgang og digitalisering, delvis finansiert over SO-ramma. NTNU Drive er en satsing som støtter undervisere, instituttledere og studieprogramledere som vil utvikle digital kompetanse. Satsingen på EVU er styrket med 5 årsverk finansiert over SO-ramma.</w:t>
      </w:r>
    </w:p>
    <w:p w14:paraId="04553CD7" w14:textId="77777777" w:rsidR="00E7415D" w:rsidRPr="0051773D" w:rsidRDefault="00E7415D" w:rsidP="00E7415D">
      <w:pPr>
        <w:rPr>
          <w:sz w:val="22"/>
          <w:szCs w:val="22"/>
        </w:rPr>
      </w:pPr>
    </w:p>
    <w:p w14:paraId="550BB8EE" w14:textId="77777777" w:rsidR="00E7415D" w:rsidRPr="0051773D" w:rsidRDefault="00E7415D" w:rsidP="00E7415D">
      <w:pPr>
        <w:rPr>
          <w:sz w:val="22"/>
          <w:szCs w:val="22"/>
        </w:rPr>
      </w:pPr>
    </w:p>
    <w:p w14:paraId="3DC25E79" w14:textId="77777777" w:rsidR="00E7415D" w:rsidRPr="0051773D" w:rsidRDefault="00E7415D" w:rsidP="00E7415D">
      <w:pPr>
        <w:rPr>
          <w:i/>
          <w:color w:val="0070C0"/>
          <w:sz w:val="22"/>
          <w:szCs w:val="22"/>
        </w:rPr>
      </w:pPr>
      <w:r w:rsidRPr="0051773D">
        <w:rPr>
          <w:i/>
          <w:color w:val="0070C0"/>
          <w:sz w:val="22"/>
          <w:szCs w:val="22"/>
        </w:rPr>
        <w:t>Hvordan vet vi om vi lykkes?</w:t>
      </w:r>
    </w:p>
    <w:p w14:paraId="64AF23E4" w14:textId="7E51F9F7" w:rsidR="00E7415D" w:rsidRDefault="00E00BBE" w:rsidP="00E7415D">
      <w:pPr>
        <w:spacing w:line="259" w:lineRule="auto"/>
        <w:rPr>
          <w:sz w:val="22"/>
          <w:szCs w:val="22"/>
        </w:rPr>
      </w:pPr>
      <w:r w:rsidRPr="0051773D">
        <w:rPr>
          <w:sz w:val="22"/>
          <w:szCs w:val="22"/>
        </w:rPr>
        <w:t xml:space="preserve">Vi vil følge med på </w:t>
      </w:r>
      <w:r w:rsidR="001A4BD7">
        <w:rPr>
          <w:sz w:val="22"/>
          <w:szCs w:val="22"/>
        </w:rPr>
        <w:t xml:space="preserve">flere indikatorer for å vurdere utviklingen i studietilbudet: </w:t>
      </w:r>
      <w:r w:rsidRPr="0051773D">
        <w:rPr>
          <w:sz w:val="22"/>
          <w:szCs w:val="22"/>
        </w:rPr>
        <w:t>gjennomstrømming i studiene</w:t>
      </w:r>
      <w:r w:rsidR="0051773D" w:rsidRPr="0051773D">
        <w:rPr>
          <w:sz w:val="22"/>
          <w:szCs w:val="22"/>
        </w:rPr>
        <w:t>, frafall</w:t>
      </w:r>
      <w:r w:rsidRPr="0051773D">
        <w:rPr>
          <w:sz w:val="22"/>
          <w:szCs w:val="22"/>
        </w:rPr>
        <w:t>, samt studentenes tidsbruk på studiene og dere vurdering av utdanningskvaliteten.</w:t>
      </w:r>
      <w:r w:rsidR="00FD5A93">
        <w:rPr>
          <w:sz w:val="22"/>
          <w:szCs w:val="22"/>
        </w:rPr>
        <w:t xml:space="preserve"> Søkertallene vil også analyseres i denne sammenheng.</w:t>
      </w:r>
    </w:p>
    <w:p w14:paraId="29EF671A" w14:textId="77777777" w:rsidR="00E950DF" w:rsidRPr="0051773D" w:rsidRDefault="00E950DF" w:rsidP="00E7415D">
      <w:pPr>
        <w:spacing w:line="259" w:lineRule="auto"/>
        <w:rPr>
          <w:sz w:val="22"/>
          <w:szCs w:val="22"/>
        </w:rPr>
      </w:pPr>
    </w:p>
    <w:p w14:paraId="2E00DD29" w14:textId="2C275B43" w:rsidR="00E00BBE" w:rsidRPr="0051773D" w:rsidRDefault="00E00BBE" w:rsidP="00E00BBE">
      <w:pPr>
        <w:spacing w:line="259" w:lineRule="auto"/>
        <w:rPr>
          <w:sz w:val="22"/>
          <w:szCs w:val="22"/>
        </w:rPr>
      </w:pPr>
      <w:r w:rsidRPr="0051773D">
        <w:rPr>
          <w:sz w:val="22"/>
          <w:szCs w:val="22"/>
        </w:rPr>
        <w:t xml:space="preserve">For øvrig </w:t>
      </w:r>
      <w:r w:rsidR="001B7949">
        <w:rPr>
          <w:sz w:val="22"/>
          <w:szCs w:val="22"/>
        </w:rPr>
        <w:t>kan</w:t>
      </w:r>
      <w:r w:rsidR="001B7949" w:rsidRPr="0051773D">
        <w:rPr>
          <w:sz w:val="22"/>
          <w:szCs w:val="22"/>
        </w:rPr>
        <w:t xml:space="preserve"> </w:t>
      </w:r>
      <w:r w:rsidRPr="0051773D">
        <w:rPr>
          <w:sz w:val="22"/>
          <w:szCs w:val="22"/>
        </w:rPr>
        <w:t xml:space="preserve">tiltak innen utdanning bidra til å </w:t>
      </w:r>
      <w:r w:rsidR="0068411D">
        <w:rPr>
          <w:sz w:val="22"/>
          <w:szCs w:val="22"/>
        </w:rPr>
        <w:t>styrke</w:t>
      </w:r>
      <w:r w:rsidRPr="0051773D">
        <w:rPr>
          <w:sz w:val="22"/>
          <w:szCs w:val="22"/>
        </w:rPr>
        <w:t xml:space="preserve"> det økonomiske handlingsrommet bl.a. gjennom at økt gjennomstrømming i utdanningene vil gi økt resultatuttelling i KDs finansieringsmodell, og ved at en utvikling av tilbudet innen etter- og videreutdanning kan gi økte inntekter fra det eksterne markedet. </w:t>
      </w:r>
    </w:p>
    <w:p w14:paraId="723146FB" w14:textId="77777777" w:rsidR="00E7415D" w:rsidRDefault="00E7415D" w:rsidP="00E7415D">
      <w:pPr>
        <w:spacing w:line="259" w:lineRule="auto"/>
        <w:rPr>
          <w:sz w:val="22"/>
          <w:szCs w:val="22"/>
        </w:rPr>
      </w:pPr>
    </w:p>
    <w:p w14:paraId="677D0A43" w14:textId="77777777" w:rsidR="00072995" w:rsidRDefault="00072995" w:rsidP="00E7415D">
      <w:pPr>
        <w:spacing w:line="259" w:lineRule="auto"/>
        <w:rPr>
          <w:sz w:val="22"/>
          <w:szCs w:val="22"/>
        </w:rPr>
      </w:pPr>
    </w:p>
    <w:p w14:paraId="42FF8894" w14:textId="77777777" w:rsidR="00E7415D" w:rsidRDefault="00E7415D" w:rsidP="00E7415D">
      <w:pPr>
        <w:spacing w:line="259" w:lineRule="auto"/>
        <w:rPr>
          <w:sz w:val="22"/>
          <w:szCs w:val="22"/>
        </w:rPr>
      </w:pPr>
    </w:p>
    <w:p w14:paraId="6027603E" w14:textId="77777777" w:rsidR="00EE6698" w:rsidRPr="00590F34" w:rsidRDefault="00801F7F" w:rsidP="00EE6698">
      <w:pPr>
        <w:rPr>
          <w:b/>
          <w:bCs/>
          <w:szCs w:val="28"/>
        </w:rPr>
      </w:pPr>
      <w:r>
        <w:rPr>
          <w:b/>
          <w:bCs/>
          <w:szCs w:val="28"/>
        </w:rPr>
        <w:t>3</w:t>
      </w:r>
      <w:r w:rsidR="00EE6698" w:rsidRPr="00590F34">
        <w:rPr>
          <w:b/>
          <w:bCs/>
          <w:szCs w:val="28"/>
        </w:rPr>
        <w:t>.4</w:t>
      </w:r>
      <w:r w:rsidR="00EE6698" w:rsidRPr="00590F34">
        <w:rPr>
          <w:b/>
        </w:rPr>
        <w:tab/>
      </w:r>
      <w:r w:rsidR="00EE6698" w:rsidRPr="00590F34">
        <w:rPr>
          <w:b/>
          <w:bCs/>
          <w:szCs w:val="28"/>
        </w:rPr>
        <w:t xml:space="preserve">Fornyelse av infrastruktur for lærings- og arbeidsmiljøer </w:t>
      </w:r>
    </w:p>
    <w:p w14:paraId="61A4197E" w14:textId="77777777" w:rsidR="00EE6698" w:rsidRDefault="00EE6698" w:rsidP="00EE6698"/>
    <w:p w14:paraId="6F72D0FC" w14:textId="77777777" w:rsidR="00B00CB1" w:rsidRPr="008C68A3" w:rsidRDefault="00B00CB1" w:rsidP="00B00CB1">
      <w:pPr>
        <w:rPr>
          <w:i/>
          <w:color w:val="0070C0"/>
          <w:sz w:val="22"/>
          <w:szCs w:val="22"/>
        </w:rPr>
      </w:pPr>
      <w:r w:rsidRPr="008C68A3">
        <w:rPr>
          <w:i/>
          <w:color w:val="0070C0"/>
          <w:sz w:val="22"/>
          <w:szCs w:val="22"/>
        </w:rPr>
        <w:t>Hvilke ambisjoner og strategiske utviklingsmål har vi?</w:t>
      </w:r>
    </w:p>
    <w:p w14:paraId="22C84810" w14:textId="77777777" w:rsidR="000D7271" w:rsidRPr="008C68A3" w:rsidRDefault="00BB4BA4" w:rsidP="000D7271">
      <w:pPr>
        <w:rPr>
          <w:sz w:val="22"/>
          <w:szCs w:val="22"/>
        </w:rPr>
      </w:pPr>
      <w:r w:rsidRPr="008C68A3">
        <w:rPr>
          <w:sz w:val="22"/>
          <w:szCs w:val="22"/>
        </w:rPr>
        <w:t xml:space="preserve">Vi har en ambisjon om at våre universitetsområder </w:t>
      </w:r>
      <w:r w:rsidR="001B7949">
        <w:rPr>
          <w:sz w:val="22"/>
          <w:szCs w:val="22"/>
        </w:rPr>
        <w:t>skal gi</w:t>
      </w:r>
      <w:r w:rsidR="001B7949" w:rsidRPr="008C68A3">
        <w:rPr>
          <w:sz w:val="22"/>
          <w:szCs w:val="22"/>
        </w:rPr>
        <w:t xml:space="preserve"> </w:t>
      </w:r>
      <w:r w:rsidRPr="008C68A3">
        <w:rPr>
          <w:sz w:val="22"/>
          <w:szCs w:val="22"/>
        </w:rPr>
        <w:t>fremragende lærings- og arbeidsmiljøer og bidra</w:t>
      </w:r>
      <w:r w:rsidR="001B7949">
        <w:rPr>
          <w:sz w:val="22"/>
          <w:szCs w:val="22"/>
        </w:rPr>
        <w:t xml:space="preserve"> </w:t>
      </w:r>
      <w:r w:rsidRPr="008C68A3">
        <w:rPr>
          <w:sz w:val="22"/>
          <w:szCs w:val="22"/>
        </w:rPr>
        <w:t xml:space="preserve">til høy faglig kvalitet. </w:t>
      </w:r>
      <w:r w:rsidR="00B00CB1" w:rsidRPr="008C68A3">
        <w:rPr>
          <w:sz w:val="22"/>
          <w:szCs w:val="22"/>
        </w:rPr>
        <w:t xml:space="preserve">NTNU er en ressursrik organisasjon og bruker årlig betydelige midler på infrastruktur. Samtidig gir Campusprosjektet gir oss helt unike muligheter. Det </w:t>
      </w:r>
      <w:r w:rsidR="001B7949">
        <w:rPr>
          <w:sz w:val="22"/>
          <w:szCs w:val="22"/>
        </w:rPr>
        <w:t>må</w:t>
      </w:r>
      <w:r w:rsidR="00B00CB1" w:rsidRPr="008C68A3">
        <w:rPr>
          <w:sz w:val="22"/>
          <w:szCs w:val="22"/>
        </w:rPr>
        <w:t xml:space="preserve"> arbeide</w:t>
      </w:r>
      <w:r w:rsidR="001B7949">
        <w:rPr>
          <w:sz w:val="22"/>
          <w:szCs w:val="22"/>
        </w:rPr>
        <w:t>s</w:t>
      </w:r>
      <w:r w:rsidR="00B00CB1" w:rsidRPr="008C68A3">
        <w:rPr>
          <w:sz w:val="22"/>
          <w:szCs w:val="22"/>
        </w:rPr>
        <w:t xml:space="preserve"> helhetlig med campusutvikling slik at vi utvikler en infrastruktur for kjernevirksomheten som kan bli et konkurransefortrinn i fremtiden. </w:t>
      </w:r>
    </w:p>
    <w:p w14:paraId="788152AB" w14:textId="77777777" w:rsidR="000D7271" w:rsidRPr="008C68A3" w:rsidRDefault="000D7271" w:rsidP="000D7271">
      <w:pPr>
        <w:rPr>
          <w:sz w:val="22"/>
          <w:szCs w:val="22"/>
        </w:rPr>
      </w:pPr>
    </w:p>
    <w:p w14:paraId="144D678E" w14:textId="77777777" w:rsidR="000D7271" w:rsidRPr="008C68A3" w:rsidRDefault="000D7271" w:rsidP="000D7271">
      <w:pPr>
        <w:rPr>
          <w:sz w:val="22"/>
          <w:szCs w:val="22"/>
        </w:rPr>
      </w:pPr>
      <w:r w:rsidRPr="008C68A3">
        <w:rPr>
          <w:sz w:val="22"/>
          <w:szCs w:val="22"/>
        </w:rPr>
        <w:t>7 av utviklingsmålene i strategien handler om ulike sider av fornyelse av infrastruktur for lærings- og arbeidsmiljøer. Fellestrekket er at de handler om utvikling og fornyelse av både fysisk, digital og kulturell infrastruktur som stimulerer til tettere samarbeid, mer studentaktiv læring, økt tverrfaglighet, internasjonalisering og økt samhandling med arbeids- og næringslivet.</w:t>
      </w:r>
    </w:p>
    <w:p w14:paraId="788A68C2" w14:textId="77777777" w:rsidR="000D7271" w:rsidRPr="008C68A3" w:rsidRDefault="000D7271" w:rsidP="00EE6698">
      <w:pPr>
        <w:rPr>
          <w:sz w:val="22"/>
          <w:szCs w:val="22"/>
        </w:rPr>
      </w:pPr>
    </w:p>
    <w:p w14:paraId="70E1C0D3" w14:textId="77777777" w:rsidR="00BB4BA4" w:rsidRPr="008C68A3" w:rsidRDefault="00BB4BA4" w:rsidP="00EE6698">
      <w:pPr>
        <w:rPr>
          <w:sz w:val="22"/>
          <w:szCs w:val="22"/>
        </w:rPr>
      </w:pPr>
    </w:p>
    <w:p w14:paraId="1FAF63A7" w14:textId="77777777" w:rsidR="00BB4BA4" w:rsidRPr="008C68A3" w:rsidRDefault="00BB4BA4" w:rsidP="00BB4BA4">
      <w:pPr>
        <w:rPr>
          <w:i/>
          <w:color w:val="0070C0"/>
          <w:sz w:val="22"/>
          <w:szCs w:val="22"/>
        </w:rPr>
      </w:pPr>
      <w:r w:rsidRPr="008C68A3">
        <w:rPr>
          <w:i/>
          <w:color w:val="0070C0"/>
          <w:sz w:val="22"/>
          <w:szCs w:val="22"/>
        </w:rPr>
        <w:t>Hvordan arbeider vi med utvikling?</w:t>
      </w:r>
    </w:p>
    <w:p w14:paraId="268EC108" w14:textId="77777777" w:rsidR="001B233B" w:rsidRDefault="001B233B" w:rsidP="001B233B">
      <w:pPr>
        <w:rPr>
          <w:sz w:val="22"/>
          <w:szCs w:val="22"/>
        </w:rPr>
      </w:pPr>
      <w:r w:rsidRPr="008C68A3">
        <w:rPr>
          <w:sz w:val="22"/>
          <w:szCs w:val="22"/>
        </w:rPr>
        <w:t xml:space="preserve">Dagens endringsarbeid når det gjelder infrastruktur er i hovedsak store utviklingsprosjekter som Campus-prosjektet, samlokaliseringsprosjektet og digitaliseringsprogrammet. </w:t>
      </w:r>
      <w:r w:rsidR="001B7949">
        <w:rPr>
          <w:sz w:val="22"/>
          <w:szCs w:val="22"/>
        </w:rPr>
        <w:t>Både i</w:t>
      </w:r>
      <w:r w:rsidR="004E171A" w:rsidRPr="008C68A3">
        <w:rPr>
          <w:sz w:val="22"/>
          <w:szCs w:val="22"/>
        </w:rPr>
        <w:t xml:space="preserve"> 2019 og </w:t>
      </w:r>
      <w:r w:rsidR="001B7949">
        <w:rPr>
          <w:sz w:val="22"/>
          <w:szCs w:val="22"/>
        </w:rPr>
        <w:t xml:space="preserve">i </w:t>
      </w:r>
      <w:r w:rsidR="004E171A" w:rsidRPr="008C68A3">
        <w:rPr>
          <w:sz w:val="22"/>
          <w:szCs w:val="22"/>
        </w:rPr>
        <w:t xml:space="preserve">langtidsperioden </w:t>
      </w:r>
      <w:r w:rsidR="004E171A">
        <w:rPr>
          <w:sz w:val="22"/>
          <w:szCs w:val="22"/>
        </w:rPr>
        <w:t xml:space="preserve">legges det til rette for at disse videreføres med full kraft. I tillegg ser vi behov </w:t>
      </w:r>
      <w:r w:rsidR="001B7949">
        <w:rPr>
          <w:sz w:val="22"/>
          <w:szCs w:val="22"/>
        </w:rPr>
        <w:t xml:space="preserve">både på kort og lang sikt </w:t>
      </w:r>
      <w:r w:rsidR="004E171A">
        <w:rPr>
          <w:sz w:val="22"/>
          <w:szCs w:val="22"/>
        </w:rPr>
        <w:t xml:space="preserve">for å </w:t>
      </w:r>
      <w:r w:rsidR="00B8331F">
        <w:rPr>
          <w:sz w:val="22"/>
          <w:szCs w:val="22"/>
        </w:rPr>
        <w:t xml:space="preserve">særlig </w:t>
      </w:r>
      <w:r w:rsidR="004E171A">
        <w:rPr>
          <w:sz w:val="22"/>
          <w:szCs w:val="22"/>
        </w:rPr>
        <w:t>styrke arbeidet med utvikling av læringsare</w:t>
      </w:r>
      <w:r w:rsidR="00B8331F">
        <w:rPr>
          <w:sz w:val="22"/>
          <w:szCs w:val="22"/>
        </w:rPr>
        <w:t>alene.</w:t>
      </w:r>
    </w:p>
    <w:p w14:paraId="4D900EB2" w14:textId="77777777" w:rsidR="00B8331F" w:rsidRDefault="00B8331F" w:rsidP="001B233B">
      <w:pPr>
        <w:rPr>
          <w:sz w:val="22"/>
          <w:szCs w:val="22"/>
        </w:rPr>
      </w:pPr>
    </w:p>
    <w:p w14:paraId="2A90A4BF" w14:textId="77777777" w:rsidR="00B8331F" w:rsidRDefault="00B8331F" w:rsidP="00B8331F">
      <w:pPr>
        <w:rPr>
          <w:sz w:val="22"/>
          <w:szCs w:val="22"/>
        </w:rPr>
      </w:pPr>
      <w:r>
        <w:rPr>
          <w:sz w:val="22"/>
          <w:szCs w:val="22"/>
        </w:rPr>
        <w:t>For å gi området et ytterligere løft vil vi i 2019 gjøre følgende hovedgrep:</w:t>
      </w:r>
      <w:r w:rsidRPr="003F014E">
        <w:rPr>
          <w:sz w:val="22"/>
          <w:szCs w:val="22"/>
        </w:rPr>
        <w:t xml:space="preserve"> </w:t>
      </w:r>
    </w:p>
    <w:p w14:paraId="0A0D0450" w14:textId="77777777" w:rsidR="000D7271" w:rsidRPr="008C68A3" w:rsidRDefault="000D7271" w:rsidP="00EE6698">
      <w:pPr>
        <w:rPr>
          <w:sz w:val="22"/>
          <w:szCs w:val="22"/>
        </w:rPr>
      </w:pPr>
    </w:p>
    <w:p w14:paraId="306B2B22" w14:textId="77777777" w:rsidR="004E171A" w:rsidRPr="004965A3" w:rsidRDefault="00F210C7" w:rsidP="00801F7F">
      <w:pPr>
        <w:pStyle w:val="ListParagraph"/>
        <w:numPr>
          <w:ilvl w:val="0"/>
          <w:numId w:val="10"/>
        </w:numPr>
        <w:rPr>
          <w:sz w:val="22"/>
          <w:szCs w:val="22"/>
        </w:rPr>
      </w:pPr>
      <w:r w:rsidRPr="00731B0D">
        <w:rPr>
          <w:i/>
          <w:sz w:val="22"/>
          <w:szCs w:val="22"/>
        </w:rPr>
        <w:t>Campusutvikling:</w:t>
      </w:r>
      <w:r w:rsidRPr="00731B0D">
        <w:rPr>
          <w:sz w:val="22"/>
          <w:szCs w:val="22"/>
        </w:rPr>
        <w:t xml:space="preserve"> </w:t>
      </w:r>
      <w:r w:rsidR="004E171A" w:rsidRPr="00731B0D">
        <w:rPr>
          <w:sz w:val="22"/>
          <w:szCs w:val="22"/>
        </w:rPr>
        <w:t xml:space="preserve">Mens campusprosjektet er et langsiktig prosjekt </w:t>
      </w:r>
      <w:r w:rsidR="00FD5A93">
        <w:rPr>
          <w:sz w:val="22"/>
          <w:szCs w:val="22"/>
        </w:rPr>
        <w:t>i</w:t>
      </w:r>
      <w:r w:rsidR="004E171A" w:rsidRPr="00731B0D">
        <w:rPr>
          <w:sz w:val="22"/>
          <w:szCs w:val="22"/>
        </w:rPr>
        <w:t xml:space="preserve"> planlegging</w:t>
      </w:r>
      <w:r w:rsidR="00FD5A93">
        <w:rPr>
          <w:sz w:val="22"/>
          <w:szCs w:val="22"/>
        </w:rPr>
        <w:t>sfasen</w:t>
      </w:r>
      <w:r w:rsidR="004E171A" w:rsidRPr="00731B0D">
        <w:rPr>
          <w:sz w:val="22"/>
          <w:szCs w:val="22"/>
        </w:rPr>
        <w:t>, er</w:t>
      </w:r>
      <w:r w:rsidR="004E171A" w:rsidRPr="004E171A">
        <w:rPr>
          <w:sz w:val="22"/>
          <w:szCs w:val="22"/>
        </w:rPr>
        <w:t xml:space="preserve"> samlokaliseringsprosjektet et arbeid vi står midt oppi. Samlokalisering skal legge til rette for å følge opp </w:t>
      </w:r>
      <w:r w:rsidR="004E171A" w:rsidRPr="004965A3">
        <w:rPr>
          <w:sz w:val="22"/>
          <w:szCs w:val="22"/>
        </w:rPr>
        <w:t>fusjonen gjennom faglig integrasjon (bedre utnyttelse av lab, samordning av emneportefølje, større valgfrihet for studentene, bedre arealutnyttelse på Gløshaugen etc). Begge prosjektene har stort omfang og er organisert med egen prosjektorganisasjon. Det arbeides systematisk for å sikre god koordinering mellom de to</w:t>
      </w:r>
      <w:r w:rsidR="00731B0D" w:rsidRPr="004965A3">
        <w:rPr>
          <w:sz w:val="22"/>
          <w:szCs w:val="22"/>
        </w:rPr>
        <w:t>, og ivareta både de kortsiktige og langsiktige perspektivene i utviklingsarbeidet</w:t>
      </w:r>
      <w:r w:rsidR="004E171A" w:rsidRPr="004965A3">
        <w:rPr>
          <w:sz w:val="22"/>
          <w:szCs w:val="22"/>
        </w:rPr>
        <w:t>.</w:t>
      </w:r>
    </w:p>
    <w:p w14:paraId="1A62886D" w14:textId="15776011" w:rsidR="00B0312E" w:rsidRPr="004965A3" w:rsidRDefault="00B0312E" w:rsidP="00AF6A6C">
      <w:pPr>
        <w:pStyle w:val="ListParagraph"/>
        <w:numPr>
          <w:ilvl w:val="0"/>
          <w:numId w:val="7"/>
        </w:numPr>
        <w:spacing w:after="60"/>
        <w:ind w:right="85"/>
        <w:rPr>
          <w:sz w:val="22"/>
          <w:szCs w:val="22"/>
        </w:rPr>
      </w:pPr>
      <w:r w:rsidRPr="004965A3">
        <w:rPr>
          <w:i/>
          <w:sz w:val="22"/>
          <w:szCs w:val="22"/>
        </w:rPr>
        <w:t>Langtidsplaner</w:t>
      </w:r>
      <w:r w:rsidRPr="004965A3">
        <w:rPr>
          <w:sz w:val="22"/>
          <w:szCs w:val="22"/>
        </w:rPr>
        <w:t xml:space="preserve">: For å sikre tilstrekkelig vedlikehold, rehabilitering, reinvestering og fornyelse av kostnadskrevende infrastruktur i tider med store endringer ønsker vi å styrke arbeidet med langtidsplanlegging. </w:t>
      </w:r>
      <w:r w:rsidR="006571EA" w:rsidRPr="004965A3">
        <w:rPr>
          <w:sz w:val="22"/>
          <w:szCs w:val="22"/>
        </w:rPr>
        <w:t xml:space="preserve">Infrastrukturen må tilpasses endringer i aktiviteten. For eksempel krever endringene i studieporteføljen en godt tilrettelagt infrastruktur som gjør at emner kan tas uavhengig av campus (multi-campus-undervisning). </w:t>
      </w:r>
      <w:r w:rsidRPr="004965A3">
        <w:rPr>
          <w:sz w:val="22"/>
          <w:szCs w:val="22"/>
        </w:rPr>
        <w:t xml:space="preserve">Vi vil utarbeide langtidsplaner for </w:t>
      </w:r>
      <w:r w:rsidRPr="004965A3">
        <w:rPr>
          <w:bCs/>
          <w:sz w:val="22"/>
          <w:szCs w:val="22"/>
        </w:rPr>
        <w:t>bygg, undervisningsinfrastruktur, forskningsinfrastruktur og IKT-infrastruktur</w:t>
      </w:r>
      <w:r w:rsidR="0093145B">
        <w:rPr>
          <w:bCs/>
          <w:sz w:val="22"/>
          <w:szCs w:val="22"/>
        </w:rPr>
        <w:t xml:space="preserve">. Disse må ses i sammenheng og skal </w:t>
      </w:r>
      <w:r w:rsidRPr="004965A3">
        <w:rPr>
          <w:sz w:val="22"/>
          <w:szCs w:val="22"/>
        </w:rPr>
        <w:t>rulleres årlig.</w:t>
      </w:r>
    </w:p>
    <w:p w14:paraId="5118859A" w14:textId="77777777" w:rsidR="005F5B9B" w:rsidRPr="004965A3" w:rsidRDefault="005F5B9B" w:rsidP="005F5B9B">
      <w:pPr>
        <w:pStyle w:val="ListParagraph"/>
        <w:numPr>
          <w:ilvl w:val="0"/>
          <w:numId w:val="7"/>
        </w:numPr>
        <w:spacing w:after="60"/>
        <w:ind w:right="85"/>
        <w:rPr>
          <w:sz w:val="22"/>
          <w:szCs w:val="22"/>
        </w:rPr>
      </w:pPr>
      <w:r w:rsidRPr="004965A3">
        <w:rPr>
          <w:i/>
          <w:sz w:val="22"/>
          <w:szCs w:val="22"/>
        </w:rPr>
        <w:t>Politikk og utviklingsplan for digitalisering og prosessutvikling</w:t>
      </w:r>
      <w:r w:rsidRPr="004965A3">
        <w:rPr>
          <w:sz w:val="22"/>
          <w:szCs w:val="22"/>
        </w:rPr>
        <w:t xml:space="preserve">: Digitalisering er et viktig virkemiddel for å realisere strategien og sikre omstilling. Det pågående prosessutviklings- og digitaliseringsarbeidet er avgjørende for å utvikle både kjernevirksomheten og støtteapparatet, og må derfor fortsette. «Politikk for digitalisering og prosessutvikling» nærmer seg ferdigstillelse, og vil bli fulgt opp av en mer konkret utviklingsplan, med tydeligere prioriteringer og bedre koordinering av tiltakene. Digitalisering i relasjon til infrastruktur vil omhandle hvordan digitale løsninger endrer </w:t>
      </w:r>
      <w:r w:rsidR="008449DB" w:rsidRPr="004965A3">
        <w:rPr>
          <w:sz w:val="22"/>
          <w:szCs w:val="22"/>
        </w:rPr>
        <w:t xml:space="preserve">utviklingen, </w:t>
      </w:r>
      <w:r w:rsidR="004965A3" w:rsidRPr="004965A3">
        <w:rPr>
          <w:sz w:val="22"/>
          <w:szCs w:val="22"/>
        </w:rPr>
        <w:t>forvaltningen og utnyttelsen av</w:t>
      </w:r>
      <w:r w:rsidR="008449DB" w:rsidRPr="004965A3">
        <w:rPr>
          <w:sz w:val="22"/>
          <w:szCs w:val="22"/>
        </w:rPr>
        <w:t xml:space="preserve"> </w:t>
      </w:r>
      <w:r w:rsidRPr="004965A3">
        <w:rPr>
          <w:sz w:val="22"/>
          <w:szCs w:val="22"/>
        </w:rPr>
        <w:t>eksempelvis bygg, rom, arbeidsplasser og arbeidsverktøy.</w:t>
      </w:r>
    </w:p>
    <w:p w14:paraId="34CA5424" w14:textId="77777777" w:rsidR="00FD5A93" w:rsidRPr="004965A3" w:rsidRDefault="00FD5A93" w:rsidP="00743B58">
      <w:pPr>
        <w:pStyle w:val="ListParagraph"/>
        <w:numPr>
          <w:ilvl w:val="0"/>
          <w:numId w:val="7"/>
        </w:numPr>
        <w:spacing w:after="60"/>
        <w:ind w:right="85"/>
        <w:rPr>
          <w:sz w:val="22"/>
          <w:szCs w:val="22"/>
        </w:rPr>
      </w:pPr>
      <w:r w:rsidRPr="004965A3">
        <w:rPr>
          <w:i/>
          <w:sz w:val="22"/>
          <w:szCs w:val="22"/>
        </w:rPr>
        <w:t>Utviklingsplan for «miljøambisjonen</w:t>
      </w:r>
      <w:r w:rsidRPr="004965A3">
        <w:rPr>
          <w:sz w:val="22"/>
          <w:szCs w:val="22"/>
        </w:rPr>
        <w:t xml:space="preserve">». </w:t>
      </w:r>
      <w:r w:rsidR="00743B58" w:rsidRPr="004965A3">
        <w:rPr>
          <w:sz w:val="22"/>
          <w:szCs w:val="22"/>
        </w:rPr>
        <w:t>NTNU ønsker å være en premissleverandør for omstilling og grønt skifte, samt bidra aktivt til å nå FNs bærekraftsmål. Høsten 2018 startet arbeidet med å utvikle en ny miljøhandlingsplan som blant annet innebærer mer ambisiøse mål og tiltak for å redusere vårt klimafotavtrykk.</w:t>
      </w:r>
    </w:p>
    <w:p w14:paraId="510AB1D5" w14:textId="77777777" w:rsidR="00F56E4C" w:rsidRPr="008C68A3" w:rsidRDefault="00F56E4C" w:rsidP="00EE6698">
      <w:pPr>
        <w:rPr>
          <w:sz w:val="22"/>
          <w:szCs w:val="22"/>
        </w:rPr>
      </w:pPr>
    </w:p>
    <w:p w14:paraId="22552088" w14:textId="77777777" w:rsidR="008C68A3" w:rsidRPr="008C68A3" w:rsidRDefault="008C68A3" w:rsidP="008C68A3">
      <w:pPr>
        <w:rPr>
          <w:i/>
          <w:iCs/>
          <w:color w:val="0070C0"/>
          <w:sz w:val="22"/>
          <w:szCs w:val="22"/>
        </w:rPr>
      </w:pPr>
      <w:r w:rsidRPr="008C68A3">
        <w:rPr>
          <w:i/>
          <w:iCs/>
          <w:color w:val="0070C0"/>
          <w:sz w:val="22"/>
          <w:szCs w:val="22"/>
        </w:rPr>
        <w:t>Finansiering i 2019:</w:t>
      </w:r>
    </w:p>
    <w:p w14:paraId="36CDC751" w14:textId="7F6D5634" w:rsidR="008C68A3" w:rsidRPr="008C68A3" w:rsidRDefault="008C68A3" w:rsidP="008C68A3">
      <w:pPr>
        <w:rPr>
          <w:sz w:val="22"/>
          <w:szCs w:val="22"/>
        </w:rPr>
      </w:pPr>
      <w:r w:rsidRPr="008C68A3">
        <w:rPr>
          <w:sz w:val="22"/>
          <w:szCs w:val="22"/>
        </w:rPr>
        <w:t xml:space="preserve">Fornyelse av lærings- og arbeidsmiljøer finansieres over flere budsjettposter i tillegg til SO-ramma, for eksempel ligger store deler av samlokaliseringsprosjektet med finansiering fra </w:t>
      </w:r>
      <w:r w:rsidR="008B0B07">
        <w:rPr>
          <w:sz w:val="22"/>
          <w:szCs w:val="22"/>
        </w:rPr>
        <w:t>rehabilitering</w:t>
      </w:r>
      <w:r w:rsidRPr="008C68A3">
        <w:rPr>
          <w:sz w:val="22"/>
          <w:szCs w:val="22"/>
        </w:rPr>
        <w:t>- og vedlikeholdsbudsjettet. Over SO-ramma har vi avsatt midler til å gjennomføre piloter for å teste ut nye, fleksible arealer som er tilpasset nye læringsformer på alle campus. Midler til AV-utstyr og digitalisering bidrar også til utvikling. Rammen for vitenskapelig utstyr er for 2019 ca.</w:t>
      </w:r>
      <w:r w:rsidR="0068411D">
        <w:rPr>
          <w:sz w:val="22"/>
          <w:szCs w:val="22"/>
        </w:rPr>
        <w:t xml:space="preserve"> </w:t>
      </w:r>
      <w:r w:rsidRPr="008C68A3">
        <w:rPr>
          <w:sz w:val="22"/>
          <w:szCs w:val="22"/>
        </w:rPr>
        <w:t>33 mill.kr</w:t>
      </w:r>
      <w:r w:rsidR="00FF2213">
        <w:rPr>
          <w:sz w:val="22"/>
          <w:szCs w:val="22"/>
        </w:rPr>
        <w:t xml:space="preserve"> og </w:t>
      </w:r>
      <w:r w:rsidR="008449DB">
        <w:rPr>
          <w:sz w:val="22"/>
          <w:szCs w:val="22"/>
        </w:rPr>
        <w:t>AV-utstyr 16 mill.</w:t>
      </w:r>
      <w:r w:rsidR="00FF2213">
        <w:rPr>
          <w:sz w:val="22"/>
          <w:szCs w:val="22"/>
        </w:rPr>
        <w:t>kr.</w:t>
      </w:r>
    </w:p>
    <w:p w14:paraId="0F6433F6" w14:textId="77777777" w:rsidR="008C68A3" w:rsidRPr="008C68A3" w:rsidRDefault="008C68A3" w:rsidP="008C68A3">
      <w:pPr>
        <w:rPr>
          <w:sz w:val="22"/>
          <w:szCs w:val="22"/>
        </w:rPr>
      </w:pPr>
    </w:p>
    <w:p w14:paraId="122A2D6D" w14:textId="77777777" w:rsidR="008C68A3" w:rsidRPr="008C68A3" w:rsidRDefault="008C68A3" w:rsidP="008C68A3">
      <w:pPr>
        <w:rPr>
          <w:sz w:val="22"/>
          <w:szCs w:val="22"/>
        </w:rPr>
      </w:pPr>
    </w:p>
    <w:p w14:paraId="771D65E4" w14:textId="77777777" w:rsidR="008C68A3" w:rsidRPr="008C68A3" w:rsidRDefault="008C68A3" w:rsidP="008C68A3">
      <w:pPr>
        <w:rPr>
          <w:i/>
          <w:color w:val="0070C0"/>
          <w:sz w:val="22"/>
          <w:szCs w:val="22"/>
        </w:rPr>
      </w:pPr>
      <w:r w:rsidRPr="008C68A3">
        <w:rPr>
          <w:i/>
          <w:color w:val="0070C0"/>
          <w:sz w:val="22"/>
          <w:szCs w:val="22"/>
        </w:rPr>
        <w:t>Hvordan vet vi om vi lykkes?</w:t>
      </w:r>
    </w:p>
    <w:p w14:paraId="3DDADDFB" w14:textId="77777777" w:rsidR="008C68A3" w:rsidRPr="008C68A3" w:rsidRDefault="008C68A3" w:rsidP="008C68A3">
      <w:pPr>
        <w:spacing w:line="259" w:lineRule="auto"/>
        <w:rPr>
          <w:sz w:val="22"/>
          <w:szCs w:val="22"/>
        </w:rPr>
      </w:pPr>
      <w:r w:rsidRPr="008C68A3">
        <w:rPr>
          <w:sz w:val="22"/>
          <w:szCs w:val="22"/>
        </w:rPr>
        <w:t>Effektene av dette forbedringsarbeidet vil være svært langsiktige. Innen dette området vil vi benytte kvalitativ rapportering for å vurdere resultatoppnåelsen. Systematikk for arbeid med dokumentasjon av gevinster og gevinstrealisering av digitaliseringsprosjekter er under utarbeidelse.</w:t>
      </w:r>
    </w:p>
    <w:p w14:paraId="1082AD4B" w14:textId="77777777" w:rsidR="008C68A3" w:rsidRDefault="008C68A3" w:rsidP="00EE6698">
      <w:pPr>
        <w:rPr>
          <w:sz w:val="22"/>
          <w:szCs w:val="22"/>
        </w:rPr>
      </w:pPr>
    </w:p>
    <w:p w14:paraId="003ED830" w14:textId="77777777" w:rsidR="004D67CC" w:rsidRDefault="004D67CC" w:rsidP="00EE6698">
      <w:pPr>
        <w:rPr>
          <w:sz w:val="22"/>
          <w:szCs w:val="22"/>
        </w:rPr>
      </w:pPr>
    </w:p>
    <w:p w14:paraId="05F856EC" w14:textId="77777777" w:rsidR="004D67CC" w:rsidRPr="008C68A3" w:rsidRDefault="004D67CC" w:rsidP="00EE6698">
      <w:pPr>
        <w:rPr>
          <w:sz w:val="22"/>
          <w:szCs w:val="22"/>
        </w:rPr>
      </w:pPr>
    </w:p>
    <w:p w14:paraId="232B5907" w14:textId="77777777" w:rsidR="003D25CA" w:rsidRPr="00EB5F5F" w:rsidRDefault="00801F7F" w:rsidP="77A404A7">
      <w:pPr>
        <w:rPr>
          <w:b/>
          <w:bCs/>
          <w:szCs w:val="28"/>
        </w:rPr>
      </w:pPr>
      <w:r>
        <w:rPr>
          <w:b/>
          <w:bCs/>
          <w:szCs w:val="28"/>
        </w:rPr>
        <w:t>3</w:t>
      </w:r>
      <w:r w:rsidR="00FD0B80" w:rsidRPr="00EB5F5F">
        <w:rPr>
          <w:b/>
          <w:bCs/>
          <w:szCs w:val="28"/>
        </w:rPr>
        <w:t>.5</w:t>
      </w:r>
      <w:r w:rsidR="00FD0B80" w:rsidRPr="00EB5F5F">
        <w:rPr>
          <w:b/>
        </w:rPr>
        <w:tab/>
      </w:r>
      <w:r w:rsidR="00FE120A" w:rsidRPr="00EB5F5F">
        <w:rPr>
          <w:b/>
          <w:bCs/>
          <w:szCs w:val="28"/>
        </w:rPr>
        <w:t>Effektive og moderne</w:t>
      </w:r>
      <w:r w:rsidR="001F17CA" w:rsidRPr="00EB5F5F">
        <w:rPr>
          <w:b/>
          <w:bCs/>
          <w:szCs w:val="28"/>
        </w:rPr>
        <w:t xml:space="preserve"> støttefunksjoner</w:t>
      </w:r>
      <w:r w:rsidR="008C30D6" w:rsidRPr="00EB5F5F">
        <w:rPr>
          <w:b/>
          <w:bCs/>
          <w:szCs w:val="28"/>
        </w:rPr>
        <w:t xml:space="preserve"> </w:t>
      </w:r>
    </w:p>
    <w:p w14:paraId="510339B8" w14:textId="77777777" w:rsidR="001F17CA" w:rsidRPr="00E366EE" w:rsidRDefault="001F17CA" w:rsidP="00AF1641">
      <w:pPr>
        <w:rPr>
          <w:sz w:val="22"/>
          <w:szCs w:val="22"/>
        </w:rPr>
      </w:pPr>
    </w:p>
    <w:p w14:paraId="03CA2924" w14:textId="77777777" w:rsidR="00824A50" w:rsidRPr="00E366EE" w:rsidRDefault="00824A50" w:rsidP="00824A50">
      <w:pPr>
        <w:rPr>
          <w:i/>
          <w:color w:val="0070C0"/>
          <w:sz w:val="22"/>
          <w:szCs w:val="22"/>
        </w:rPr>
      </w:pPr>
      <w:r w:rsidRPr="00E366EE">
        <w:rPr>
          <w:i/>
          <w:color w:val="0070C0"/>
          <w:sz w:val="22"/>
          <w:szCs w:val="22"/>
        </w:rPr>
        <w:t>Hvilke ambisjoner og strategiske utviklingsmål har vi?</w:t>
      </w:r>
    </w:p>
    <w:p w14:paraId="7D990B6A" w14:textId="77777777" w:rsidR="00824A50" w:rsidRPr="00E366EE" w:rsidRDefault="00824A50" w:rsidP="00824A50">
      <w:pPr>
        <w:spacing w:after="160" w:line="259" w:lineRule="auto"/>
        <w:rPr>
          <w:sz w:val="22"/>
          <w:szCs w:val="22"/>
        </w:rPr>
      </w:pPr>
      <w:r w:rsidRPr="00E366EE">
        <w:rPr>
          <w:sz w:val="22"/>
          <w:szCs w:val="22"/>
        </w:rPr>
        <w:t xml:space="preserve">Dersom NTNUs fagmiljøer skal lykkes kreves god ledelse og gode teknisk-administrative støttefunksjoner. Vi har ambisjoner om en velfungerende organisasjon med effektive og moderne teknisk-administrative tjenester, med riktig kvalitet tilpasset brukernes behov. Utviklingsmålene i strategien retter oppmerksomheten mot digitaliseringstiltak og forbedringer som støtter opp under helhetlige, standardiserte rutiner og arbeidsprosesser. I tillegg er det behov for ressursstyring som bidrar til økt produktivitet og sikrer handlingsrom for strategiske prioriteringer og fornyelse på alle nivå. </w:t>
      </w:r>
    </w:p>
    <w:p w14:paraId="7357CA54" w14:textId="77777777" w:rsidR="000D7271" w:rsidRPr="00E366EE" w:rsidRDefault="000D7271" w:rsidP="000D7271">
      <w:pPr>
        <w:rPr>
          <w:sz w:val="22"/>
          <w:szCs w:val="22"/>
        </w:rPr>
      </w:pPr>
      <w:r w:rsidRPr="00E366EE">
        <w:rPr>
          <w:sz w:val="22"/>
          <w:szCs w:val="22"/>
        </w:rPr>
        <w:t>8 av utviklingsmålene i strategien retter direkte eller indirekte oppmerksomheten mot det teknisk- og administrative støtteapparatet.</w:t>
      </w:r>
    </w:p>
    <w:p w14:paraId="09F9FD38" w14:textId="77777777" w:rsidR="000D7271" w:rsidRPr="00E366EE" w:rsidRDefault="000D7271" w:rsidP="00AF1641">
      <w:pPr>
        <w:rPr>
          <w:sz w:val="22"/>
          <w:szCs w:val="22"/>
        </w:rPr>
      </w:pPr>
    </w:p>
    <w:p w14:paraId="5673F4D4" w14:textId="77777777" w:rsidR="00824A50" w:rsidRPr="00E366EE" w:rsidRDefault="00824A50" w:rsidP="00AF1641">
      <w:pPr>
        <w:rPr>
          <w:sz w:val="22"/>
          <w:szCs w:val="22"/>
        </w:rPr>
      </w:pPr>
    </w:p>
    <w:p w14:paraId="39845EA7" w14:textId="77777777" w:rsidR="00824A50" w:rsidRPr="00E366EE" w:rsidRDefault="00824A50" w:rsidP="00824A50">
      <w:pPr>
        <w:rPr>
          <w:i/>
          <w:color w:val="0070C0"/>
          <w:sz w:val="22"/>
          <w:szCs w:val="22"/>
        </w:rPr>
      </w:pPr>
      <w:r w:rsidRPr="00E366EE">
        <w:rPr>
          <w:i/>
          <w:color w:val="0070C0"/>
          <w:sz w:val="22"/>
          <w:szCs w:val="22"/>
        </w:rPr>
        <w:t>Hvordan arbeider vi med utvikling?</w:t>
      </w:r>
    </w:p>
    <w:p w14:paraId="26300D41" w14:textId="77777777" w:rsidR="00E366EE" w:rsidRPr="00E366EE" w:rsidRDefault="00824A50" w:rsidP="00824A50">
      <w:pPr>
        <w:rPr>
          <w:sz w:val="22"/>
          <w:szCs w:val="22"/>
        </w:rPr>
      </w:pPr>
      <w:r w:rsidRPr="00E366EE">
        <w:rPr>
          <w:sz w:val="22"/>
          <w:szCs w:val="22"/>
        </w:rPr>
        <w:t>Gjennom 2016 og 2017 har NTNU gjennomført en administrativ effektivisering knyttet til ABE-reformen og fusjonen, i tråd med styrets effektiviseringskrav. Samtidig er det igangsatt viktig forbedringsarbeid gjennom forenkling og standardisering av arbeidsprosesser og verktøy, definering av tjenestekvalitet og utvikling av nye digitale verktøy og løsninger. Nye verktøy og arbeidsprosesser som innføres gjennom BOTT-samarbeidet ventes å medføre vesentlige endringer på sikt. Fakultetene har i dag ulik dimensjonering av støtteapparatet</w:t>
      </w:r>
      <w:r w:rsidR="00E366EE" w:rsidRPr="00E366EE">
        <w:rPr>
          <w:sz w:val="22"/>
          <w:szCs w:val="22"/>
        </w:rPr>
        <w:t xml:space="preserve"> og det er lokale variasjoner i de administrative tjenestene</w:t>
      </w:r>
      <w:r w:rsidRPr="00E366EE">
        <w:rPr>
          <w:sz w:val="22"/>
          <w:szCs w:val="22"/>
        </w:rPr>
        <w:t xml:space="preserve">. </w:t>
      </w:r>
      <w:r w:rsidR="00E366EE" w:rsidRPr="00E366EE">
        <w:rPr>
          <w:sz w:val="22"/>
          <w:szCs w:val="22"/>
        </w:rPr>
        <w:t xml:space="preserve">Det er behov for økt innsikt i årsakene til dette, og det er </w:t>
      </w:r>
      <w:r w:rsidRPr="00E366EE">
        <w:rPr>
          <w:sz w:val="22"/>
          <w:szCs w:val="22"/>
        </w:rPr>
        <w:t>nylig lyst ut en ekstern konkurranse for å utarbeide et bedre faktagrunnlag for videreutvikling av det teknisk-administrative støtteapparatet.</w:t>
      </w:r>
      <w:r w:rsidR="00E366EE" w:rsidRPr="00E366EE">
        <w:rPr>
          <w:sz w:val="22"/>
          <w:szCs w:val="22"/>
        </w:rPr>
        <w:t xml:space="preserve"> </w:t>
      </w:r>
    </w:p>
    <w:p w14:paraId="1C792F43" w14:textId="77777777" w:rsidR="00E366EE" w:rsidRPr="00E366EE" w:rsidRDefault="00E366EE" w:rsidP="00824A50">
      <w:pPr>
        <w:rPr>
          <w:sz w:val="22"/>
          <w:szCs w:val="22"/>
        </w:rPr>
      </w:pPr>
    </w:p>
    <w:p w14:paraId="7016DD1A" w14:textId="77777777" w:rsidR="00824A50" w:rsidRPr="004965A3" w:rsidRDefault="00E366EE" w:rsidP="00824A50">
      <w:pPr>
        <w:rPr>
          <w:sz w:val="22"/>
          <w:szCs w:val="22"/>
        </w:rPr>
      </w:pPr>
      <w:r w:rsidRPr="004965A3">
        <w:rPr>
          <w:sz w:val="22"/>
          <w:szCs w:val="22"/>
        </w:rPr>
        <w:t>De nærmeste årene legges det til rette for et ekstra løft i utviklingen av det administrative støtteapparatet og utviklingen av digitale løsninger både for primær-virksomheten og støttetjenester</w:t>
      </w:r>
    </w:p>
    <w:p w14:paraId="382D1E64" w14:textId="77777777" w:rsidR="00824A50" w:rsidRPr="004965A3" w:rsidRDefault="00824A50" w:rsidP="00AF1641">
      <w:pPr>
        <w:rPr>
          <w:sz w:val="22"/>
          <w:szCs w:val="22"/>
        </w:rPr>
      </w:pPr>
    </w:p>
    <w:p w14:paraId="35F3A431" w14:textId="77777777" w:rsidR="005F5B9B" w:rsidRPr="004965A3" w:rsidRDefault="005F5B9B" w:rsidP="005F5B9B">
      <w:pPr>
        <w:pStyle w:val="ListParagraph"/>
        <w:numPr>
          <w:ilvl w:val="0"/>
          <w:numId w:val="11"/>
        </w:numPr>
        <w:spacing w:after="60"/>
        <w:ind w:right="85"/>
        <w:rPr>
          <w:sz w:val="22"/>
          <w:szCs w:val="22"/>
        </w:rPr>
      </w:pPr>
      <w:r w:rsidRPr="004965A3">
        <w:rPr>
          <w:i/>
          <w:sz w:val="22"/>
          <w:szCs w:val="22"/>
        </w:rPr>
        <w:t>Politikk og utviklingsplan for digitalisering og prosessutvikling</w:t>
      </w:r>
      <w:r w:rsidRPr="004965A3">
        <w:rPr>
          <w:sz w:val="22"/>
          <w:szCs w:val="22"/>
        </w:rPr>
        <w:t xml:space="preserve">: Utviklingsplanen er nevnt under pkt. 3.4 men er også svært viktig i arbeidet med å effektivisere og modernisere støttefunksjonene. Gjennom arbeid med </w:t>
      </w:r>
      <w:r w:rsidR="00F449AF" w:rsidRPr="004965A3">
        <w:rPr>
          <w:sz w:val="22"/>
          <w:szCs w:val="22"/>
        </w:rPr>
        <w:t xml:space="preserve">å avklare tjenestetilbudet fra ulike nivå, </w:t>
      </w:r>
      <w:r w:rsidRPr="004965A3">
        <w:rPr>
          <w:sz w:val="22"/>
          <w:szCs w:val="22"/>
        </w:rPr>
        <w:t xml:space="preserve">prosessutvikling og nye digitale løsninger forventes endringer i både arbeidsprosesser, </w:t>
      </w:r>
      <w:r w:rsidR="00E94798" w:rsidRPr="004965A3">
        <w:rPr>
          <w:sz w:val="22"/>
          <w:szCs w:val="22"/>
        </w:rPr>
        <w:t xml:space="preserve">oppgavefordeling, </w:t>
      </w:r>
      <w:r w:rsidRPr="004965A3">
        <w:rPr>
          <w:sz w:val="22"/>
          <w:szCs w:val="22"/>
        </w:rPr>
        <w:t xml:space="preserve">arbeidsmetodikk, verktøy, kompetansekrav </w:t>
      </w:r>
      <w:r w:rsidR="00E94798" w:rsidRPr="004965A3">
        <w:rPr>
          <w:sz w:val="22"/>
          <w:szCs w:val="22"/>
        </w:rPr>
        <w:t>m.m.</w:t>
      </w:r>
      <w:r w:rsidRPr="004965A3">
        <w:rPr>
          <w:sz w:val="22"/>
          <w:szCs w:val="22"/>
        </w:rPr>
        <w:t xml:space="preserve"> </w:t>
      </w:r>
    </w:p>
    <w:p w14:paraId="5EEEB8AD" w14:textId="77777777" w:rsidR="00E366EE" w:rsidRPr="004965A3" w:rsidRDefault="00E366EE" w:rsidP="00801F7F">
      <w:pPr>
        <w:pStyle w:val="ListParagraph"/>
        <w:numPr>
          <w:ilvl w:val="0"/>
          <w:numId w:val="11"/>
        </w:numPr>
        <w:rPr>
          <w:sz w:val="22"/>
          <w:szCs w:val="22"/>
        </w:rPr>
      </w:pPr>
      <w:r w:rsidRPr="004965A3">
        <w:rPr>
          <w:i/>
          <w:sz w:val="22"/>
          <w:szCs w:val="22"/>
        </w:rPr>
        <w:t>Utviklingsplan for le</w:t>
      </w:r>
      <w:r w:rsidR="00B435F7" w:rsidRPr="004965A3">
        <w:rPr>
          <w:i/>
          <w:sz w:val="22"/>
          <w:szCs w:val="22"/>
        </w:rPr>
        <w:t>delses- og kompetanseutvikling</w:t>
      </w:r>
      <w:r w:rsidRPr="004965A3">
        <w:rPr>
          <w:i/>
          <w:sz w:val="22"/>
          <w:szCs w:val="22"/>
        </w:rPr>
        <w:t>:</w:t>
      </w:r>
      <w:r w:rsidRPr="004965A3">
        <w:rPr>
          <w:sz w:val="22"/>
          <w:szCs w:val="22"/>
        </w:rPr>
        <w:t xml:space="preserve"> </w:t>
      </w:r>
      <w:r w:rsidR="00B435F7" w:rsidRPr="004965A3">
        <w:rPr>
          <w:sz w:val="22"/>
          <w:szCs w:val="22"/>
        </w:rPr>
        <w:t xml:space="preserve">Utviklingsplanen er omtalt under pkt. 3.1 men er også svært viktig i arbeidet med å effektivisere og modernisere støttefunksjonene. </w:t>
      </w:r>
      <w:r w:rsidR="00573127" w:rsidRPr="004965A3">
        <w:rPr>
          <w:sz w:val="22"/>
          <w:szCs w:val="22"/>
        </w:rPr>
        <w:t xml:space="preserve">Strategien stiller store krav til god ledelse og lederstøtte på alle nivåer. </w:t>
      </w:r>
      <w:r w:rsidRPr="004965A3">
        <w:rPr>
          <w:sz w:val="22"/>
          <w:szCs w:val="22"/>
        </w:rPr>
        <w:t>Utviklingsplanen som skal svare ut et behov systematisering av arbeidet med kompetanseutvikling, utvikle metodikk for mer erfaringsutveksling og læring på tvers i organisasjonen, samt utvikle konkrete tiltak for ledere og ansatte innen områder som lederutvikling, prosjektledelse, kompetanse i bruk av moderne kommunikasjonsmetoder og samhandlingsverktøy, samt mer fagspesifikk administrativ kompetanse etc.</w:t>
      </w:r>
    </w:p>
    <w:p w14:paraId="072FACA1" w14:textId="735F0124" w:rsidR="00E366EE" w:rsidRPr="004965A3" w:rsidRDefault="00E366EE" w:rsidP="00801F7F">
      <w:pPr>
        <w:pStyle w:val="ListParagraph"/>
        <w:numPr>
          <w:ilvl w:val="0"/>
          <w:numId w:val="11"/>
        </w:numPr>
        <w:spacing w:after="60"/>
        <w:ind w:right="85"/>
        <w:rPr>
          <w:sz w:val="22"/>
          <w:szCs w:val="22"/>
        </w:rPr>
      </w:pPr>
      <w:r w:rsidRPr="004965A3">
        <w:rPr>
          <w:i/>
          <w:sz w:val="22"/>
          <w:szCs w:val="22"/>
        </w:rPr>
        <w:t>Utviklingsplan for systematisk beslutningsstøtte</w:t>
      </w:r>
      <w:r w:rsidR="00F449AF" w:rsidRPr="004965A3">
        <w:rPr>
          <w:i/>
          <w:sz w:val="22"/>
          <w:szCs w:val="22"/>
        </w:rPr>
        <w:t xml:space="preserve"> og langtidsplanlegging</w:t>
      </w:r>
      <w:r w:rsidRPr="004965A3">
        <w:rPr>
          <w:i/>
          <w:sz w:val="22"/>
          <w:szCs w:val="22"/>
        </w:rPr>
        <w:t>:</w:t>
      </w:r>
      <w:r w:rsidRPr="004965A3">
        <w:rPr>
          <w:sz w:val="22"/>
          <w:szCs w:val="22"/>
        </w:rPr>
        <w:t xml:space="preserve"> </w:t>
      </w:r>
      <w:r w:rsidR="00467E0C" w:rsidRPr="004965A3">
        <w:rPr>
          <w:sz w:val="22"/>
          <w:szCs w:val="22"/>
        </w:rPr>
        <w:t>Utviklingsplanen fungerer som p</w:t>
      </w:r>
      <w:r w:rsidRPr="004965A3">
        <w:rPr>
          <w:sz w:val="22"/>
          <w:szCs w:val="22"/>
        </w:rPr>
        <w:t>araply for pågående initiativ</w:t>
      </w:r>
      <w:r w:rsidR="00467E0C" w:rsidRPr="004965A3">
        <w:rPr>
          <w:sz w:val="22"/>
          <w:szCs w:val="22"/>
        </w:rPr>
        <w:t xml:space="preserve"> innen arbeid med </w:t>
      </w:r>
      <w:r w:rsidRPr="004965A3">
        <w:rPr>
          <w:sz w:val="22"/>
          <w:szCs w:val="22"/>
        </w:rPr>
        <w:t>helhetlig internkontroll</w:t>
      </w:r>
      <w:r w:rsidR="00467E0C" w:rsidRPr="004965A3">
        <w:rPr>
          <w:sz w:val="22"/>
          <w:szCs w:val="22"/>
        </w:rPr>
        <w:t xml:space="preserve"> og en ny, digitalisert prosess for </w:t>
      </w:r>
      <w:r w:rsidR="00A66D56" w:rsidRPr="004965A3">
        <w:rPr>
          <w:sz w:val="22"/>
          <w:szCs w:val="22"/>
        </w:rPr>
        <w:t>gjennomføring</w:t>
      </w:r>
      <w:r w:rsidR="00467E0C" w:rsidRPr="004965A3">
        <w:rPr>
          <w:sz w:val="22"/>
          <w:szCs w:val="22"/>
        </w:rPr>
        <w:t xml:space="preserve"> av strategien (PBO-prosessen). </w:t>
      </w:r>
      <w:r w:rsidRPr="004965A3">
        <w:rPr>
          <w:sz w:val="22"/>
          <w:szCs w:val="22"/>
        </w:rPr>
        <w:t xml:space="preserve">Kompleksiteten i virksomheten og </w:t>
      </w:r>
      <w:r w:rsidR="0068411D">
        <w:rPr>
          <w:sz w:val="22"/>
          <w:szCs w:val="22"/>
        </w:rPr>
        <w:t xml:space="preserve">den </w:t>
      </w:r>
      <w:r w:rsidRPr="004965A3">
        <w:rPr>
          <w:sz w:val="22"/>
          <w:szCs w:val="22"/>
        </w:rPr>
        <w:t>gjensidig</w:t>
      </w:r>
      <w:r w:rsidR="0068411D">
        <w:rPr>
          <w:sz w:val="22"/>
          <w:szCs w:val="22"/>
        </w:rPr>
        <w:t>e</w:t>
      </w:r>
      <w:r w:rsidRPr="004965A3">
        <w:rPr>
          <w:sz w:val="22"/>
          <w:szCs w:val="22"/>
        </w:rPr>
        <w:t xml:space="preserve"> avhengighet</w:t>
      </w:r>
      <w:r w:rsidR="0068411D">
        <w:rPr>
          <w:sz w:val="22"/>
          <w:szCs w:val="22"/>
        </w:rPr>
        <w:t>en</w:t>
      </w:r>
      <w:r w:rsidRPr="004965A3">
        <w:rPr>
          <w:sz w:val="22"/>
          <w:szCs w:val="22"/>
        </w:rPr>
        <w:t xml:space="preserve"> på tvers av </w:t>
      </w:r>
      <w:r w:rsidR="0068411D">
        <w:rPr>
          <w:sz w:val="22"/>
          <w:szCs w:val="22"/>
        </w:rPr>
        <w:t>fag- og funksjons</w:t>
      </w:r>
      <w:r w:rsidRPr="004965A3">
        <w:rPr>
          <w:sz w:val="22"/>
          <w:szCs w:val="22"/>
        </w:rPr>
        <w:t>områder øker. Eksterne krav til sikkerhet, kontroll og dokumentasjon krever betydelig tid fra ledere og ansatte. Dette krever økt samarbeid og fordrer felles språk og rutiner. Det er viktig at forenklinger og etablering av et helhetlig internkontrollsystem fortsetter.</w:t>
      </w:r>
      <w:r w:rsidR="00573127" w:rsidRPr="004965A3">
        <w:rPr>
          <w:sz w:val="22"/>
          <w:szCs w:val="22"/>
        </w:rPr>
        <w:t xml:space="preserve"> I tillegg arbeider vi med prosess- og verktøyforbedring som skal bidra til mer helhetlig og strategisk langtidsplanlegging og –budsjettering. </w:t>
      </w:r>
      <w:r w:rsidRPr="004965A3">
        <w:rPr>
          <w:sz w:val="22"/>
          <w:szCs w:val="22"/>
        </w:rPr>
        <w:t>Vi har potensial for å tydeliggjøre det strategiske handlingsrommet, avstemme felles prioriteringer og forbedre gjennomføringsevnen.</w:t>
      </w:r>
    </w:p>
    <w:p w14:paraId="4AFE3F8E" w14:textId="77777777" w:rsidR="00F210C7" w:rsidRDefault="00F210C7" w:rsidP="00AF1641">
      <w:pPr>
        <w:rPr>
          <w:sz w:val="22"/>
          <w:szCs w:val="22"/>
        </w:rPr>
      </w:pPr>
    </w:p>
    <w:p w14:paraId="16D904BA" w14:textId="77777777" w:rsidR="00573127" w:rsidRPr="00E366EE" w:rsidRDefault="00573127" w:rsidP="00AF1641">
      <w:pPr>
        <w:rPr>
          <w:sz w:val="22"/>
          <w:szCs w:val="22"/>
        </w:rPr>
      </w:pPr>
    </w:p>
    <w:p w14:paraId="1E971AC1" w14:textId="77777777" w:rsidR="00824A50" w:rsidRPr="00E366EE" w:rsidRDefault="00824A50" w:rsidP="00824A50">
      <w:pPr>
        <w:rPr>
          <w:i/>
          <w:iCs/>
          <w:color w:val="0070C0"/>
          <w:sz w:val="22"/>
          <w:szCs w:val="22"/>
        </w:rPr>
      </w:pPr>
      <w:r w:rsidRPr="00E366EE">
        <w:rPr>
          <w:i/>
          <w:iCs/>
          <w:color w:val="0070C0"/>
          <w:sz w:val="22"/>
          <w:szCs w:val="22"/>
        </w:rPr>
        <w:t>Finansiering i 2019:</w:t>
      </w:r>
    </w:p>
    <w:p w14:paraId="25EA2705" w14:textId="77777777" w:rsidR="00824A50" w:rsidRPr="00E366EE" w:rsidRDefault="00824A50" w:rsidP="00824A50">
      <w:pPr>
        <w:rPr>
          <w:sz w:val="22"/>
          <w:szCs w:val="22"/>
        </w:rPr>
      </w:pPr>
      <w:r w:rsidRPr="00E366EE">
        <w:rPr>
          <w:sz w:val="22"/>
          <w:szCs w:val="22"/>
        </w:rPr>
        <w:t>Utvikling av fremtidens støttefunksjoner vil i stor grad finansieres over ordinære rammebudsjetter. Over SO-ramma har vi avsatt anslagsvis 27 mill.kr. til prosessforbedring og digitalisering av den administrative virksomheten.</w:t>
      </w:r>
    </w:p>
    <w:p w14:paraId="22E7BA8B" w14:textId="77777777" w:rsidR="00824A50" w:rsidRPr="00E366EE" w:rsidRDefault="00824A50" w:rsidP="00824A50">
      <w:pPr>
        <w:rPr>
          <w:sz w:val="22"/>
          <w:szCs w:val="22"/>
        </w:rPr>
      </w:pPr>
    </w:p>
    <w:p w14:paraId="2EEC242A" w14:textId="77777777" w:rsidR="00824A50" w:rsidRPr="00E366EE" w:rsidRDefault="00824A50" w:rsidP="00824A50">
      <w:pPr>
        <w:rPr>
          <w:sz w:val="22"/>
          <w:szCs w:val="22"/>
        </w:rPr>
      </w:pPr>
    </w:p>
    <w:p w14:paraId="3434258B" w14:textId="77777777" w:rsidR="00824A50" w:rsidRPr="00E366EE" w:rsidRDefault="00824A50" w:rsidP="00824A50">
      <w:pPr>
        <w:rPr>
          <w:i/>
          <w:color w:val="0070C0"/>
          <w:sz w:val="22"/>
          <w:szCs w:val="22"/>
        </w:rPr>
      </w:pPr>
      <w:r w:rsidRPr="00E366EE">
        <w:rPr>
          <w:i/>
          <w:color w:val="0070C0"/>
          <w:sz w:val="22"/>
          <w:szCs w:val="22"/>
        </w:rPr>
        <w:t>Hvordan vet vi om vi lykkes?</w:t>
      </w:r>
    </w:p>
    <w:p w14:paraId="4F910782" w14:textId="77777777" w:rsidR="00E366EE" w:rsidRPr="00E366EE" w:rsidRDefault="00E366EE" w:rsidP="00E366EE">
      <w:pPr>
        <w:spacing w:line="259" w:lineRule="auto"/>
        <w:rPr>
          <w:sz w:val="22"/>
          <w:szCs w:val="22"/>
        </w:rPr>
      </w:pPr>
      <w:r w:rsidRPr="00E366EE">
        <w:rPr>
          <w:sz w:val="22"/>
          <w:szCs w:val="22"/>
        </w:rPr>
        <w:t xml:space="preserve">Vi vil følge med på balansen mellom støtteapparat og kjernevirksomhet gjennom bruk av forholdstall. </w:t>
      </w:r>
    </w:p>
    <w:p w14:paraId="09D9E10B" w14:textId="77777777" w:rsidR="00F33A60" w:rsidRDefault="00E366EE" w:rsidP="00824A50">
      <w:pPr>
        <w:spacing w:line="259" w:lineRule="auto"/>
        <w:rPr>
          <w:sz w:val="22"/>
          <w:szCs w:val="22"/>
        </w:rPr>
      </w:pPr>
      <w:r w:rsidRPr="00E366EE">
        <w:rPr>
          <w:sz w:val="22"/>
          <w:szCs w:val="22"/>
        </w:rPr>
        <w:t>For øvrig er e</w:t>
      </w:r>
      <w:r w:rsidR="00824A50" w:rsidRPr="00E366EE">
        <w:rPr>
          <w:sz w:val="22"/>
          <w:szCs w:val="22"/>
        </w:rPr>
        <w:t xml:space="preserve">ffektene av dette forbedringsarbeidet langsiktige. Innen dette området vil vi benytte kvalitativ rapportering for å vurdere resultatoppnåelsen. Systematikk for arbeid med dokumentasjon av gevinster og gevinstrealisering av digitaliseringsprosjekter er under </w:t>
      </w:r>
      <w:r w:rsidR="001B7949">
        <w:rPr>
          <w:sz w:val="22"/>
          <w:szCs w:val="22"/>
        </w:rPr>
        <w:t>utvikling</w:t>
      </w:r>
      <w:r w:rsidR="00824A50" w:rsidRPr="00E366EE">
        <w:rPr>
          <w:sz w:val="22"/>
          <w:szCs w:val="22"/>
        </w:rPr>
        <w:t>.</w:t>
      </w:r>
    </w:p>
    <w:p w14:paraId="069B1C2C" w14:textId="77777777" w:rsidR="006316F0" w:rsidRDefault="006316F0">
      <w:pPr>
        <w:rPr>
          <w:sz w:val="22"/>
          <w:szCs w:val="22"/>
        </w:rPr>
      </w:pPr>
    </w:p>
    <w:p w14:paraId="079467CE" w14:textId="77777777" w:rsidR="006316F0" w:rsidRDefault="006316F0">
      <w:pPr>
        <w:rPr>
          <w:sz w:val="22"/>
          <w:szCs w:val="22"/>
        </w:rPr>
      </w:pPr>
    </w:p>
    <w:p w14:paraId="635EF691" w14:textId="77777777" w:rsidR="006316F0" w:rsidRDefault="006316F0">
      <w:pPr>
        <w:rPr>
          <w:sz w:val="22"/>
          <w:szCs w:val="22"/>
        </w:rPr>
      </w:pPr>
    </w:p>
    <w:p w14:paraId="4D260360" w14:textId="77777777" w:rsidR="00F33A60" w:rsidRDefault="00F33A60">
      <w:pPr>
        <w:rPr>
          <w:sz w:val="22"/>
          <w:szCs w:val="22"/>
        </w:rPr>
      </w:pPr>
    </w:p>
    <w:p w14:paraId="465C4687" w14:textId="77777777" w:rsidR="00B44A4B" w:rsidRPr="0008564C" w:rsidRDefault="00B44A4B" w:rsidP="00BF7B9E">
      <w:pPr>
        <w:pStyle w:val="Heading1"/>
      </w:pPr>
      <w:r>
        <w:t>Strategiske indikatorer</w:t>
      </w:r>
    </w:p>
    <w:p w14:paraId="5D0A7BEA" w14:textId="77777777" w:rsidR="005033DC" w:rsidRPr="00AE0C57" w:rsidRDefault="005033DC">
      <w:pPr>
        <w:rPr>
          <w:sz w:val="22"/>
        </w:rPr>
      </w:pPr>
    </w:p>
    <w:p w14:paraId="764095CC" w14:textId="77777777" w:rsidR="006316F0" w:rsidRDefault="001B7949">
      <w:pPr>
        <w:rPr>
          <w:sz w:val="22"/>
        </w:rPr>
      </w:pPr>
      <w:r>
        <w:rPr>
          <w:sz w:val="22"/>
        </w:rPr>
        <w:t>For å følge opp strategien har</w:t>
      </w:r>
      <w:r w:rsidR="00AA2D88" w:rsidRPr="00AE0C57">
        <w:rPr>
          <w:sz w:val="22"/>
        </w:rPr>
        <w:t xml:space="preserve"> </w:t>
      </w:r>
      <w:r>
        <w:rPr>
          <w:sz w:val="22"/>
        </w:rPr>
        <w:t xml:space="preserve">vi </w:t>
      </w:r>
      <w:r w:rsidR="00AA2D88" w:rsidRPr="00AE0C57">
        <w:rPr>
          <w:sz w:val="22"/>
        </w:rPr>
        <w:t xml:space="preserve">behov for å utarbeide egne </w:t>
      </w:r>
      <w:r>
        <w:rPr>
          <w:sz w:val="22"/>
        </w:rPr>
        <w:t>NTNU-</w:t>
      </w:r>
      <w:r w:rsidR="00AA2D88" w:rsidRPr="00AE0C57">
        <w:rPr>
          <w:sz w:val="22"/>
        </w:rPr>
        <w:t xml:space="preserve">indikatorer </w:t>
      </w:r>
      <w:r>
        <w:rPr>
          <w:sz w:val="22"/>
        </w:rPr>
        <w:t>(blå skrift i tabellen</w:t>
      </w:r>
      <w:r w:rsidR="006316F0">
        <w:rPr>
          <w:sz w:val="22"/>
        </w:rPr>
        <w:t xml:space="preserve"> på neste side</w:t>
      </w:r>
      <w:r>
        <w:rPr>
          <w:sz w:val="22"/>
        </w:rPr>
        <w:t xml:space="preserve">) </w:t>
      </w:r>
      <w:r w:rsidR="00AA2D88" w:rsidRPr="00AE0C57">
        <w:rPr>
          <w:sz w:val="22"/>
        </w:rPr>
        <w:t>som supplement til KDs styringsparametere</w:t>
      </w:r>
      <w:r>
        <w:rPr>
          <w:sz w:val="22"/>
        </w:rPr>
        <w:t xml:space="preserve"> (svart skrift)</w:t>
      </w:r>
      <w:r w:rsidR="00AA2D88" w:rsidRPr="00AE0C57">
        <w:rPr>
          <w:sz w:val="22"/>
        </w:rPr>
        <w:t xml:space="preserve">. </w:t>
      </w:r>
    </w:p>
    <w:p w14:paraId="26BFB27D" w14:textId="77777777" w:rsidR="006316F0" w:rsidRDefault="006316F0">
      <w:pPr>
        <w:rPr>
          <w:sz w:val="22"/>
        </w:rPr>
      </w:pPr>
    </w:p>
    <w:p w14:paraId="232F3729" w14:textId="77777777" w:rsidR="006316F0" w:rsidRDefault="00AC6D15">
      <w:pPr>
        <w:rPr>
          <w:sz w:val="22"/>
          <w:szCs w:val="22"/>
        </w:rPr>
      </w:pPr>
      <w:r>
        <w:rPr>
          <w:sz w:val="22"/>
        </w:rPr>
        <w:t>Indikatorene er n</w:t>
      </w:r>
      <w:r w:rsidR="009958EC" w:rsidRPr="00AE0C57">
        <w:rPr>
          <w:sz w:val="22"/>
        </w:rPr>
        <w:t xml:space="preserve">økkeltall som hjelper oss å følge endringsarbeidet vi iverksetter for å realisere strategien. </w:t>
      </w:r>
      <w:r>
        <w:rPr>
          <w:sz w:val="22"/>
        </w:rPr>
        <w:t>De</w:t>
      </w:r>
      <w:r w:rsidR="00AA2D88" w:rsidRPr="00AE0C57">
        <w:rPr>
          <w:sz w:val="22"/>
        </w:rPr>
        <w:t xml:space="preserve"> skal ikke gi et komplett bilde av resultatutviklingen for NTNU, men gi styringsinformasjon </w:t>
      </w:r>
      <w:r w:rsidR="008B3BB0">
        <w:rPr>
          <w:sz w:val="22"/>
        </w:rPr>
        <w:t xml:space="preserve">på </w:t>
      </w:r>
      <w:r w:rsidR="00AA2D88" w:rsidRPr="00AE0C57">
        <w:rPr>
          <w:sz w:val="22"/>
        </w:rPr>
        <w:t>områder der vi vil være særlig opptatt av resultatforbedringer</w:t>
      </w:r>
      <w:r w:rsidR="00E30564" w:rsidRPr="00AE0C57">
        <w:rPr>
          <w:sz w:val="22"/>
        </w:rPr>
        <w:t>.</w:t>
      </w:r>
      <w:r>
        <w:rPr>
          <w:sz w:val="22"/>
        </w:rPr>
        <w:t xml:space="preserve"> </w:t>
      </w:r>
      <w:r w:rsidR="009958EC" w:rsidRPr="0039772E">
        <w:rPr>
          <w:sz w:val="22"/>
          <w:szCs w:val="22"/>
        </w:rPr>
        <w:t xml:space="preserve">Styringsparameterne og indikatorene er kvantitative og blir </w:t>
      </w:r>
      <w:r w:rsidR="009958EC" w:rsidRPr="00AE0C57">
        <w:rPr>
          <w:sz w:val="22"/>
        </w:rPr>
        <w:t>vil i pra</w:t>
      </w:r>
      <w:r w:rsidR="009958EC">
        <w:rPr>
          <w:sz w:val="22"/>
        </w:rPr>
        <w:t>ksis fremstilles som en helhet</w:t>
      </w:r>
      <w:r w:rsidR="009958EC" w:rsidRPr="0039772E">
        <w:rPr>
          <w:sz w:val="22"/>
          <w:szCs w:val="22"/>
        </w:rPr>
        <w:t xml:space="preserve"> gjennom BEVISST virksomhetsstyringssy</w:t>
      </w:r>
      <w:r w:rsidR="009958EC">
        <w:rPr>
          <w:sz w:val="22"/>
          <w:szCs w:val="22"/>
        </w:rPr>
        <w:t>s</w:t>
      </w:r>
      <w:r w:rsidR="009958EC" w:rsidRPr="0039772E">
        <w:rPr>
          <w:sz w:val="22"/>
          <w:szCs w:val="22"/>
        </w:rPr>
        <w:t>tem.</w:t>
      </w:r>
      <w:r>
        <w:rPr>
          <w:sz w:val="22"/>
          <w:szCs w:val="22"/>
        </w:rPr>
        <w:t xml:space="preserve"> </w:t>
      </w:r>
    </w:p>
    <w:p w14:paraId="6563D9E3" w14:textId="77777777" w:rsidR="006316F0" w:rsidRDefault="006316F0">
      <w:pPr>
        <w:rPr>
          <w:sz w:val="22"/>
          <w:szCs w:val="22"/>
        </w:rPr>
      </w:pPr>
    </w:p>
    <w:p w14:paraId="42AAC9EF" w14:textId="77777777" w:rsidR="006316F0" w:rsidRDefault="006316F0">
      <w:pPr>
        <w:rPr>
          <w:sz w:val="22"/>
          <w:szCs w:val="22"/>
        </w:rPr>
      </w:pPr>
      <w:r>
        <w:rPr>
          <w:sz w:val="22"/>
          <w:szCs w:val="22"/>
        </w:rPr>
        <w:t xml:space="preserve">Indikatorene </w:t>
      </w:r>
      <w:r w:rsidR="00AC6D15">
        <w:rPr>
          <w:sz w:val="22"/>
          <w:szCs w:val="22"/>
        </w:rPr>
        <w:t xml:space="preserve">må for øvrig ses i sammenheng med </w:t>
      </w:r>
      <w:r w:rsidR="001B7949">
        <w:rPr>
          <w:sz w:val="22"/>
          <w:szCs w:val="22"/>
        </w:rPr>
        <w:t xml:space="preserve">annen </w:t>
      </w:r>
      <w:r w:rsidR="00AC6D15">
        <w:rPr>
          <w:sz w:val="22"/>
          <w:szCs w:val="22"/>
        </w:rPr>
        <w:t>styringsinformasjon og analyser som følger av årshjulet.</w:t>
      </w:r>
      <w:r>
        <w:rPr>
          <w:sz w:val="22"/>
          <w:szCs w:val="22"/>
        </w:rPr>
        <w:t xml:space="preserve"> Det tas sikte på å etablere et tydeligere årshjul for bruk av ulike typer styringsdata gjennom året, som igjen ses i sammenheng med den tertialvise rapporteringen til styret.</w:t>
      </w:r>
    </w:p>
    <w:p w14:paraId="2D11A1F4" w14:textId="77777777" w:rsidR="006316F0" w:rsidRDefault="006316F0">
      <w:pPr>
        <w:rPr>
          <w:sz w:val="22"/>
          <w:szCs w:val="22"/>
        </w:rPr>
      </w:pPr>
      <w:r>
        <w:rPr>
          <w:sz w:val="22"/>
          <w:szCs w:val="22"/>
        </w:rPr>
        <w:br w:type="page"/>
      </w:r>
    </w:p>
    <w:p w14:paraId="187ED619" w14:textId="77777777" w:rsidR="009958EC" w:rsidRDefault="009958EC">
      <w:pPr>
        <w:rPr>
          <w:sz w:val="22"/>
        </w:rPr>
      </w:pPr>
    </w:p>
    <w:tbl>
      <w:tblPr>
        <w:tblStyle w:val="GridTable4"/>
        <w:tblW w:w="0" w:type="auto"/>
        <w:tblLook w:val="0420" w:firstRow="1" w:lastRow="0" w:firstColumn="0" w:lastColumn="0" w:noHBand="0" w:noVBand="1"/>
      </w:tblPr>
      <w:tblGrid>
        <w:gridCol w:w="5807"/>
        <w:gridCol w:w="992"/>
        <w:gridCol w:w="3000"/>
      </w:tblGrid>
      <w:tr w:rsidR="005033DC" w:rsidRPr="00405B57" w14:paraId="622E9982" w14:textId="77777777" w:rsidTr="00823277">
        <w:trPr>
          <w:cnfStyle w:val="100000000000" w:firstRow="1" w:lastRow="0" w:firstColumn="0" w:lastColumn="0" w:oddVBand="0" w:evenVBand="0" w:oddHBand="0" w:evenHBand="0" w:firstRowFirstColumn="0" w:firstRowLastColumn="0" w:lastRowFirstColumn="0" w:lastRowLastColumn="0"/>
        </w:trPr>
        <w:tc>
          <w:tcPr>
            <w:tcW w:w="5807" w:type="dxa"/>
          </w:tcPr>
          <w:p w14:paraId="54E8495C" w14:textId="77777777" w:rsidR="005033DC" w:rsidRPr="00823277" w:rsidRDefault="00405B57" w:rsidP="006316F0">
            <w:pPr>
              <w:spacing w:after="40"/>
              <w:rPr>
                <w:b w:val="0"/>
                <w:sz w:val="22"/>
                <w:szCs w:val="22"/>
              </w:rPr>
            </w:pPr>
            <w:r w:rsidRPr="00823277">
              <w:rPr>
                <w:b w:val="0"/>
                <w:sz w:val="22"/>
                <w:szCs w:val="22"/>
              </w:rPr>
              <w:t>Styringsparameter/indikator</w:t>
            </w:r>
          </w:p>
        </w:tc>
        <w:tc>
          <w:tcPr>
            <w:tcW w:w="992" w:type="dxa"/>
          </w:tcPr>
          <w:p w14:paraId="6E5324D0" w14:textId="77777777" w:rsidR="005033DC" w:rsidRPr="00823277" w:rsidRDefault="00405B57" w:rsidP="006316F0">
            <w:pPr>
              <w:spacing w:after="40"/>
              <w:rPr>
                <w:b w:val="0"/>
                <w:sz w:val="22"/>
                <w:szCs w:val="22"/>
              </w:rPr>
            </w:pPr>
            <w:r w:rsidRPr="00823277">
              <w:rPr>
                <w:b w:val="0"/>
                <w:sz w:val="22"/>
                <w:szCs w:val="22"/>
              </w:rPr>
              <w:t>Eier</w:t>
            </w:r>
          </w:p>
        </w:tc>
        <w:tc>
          <w:tcPr>
            <w:tcW w:w="3000" w:type="dxa"/>
          </w:tcPr>
          <w:p w14:paraId="06B829F7" w14:textId="77777777" w:rsidR="005033DC" w:rsidRPr="00823277" w:rsidRDefault="00405B57" w:rsidP="006316F0">
            <w:pPr>
              <w:spacing w:after="40"/>
              <w:rPr>
                <w:b w:val="0"/>
                <w:sz w:val="22"/>
                <w:szCs w:val="22"/>
              </w:rPr>
            </w:pPr>
            <w:r w:rsidRPr="00823277">
              <w:rPr>
                <w:b w:val="0"/>
                <w:sz w:val="22"/>
                <w:szCs w:val="22"/>
              </w:rPr>
              <w:t>Hva den indikerer</w:t>
            </w:r>
          </w:p>
        </w:tc>
      </w:tr>
      <w:tr w:rsidR="005033DC" w14:paraId="33BCDFAF"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30C3F395" w14:textId="77777777" w:rsidR="005033DC" w:rsidRPr="00823277" w:rsidRDefault="00405B57" w:rsidP="006316F0">
            <w:pPr>
              <w:spacing w:after="40"/>
              <w:ind w:right="85"/>
              <w:rPr>
                <w:sz w:val="22"/>
                <w:szCs w:val="22"/>
              </w:rPr>
            </w:pPr>
            <w:r w:rsidRPr="00823277">
              <w:rPr>
                <w:sz w:val="22"/>
                <w:szCs w:val="22"/>
              </w:rPr>
              <w:t>Andel studenter på bachelorutdanning som gjennomførte på normert tid (%)</w:t>
            </w:r>
          </w:p>
        </w:tc>
        <w:tc>
          <w:tcPr>
            <w:tcW w:w="992" w:type="dxa"/>
          </w:tcPr>
          <w:p w14:paraId="68646F6C" w14:textId="77777777" w:rsidR="005033DC" w:rsidRPr="00823277" w:rsidRDefault="00405B57" w:rsidP="006316F0">
            <w:pPr>
              <w:spacing w:after="40"/>
              <w:rPr>
                <w:sz w:val="22"/>
                <w:szCs w:val="22"/>
              </w:rPr>
            </w:pPr>
            <w:r w:rsidRPr="00823277">
              <w:rPr>
                <w:sz w:val="22"/>
                <w:szCs w:val="22"/>
              </w:rPr>
              <w:t>KD</w:t>
            </w:r>
          </w:p>
        </w:tc>
        <w:tc>
          <w:tcPr>
            <w:tcW w:w="3000" w:type="dxa"/>
          </w:tcPr>
          <w:p w14:paraId="70136955" w14:textId="77777777" w:rsidR="005033DC" w:rsidRPr="00823277" w:rsidRDefault="00405B57" w:rsidP="006316F0">
            <w:pPr>
              <w:spacing w:after="40"/>
              <w:rPr>
                <w:sz w:val="22"/>
                <w:szCs w:val="22"/>
              </w:rPr>
            </w:pPr>
            <w:r w:rsidRPr="00823277">
              <w:rPr>
                <w:sz w:val="22"/>
                <w:szCs w:val="22"/>
              </w:rPr>
              <w:t>Kvalitet i utdanning</w:t>
            </w:r>
          </w:p>
        </w:tc>
      </w:tr>
      <w:tr w:rsidR="005033DC" w14:paraId="50D678FA" w14:textId="77777777" w:rsidTr="00823277">
        <w:tc>
          <w:tcPr>
            <w:tcW w:w="5807" w:type="dxa"/>
          </w:tcPr>
          <w:p w14:paraId="6FDE1583" w14:textId="77777777" w:rsidR="005033DC" w:rsidRPr="00823277" w:rsidRDefault="00405B57" w:rsidP="006316F0">
            <w:pPr>
              <w:spacing w:after="40"/>
              <w:rPr>
                <w:sz w:val="22"/>
                <w:szCs w:val="22"/>
              </w:rPr>
            </w:pPr>
            <w:r w:rsidRPr="00823277">
              <w:rPr>
                <w:sz w:val="22"/>
                <w:szCs w:val="22"/>
              </w:rPr>
              <w:t>Andel studenter på 2-årig masterutdanning som gjennomførte på normert tid (%)</w:t>
            </w:r>
          </w:p>
        </w:tc>
        <w:tc>
          <w:tcPr>
            <w:tcW w:w="992" w:type="dxa"/>
          </w:tcPr>
          <w:p w14:paraId="35EC33BC" w14:textId="77777777" w:rsidR="005033DC" w:rsidRPr="00823277" w:rsidRDefault="00405B57" w:rsidP="006316F0">
            <w:pPr>
              <w:spacing w:after="40"/>
              <w:rPr>
                <w:sz w:val="22"/>
                <w:szCs w:val="22"/>
              </w:rPr>
            </w:pPr>
            <w:r w:rsidRPr="00823277">
              <w:rPr>
                <w:sz w:val="22"/>
                <w:szCs w:val="22"/>
              </w:rPr>
              <w:t>KD</w:t>
            </w:r>
          </w:p>
        </w:tc>
        <w:tc>
          <w:tcPr>
            <w:tcW w:w="3000" w:type="dxa"/>
          </w:tcPr>
          <w:p w14:paraId="41897190" w14:textId="77777777" w:rsidR="005033DC" w:rsidRPr="00823277" w:rsidRDefault="00405B57" w:rsidP="006316F0">
            <w:pPr>
              <w:spacing w:after="40"/>
              <w:rPr>
                <w:sz w:val="22"/>
                <w:szCs w:val="22"/>
              </w:rPr>
            </w:pPr>
            <w:r w:rsidRPr="00823277">
              <w:rPr>
                <w:sz w:val="22"/>
                <w:szCs w:val="22"/>
              </w:rPr>
              <w:t>Kvalitet i utdanning</w:t>
            </w:r>
          </w:p>
        </w:tc>
      </w:tr>
      <w:tr w:rsidR="005033DC" w14:paraId="4B2324D6"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4EEBFC97" w14:textId="73179ACB" w:rsidR="005033DC" w:rsidRPr="00BA6E05" w:rsidRDefault="00405B57" w:rsidP="000003CF">
            <w:pPr>
              <w:spacing w:after="40"/>
              <w:rPr>
                <w:color w:val="0070C0"/>
                <w:sz w:val="22"/>
                <w:szCs w:val="22"/>
              </w:rPr>
            </w:pPr>
            <w:r w:rsidRPr="00BA6E05">
              <w:rPr>
                <w:color w:val="0070C0"/>
                <w:sz w:val="22"/>
                <w:szCs w:val="22"/>
              </w:rPr>
              <w:t>Andel studenter på 5-</w:t>
            </w:r>
            <w:r w:rsidR="000003CF">
              <w:rPr>
                <w:color w:val="0070C0"/>
                <w:sz w:val="22"/>
                <w:szCs w:val="22"/>
              </w:rPr>
              <w:t xml:space="preserve"> og 6-årig </w:t>
            </w:r>
            <w:r w:rsidRPr="00BA6E05">
              <w:rPr>
                <w:color w:val="0070C0"/>
                <w:sz w:val="22"/>
                <w:szCs w:val="22"/>
              </w:rPr>
              <w:t>integrert master og profesjon som gjennomførte på normert tid (%)</w:t>
            </w:r>
          </w:p>
        </w:tc>
        <w:tc>
          <w:tcPr>
            <w:tcW w:w="992" w:type="dxa"/>
          </w:tcPr>
          <w:p w14:paraId="4E460AAA" w14:textId="77777777" w:rsidR="005033DC" w:rsidRPr="00BA6E05" w:rsidRDefault="00405B57" w:rsidP="006316F0">
            <w:pPr>
              <w:spacing w:after="40"/>
              <w:rPr>
                <w:color w:val="0070C0"/>
                <w:sz w:val="22"/>
                <w:szCs w:val="22"/>
              </w:rPr>
            </w:pPr>
            <w:r w:rsidRPr="00BA6E05">
              <w:rPr>
                <w:color w:val="0070C0"/>
                <w:sz w:val="22"/>
                <w:szCs w:val="22"/>
              </w:rPr>
              <w:t>NTNU</w:t>
            </w:r>
          </w:p>
        </w:tc>
        <w:tc>
          <w:tcPr>
            <w:tcW w:w="3000" w:type="dxa"/>
          </w:tcPr>
          <w:p w14:paraId="7014057B" w14:textId="77777777" w:rsidR="005033DC" w:rsidRPr="00BA6E05" w:rsidRDefault="00405B57" w:rsidP="006316F0">
            <w:pPr>
              <w:spacing w:after="40"/>
              <w:rPr>
                <w:color w:val="0070C0"/>
                <w:sz w:val="22"/>
                <w:szCs w:val="22"/>
              </w:rPr>
            </w:pPr>
            <w:r w:rsidRPr="00BA6E05">
              <w:rPr>
                <w:color w:val="0070C0"/>
                <w:sz w:val="22"/>
                <w:szCs w:val="22"/>
              </w:rPr>
              <w:t>Kvalitet i utdanning</w:t>
            </w:r>
          </w:p>
        </w:tc>
      </w:tr>
      <w:tr w:rsidR="00387469" w14:paraId="0A78B84C" w14:textId="77777777" w:rsidTr="00823277">
        <w:tc>
          <w:tcPr>
            <w:tcW w:w="5807" w:type="dxa"/>
          </w:tcPr>
          <w:p w14:paraId="1E4907FA" w14:textId="77777777" w:rsidR="00387469" w:rsidRPr="00823277" w:rsidRDefault="00387469" w:rsidP="006316F0">
            <w:pPr>
              <w:spacing w:after="40"/>
              <w:rPr>
                <w:sz w:val="22"/>
                <w:szCs w:val="22"/>
              </w:rPr>
            </w:pPr>
            <w:r w:rsidRPr="00823277">
              <w:rPr>
                <w:sz w:val="22"/>
                <w:szCs w:val="22"/>
              </w:rPr>
              <w:t>Faglig tidsbruk (timer) per uke blant heltidsstudenter</w:t>
            </w:r>
          </w:p>
        </w:tc>
        <w:tc>
          <w:tcPr>
            <w:tcW w:w="992" w:type="dxa"/>
          </w:tcPr>
          <w:p w14:paraId="72C3BA50" w14:textId="77777777" w:rsidR="00387469" w:rsidRPr="00823277" w:rsidRDefault="00387469" w:rsidP="006316F0">
            <w:pPr>
              <w:spacing w:after="40"/>
              <w:rPr>
                <w:sz w:val="22"/>
                <w:szCs w:val="22"/>
              </w:rPr>
            </w:pPr>
            <w:r w:rsidRPr="00823277">
              <w:rPr>
                <w:sz w:val="22"/>
                <w:szCs w:val="22"/>
              </w:rPr>
              <w:t>KD</w:t>
            </w:r>
          </w:p>
        </w:tc>
        <w:tc>
          <w:tcPr>
            <w:tcW w:w="3000" w:type="dxa"/>
          </w:tcPr>
          <w:p w14:paraId="59CF8D9D" w14:textId="77777777" w:rsidR="00387469" w:rsidRPr="00823277" w:rsidRDefault="00387469" w:rsidP="006316F0">
            <w:pPr>
              <w:spacing w:after="40"/>
              <w:rPr>
                <w:sz w:val="22"/>
                <w:szCs w:val="22"/>
              </w:rPr>
            </w:pPr>
            <w:r w:rsidRPr="00823277">
              <w:rPr>
                <w:sz w:val="22"/>
                <w:szCs w:val="22"/>
              </w:rPr>
              <w:t>Kvalitet i utdanning</w:t>
            </w:r>
          </w:p>
        </w:tc>
      </w:tr>
      <w:tr w:rsidR="00387469" w14:paraId="61C89E62"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5443038A" w14:textId="77777777" w:rsidR="00387469" w:rsidRPr="00823277" w:rsidRDefault="00387469" w:rsidP="006316F0">
            <w:pPr>
              <w:spacing w:after="40"/>
              <w:rPr>
                <w:sz w:val="22"/>
                <w:szCs w:val="22"/>
              </w:rPr>
            </w:pPr>
            <w:r w:rsidRPr="00823277">
              <w:rPr>
                <w:sz w:val="22"/>
                <w:szCs w:val="22"/>
              </w:rPr>
              <w:t>Skår på hvordan studentene oppfatter studiekvaliteten</w:t>
            </w:r>
          </w:p>
        </w:tc>
        <w:tc>
          <w:tcPr>
            <w:tcW w:w="992" w:type="dxa"/>
          </w:tcPr>
          <w:p w14:paraId="29EBAD5C" w14:textId="77777777" w:rsidR="00387469" w:rsidRPr="00823277" w:rsidRDefault="00387469" w:rsidP="006316F0">
            <w:pPr>
              <w:spacing w:after="40"/>
              <w:rPr>
                <w:sz w:val="22"/>
                <w:szCs w:val="22"/>
              </w:rPr>
            </w:pPr>
            <w:r w:rsidRPr="00823277">
              <w:rPr>
                <w:sz w:val="22"/>
                <w:szCs w:val="22"/>
              </w:rPr>
              <w:t>KD</w:t>
            </w:r>
          </w:p>
        </w:tc>
        <w:tc>
          <w:tcPr>
            <w:tcW w:w="3000" w:type="dxa"/>
          </w:tcPr>
          <w:p w14:paraId="51666F4C" w14:textId="77777777" w:rsidR="00387469" w:rsidRPr="00823277" w:rsidRDefault="00387469" w:rsidP="006316F0">
            <w:pPr>
              <w:spacing w:after="40"/>
              <w:rPr>
                <w:sz w:val="22"/>
                <w:szCs w:val="22"/>
              </w:rPr>
            </w:pPr>
            <w:r w:rsidRPr="00823277">
              <w:rPr>
                <w:sz w:val="22"/>
                <w:szCs w:val="22"/>
              </w:rPr>
              <w:t>Kvalitet i utdanning</w:t>
            </w:r>
          </w:p>
        </w:tc>
      </w:tr>
      <w:tr w:rsidR="000663EE" w14:paraId="07ECFC39" w14:textId="77777777" w:rsidTr="00823277">
        <w:tc>
          <w:tcPr>
            <w:tcW w:w="5807" w:type="dxa"/>
          </w:tcPr>
          <w:p w14:paraId="68710564" w14:textId="77777777" w:rsidR="000663EE" w:rsidRPr="00BA6E05" w:rsidRDefault="000663EE" w:rsidP="006316F0">
            <w:pPr>
              <w:spacing w:after="40"/>
              <w:rPr>
                <w:color w:val="0070C0"/>
                <w:sz w:val="22"/>
                <w:szCs w:val="22"/>
              </w:rPr>
            </w:pPr>
            <w:r w:rsidRPr="00BA6E05">
              <w:rPr>
                <w:color w:val="0070C0"/>
                <w:sz w:val="22"/>
                <w:szCs w:val="22"/>
              </w:rPr>
              <w:t>Frafall</w:t>
            </w:r>
            <w:r w:rsidR="00817DAA">
              <w:rPr>
                <w:color w:val="0070C0"/>
                <w:sz w:val="22"/>
                <w:szCs w:val="22"/>
              </w:rPr>
              <w:t xml:space="preserve"> i studiene</w:t>
            </w:r>
          </w:p>
        </w:tc>
        <w:tc>
          <w:tcPr>
            <w:tcW w:w="992" w:type="dxa"/>
          </w:tcPr>
          <w:p w14:paraId="52E8CDD4" w14:textId="77777777" w:rsidR="000663EE" w:rsidRPr="00BA6E05" w:rsidRDefault="000663EE" w:rsidP="006316F0">
            <w:pPr>
              <w:spacing w:after="40"/>
              <w:rPr>
                <w:color w:val="0070C0"/>
                <w:sz w:val="22"/>
                <w:szCs w:val="22"/>
              </w:rPr>
            </w:pPr>
            <w:r w:rsidRPr="00BA6E05">
              <w:rPr>
                <w:color w:val="0070C0"/>
                <w:sz w:val="22"/>
                <w:szCs w:val="22"/>
              </w:rPr>
              <w:t>NTNU</w:t>
            </w:r>
          </w:p>
        </w:tc>
        <w:tc>
          <w:tcPr>
            <w:tcW w:w="3000" w:type="dxa"/>
          </w:tcPr>
          <w:p w14:paraId="482D2B90" w14:textId="77777777" w:rsidR="000663EE" w:rsidRPr="00BA6E05" w:rsidRDefault="000663EE" w:rsidP="006316F0">
            <w:pPr>
              <w:spacing w:after="40"/>
              <w:rPr>
                <w:color w:val="0070C0"/>
                <w:sz w:val="22"/>
                <w:szCs w:val="22"/>
              </w:rPr>
            </w:pPr>
            <w:r w:rsidRPr="00BA6E05">
              <w:rPr>
                <w:color w:val="0070C0"/>
                <w:sz w:val="22"/>
                <w:szCs w:val="22"/>
              </w:rPr>
              <w:t>Kvalitet i utdanning</w:t>
            </w:r>
          </w:p>
        </w:tc>
      </w:tr>
      <w:tr w:rsidR="00387469" w14:paraId="7F889B24"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2994C012" w14:textId="77777777" w:rsidR="00387469" w:rsidRPr="00823277" w:rsidRDefault="00387469" w:rsidP="006316F0">
            <w:pPr>
              <w:spacing w:after="40"/>
              <w:rPr>
                <w:sz w:val="22"/>
                <w:szCs w:val="22"/>
              </w:rPr>
            </w:pPr>
            <w:r w:rsidRPr="00823277">
              <w:rPr>
                <w:sz w:val="22"/>
                <w:szCs w:val="22"/>
              </w:rPr>
              <w:t>Andel utreisende utvekslingsstudenter Erasmus+ av totalt antall studenter (%)</w:t>
            </w:r>
          </w:p>
        </w:tc>
        <w:tc>
          <w:tcPr>
            <w:tcW w:w="992" w:type="dxa"/>
          </w:tcPr>
          <w:p w14:paraId="4A993034" w14:textId="77777777" w:rsidR="00387469" w:rsidRPr="00823277" w:rsidRDefault="00387469" w:rsidP="006316F0">
            <w:pPr>
              <w:spacing w:after="40"/>
              <w:rPr>
                <w:sz w:val="22"/>
                <w:szCs w:val="22"/>
              </w:rPr>
            </w:pPr>
            <w:r w:rsidRPr="00823277">
              <w:rPr>
                <w:sz w:val="22"/>
                <w:szCs w:val="22"/>
              </w:rPr>
              <w:t>KD</w:t>
            </w:r>
          </w:p>
        </w:tc>
        <w:tc>
          <w:tcPr>
            <w:tcW w:w="3000" w:type="dxa"/>
          </w:tcPr>
          <w:p w14:paraId="71DB2789" w14:textId="77777777" w:rsidR="00387469" w:rsidRPr="00823277" w:rsidRDefault="00387469" w:rsidP="006316F0">
            <w:pPr>
              <w:spacing w:after="40"/>
              <w:rPr>
                <w:sz w:val="22"/>
                <w:szCs w:val="22"/>
              </w:rPr>
            </w:pPr>
            <w:r w:rsidRPr="00823277">
              <w:rPr>
                <w:sz w:val="22"/>
                <w:szCs w:val="22"/>
              </w:rPr>
              <w:t>Kvalitet i utdanning</w:t>
            </w:r>
          </w:p>
        </w:tc>
      </w:tr>
      <w:tr w:rsidR="00387469" w14:paraId="2857CDBD" w14:textId="77777777" w:rsidTr="00823277">
        <w:tc>
          <w:tcPr>
            <w:tcW w:w="5807" w:type="dxa"/>
          </w:tcPr>
          <w:p w14:paraId="36B4B555" w14:textId="77777777" w:rsidR="00387469" w:rsidRPr="00BA6E05" w:rsidRDefault="00387469" w:rsidP="006316F0">
            <w:pPr>
              <w:spacing w:after="40"/>
              <w:rPr>
                <w:color w:val="0070C0"/>
                <w:sz w:val="22"/>
                <w:szCs w:val="22"/>
              </w:rPr>
            </w:pPr>
            <w:r w:rsidRPr="00BA6E05">
              <w:rPr>
                <w:color w:val="0070C0"/>
                <w:sz w:val="22"/>
                <w:szCs w:val="22"/>
              </w:rPr>
              <w:t>Antall meritterte undervisere</w:t>
            </w:r>
          </w:p>
        </w:tc>
        <w:tc>
          <w:tcPr>
            <w:tcW w:w="992" w:type="dxa"/>
          </w:tcPr>
          <w:p w14:paraId="4D9D3E18" w14:textId="77777777" w:rsidR="00387469" w:rsidRPr="00BA6E05" w:rsidRDefault="00387469" w:rsidP="006316F0">
            <w:pPr>
              <w:spacing w:after="40"/>
              <w:rPr>
                <w:color w:val="0070C0"/>
                <w:sz w:val="22"/>
                <w:szCs w:val="22"/>
              </w:rPr>
            </w:pPr>
            <w:r w:rsidRPr="00BA6E05">
              <w:rPr>
                <w:color w:val="0070C0"/>
                <w:sz w:val="22"/>
                <w:szCs w:val="22"/>
              </w:rPr>
              <w:t>NTNU</w:t>
            </w:r>
          </w:p>
        </w:tc>
        <w:tc>
          <w:tcPr>
            <w:tcW w:w="3000" w:type="dxa"/>
          </w:tcPr>
          <w:p w14:paraId="2463EBBF" w14:textId="77777777" w:rsidR="00387469" w:rsidRPr="00BA6E05" w:rsidRDefault="00387469" w:rsidP="006316F0">
            <w:pPr>
              <w:spacing w:after="40"/>
              <w:rPr>
                <w:color w:val="0070C0"/>
                <w:sz w:val="22"/>
                <w:szCs w:val="22"/>
              </w:rPr>
            </w:pPr>
            <w:r w:rsidRPr="00BA6E05">
              <w:rPr>
                <w:color w:val="0070C0"/>
                <w:sz w:val="22"/>
                <w:szCs w:val="22"/>
              </w:rPr>
              <w:t>Fagmiljø og læringsmiljø</w:t>
            </w:r>
          </w:p>
        </w:tc>
      </w:tr>
      <w:tr w:rsidR="00387469" w14:paraId="5C556463"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4B7C8CD9" w14:textId="77777777" w:rsidR="00387469" w:rsidRPr="00823277" w:rsidRDefault="00387469" w:rsidP="006316F0">
            <w:pPr>
              <w:spacing w:after="40"/>
              <w:rPr>
                <w:sz w:val="22"/>
                <w:szCs w:val="22"/>
              </w:rPr>
            </w:pPr>
            <w:r w:rsidRPr="00823277">
              <w:rPr>
                <w:sz w:val="22"/>
                <w:szCs w:val="22"/>
              </w:rPr>
              <w:t>Antall publikasjonspoeng per faglig årsverk</w:t>
            </w:r>
          </w:p>
        </w:tc>
        <w:tc>
          <w:tcPr>
            <w:tcW w:w="992" w:type="dxa"/>
          </w:tcPr>
          <w:p w14:paraId="04343BB9" w14:textId="77777777" w:rsidR="00387469" w:rsidRPr="00823277" w:rsidRDefault="00387469" w:rsidP="006316F0">
            <w:pPr>
              <w:spacing w:after="40"/>
              <w:rPr>
                <w:sz w:val="22"/>
                <w:szCs w:val="22"/>
              </w:rPr>
            </w:pPr>
            <w:r w:rsidRPr="00823277">
              <w:rPr>
                <w:sz w:val="22"/>
                <w:szCs w:val="22"/>
              </w:rPr>
              <w:t>KD</w:t>
            </w:r>
          </w:p>
        </w:tc>
        <w:tc>
          <w:tcPr>
            <w:tcW w:w="3000" w:type="dxa"/>
          </w:tcPr>
          <w:p w14:paraId="62E3E858" w14:textId="77777777" w:rsidR="00387469" w:rsidRPr="00823277" w:rsidRDefault="00387469" w:rsidP="006316F0">
            <w:pPr>
              <w:spacing w:after="40"/>
              <w:rPr>
                <w:sz w:val="22"/>
                <w:szCs w:val="22"/>
              </w:rPr>
            </w:pPr>
            <w:r w:rsidRPr="00823277">
              <w:rPr>
                <w:sz w:val="22"/>
                <w:szCs w:val="22"/>
              </w:rPr>
              <w:t>Kvalitet i forskning</w:t>
            </w:r>
          </w:p>
        </w:tc>
      </w:tr>
      <w:tr w:rsidR="00387469" w14:paraId="4B170534" w14:textId="77777777" w:rsidTr="00823277">
        <w:tc>
          <w:tcPr>
            <w:tcW w:w="5807" w:type="dxa"/>
          </w:tcPr>
          <w:p w14:paraId="52F923CC" w14:textId="77777777" w:rsidR="00387469" w:rsidRPr="00BA6E05" w:rsidRDefault="00387469" w:rsidP="006316F0">
            <w:pPr>
              <w:spacing w:after="40"/>
              <w:rPr>
                <w:color w:val="0070C0"/>
                <w:sz w:val="22"/>
                <w:szCs w:val="22"/>
              </w:rPr>
            </w:pPr>
            <w:r w:rsidRPr="00BA6E05">
              <w:rPr>
                <w:color w:val="0070C0"/>
                <w:sz w:val="22"/>
                <w:szCs w:val="22"/>
              </w:rPr>
              <w:t>Publikasjoner på nivå 2</w:t>
            </w:r>
          </w:p>
        </w:tc>
        <w:tc>
          <w:tcPr>
            <w:tcW w:w="992" w:type="dxa"/>
          </w:tcPr>
          <w:p w14:paraId="3ADF3049" w14:textId="77777777" w:rsidR="00387469" w:rsidRPr="00BA6E05" w:rsidRDefault="00387469" w:rsidP="006316F0">
            <w:pPr>
              <w:spacing w:after="40"/>
              <w:rPr>
                <w:color w:val="0070C0"/>
                <w:sz w:val="22"/>
                <w:szCs w:val="22"/>
              </w:rPr>
            </w:pPr>
            <w:r w:rsidRPr="00BA6E05">
              <w:rPr>
                <w:color w:val="0070C0"/>
                <w:sz w:val="22"/>
                <w:szCs w:val="22"/>
              </w:rPr>
              <w:t>NTNU</w:t>
            </w:r>
          </w:p>
        </w:tc>
        <w:tc>
          <w:tcPr>
            <w:tcW w:w="3000" w:type="dxa"/>
          </w:tcPr>
          <w:p w14:paraId="1F4C3EEE" w14:textId="77777777" w:rsidR="00387469" w:rsidRPr="00BA6E05" w:rsidRDefault="00387469" w:rsidP="006316F0">
            <w:pPr>
              <w:spacing w:after="40"/>
              <w:rPr>
                <w:color w:val="0070C0"/>
                <w:sz w:val="22"/>
                <w:szCs w:val="22"/>
              </w:rPr>
            </w:pPr>
            <w:r w:rsidRPr="00BA6E05">
              <w:rPr>
                <w:color w:val="0070C0"/>
                <w:sz w:val="22"/>
                <w:szCs w:val="22"/>
              </w:rPr>
              <w:t>Kvalitet i forskning</w:t>
            </w:r>
            <w:r w:rsidR="00515C0A" w:rsidRPr="00BA6E05">
              <w:rPr>
                <w:color w:val="0070C0"/>
                <w:sz w:val="22"/>
                <w:szCs w:val="22"/>
              </w:rPr>
              <w:t>/fagmiljø</w:t>
            </w:r>
          </w:p>
        </w:tc>
      </w:tr>
      <w:tr w:rsidR="00387469" w14:paraId="18AF7D79"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4D2F8670" w14:textId="77777777" w:rsidR="00387469" w:rsidRPr="00823277" w:rsidRDefault="00387469" w:rsidP="006316F0">
            <w:pPr>
              <w:spacing w:after="40"/>
              <w:ind w:right="85"/>
              <w:rPr>
                <w:sz w:val="22"/>
                <w:szCs w:val="22"/>
              </w:rPr>
            </w:pPr>
            <w:r w:rsidRPr="00823277">
              <w:rPr>
                <w:sz w:val="22"/>
                <w:szCs w:val="22"/>
              </w:rPr>
              <w:t>Verdien av Horisont 2020-kontrakter per FoU-årsverk (Forskingsrådet/NIFU)</w:t>
            </w:r>
          </w:p>
        </w:tc>
        <w:tc>
          <w:tcPr>
            <w:tcW w:w="992" w:type="dxa"/>
          </w:tcPr>
          <w:p w14:paraId="33455BC4" w14:textId="77777777" w:rsidR="00387469" w:rsidRPr="00823277" w:rsidRDefault="00387469" w:rsidP="006316F0">
            <w:pPr>
              <w:spacing w:after="40"/>
              <w:rPr>
                <w:sz w:val="22"/>
                <w:szCs w:val="22"/>
              </w:rPr>
            </w:pPr>
            <w:r w:rsidRPr="00823277">
              <w:rPr>
                <w:sz w:val="22"/>
                <w:szCs w:val="22"/>
              </w:rPr>
              <w:t>KD</w:t>
            </w:r>
          </w:p>
        </w:tc>
        <w:tc>
          <w:tcPr>
            <w:tcW w:w="3000" w:type="dxa"/>
          </w:tcPr>
          <w:p w14:paraId="06DE4952" w14:textId="77777777" w:rsidR="00387469" w:rsidRPr="00823277" w:rsidRDefault="00387469" w:rsidP="006316F0">
            <w:pPr>
              <w:spacing w:after="40"/>
              <w:rPr>
                <w:sz w:val="22"/>
                <w:szCs w:val="22"/>
              </w:rPr>
            </w:pPr>
            <w:r w:rsidRPr="00823277">
              <w:rPr>
                <w:sz w:val="22"/>
                <w:szCs w:val="22"/>
              </w:rPr>
              <w:t>Kvalitet i forskning</w:t>
            </w:r>
          </w:p>
        </w:tc>
      </w:tr>
      <w:tr w:rsidR="00387469" w14:paraId="07512C9A" w14:textId="77777777" w:rsidTr="00823277">
        <w:tc>
          <w:tcPr>
            <w:tcW w:w="5807" w:type="dxa"/>
          </w:tcPr>
          <w:p w14:paraId="1F6D44A7" w14:textId="77777777" w:rsidR="00387469" w:rsidRPr="00BA6E05" w:rsidRDefault="00387469" w:rsidP="006316F0">
            <w:pPr>
              <w:spacing w:after="40"/>
              <w:ind w:right="85"/>
              <w:rPr>
                <w:color w:val="0070C0"/>
                <w:sz w:val="22"/>
                <w:szCs w:val="22"/>
              </w:rPr>
            </w:pPr>
            <w:r w:rsidRPr="00BA6E05">
              <w:rPr>
                <w:color w:val="0070C0"/>
                <w:sz w:val="22"/>
                <w:szCs w:val="22"/>
              </w:rPr>
              <w:t xml:space="preserve">Søknader til Horisont 2020 over terskelverdi og til FRIPRO med god karakter </w:t>
            </w:r>
          </w:p>
        </w:tc>
        <w:tc>
          <w:tcPr>
            <w:tcW w:w="992" w:type="dxa"/>
          </w:tcPr>
          <w:p w14:paraId="3DEF8F43" w14:textId="77777777" w:rsidR="00387469" w:rsidRPr="00BA6E05" w:rsidRDefault="00387469" w:rsidP="006316F0">
            <w:pPr>
              <w:spacing w:after="40"/>
              <w:rPr>
                <w:color w:val="0070C0"/>
                <w:sz w:val="22"/>
                <w:szCs w:val="22"/>
              </w:rPr>
            </w:pPr>
            <w:r w:rsidRPr="00BA6E05">
              <w:rPr>
                <w:color w:val="0070C0"/>
                <w:sz w:val="22"/>
                <w:szCs w:val="22"/>
              </w:rPr>
              <w:t>NTNU</w:t>
            </w:r>
          </w:p>
        </w:tc>
        <w:tc>
          <w:tcPr>
            <w:tcW w:w="3000" w:type="dxa"/>
          </w:tcPr>
          <w:p w14:paraId="2A57D9F4" w14:textId="77777777" w:rsidR="00387469" w:rsidRPr="00BA6E05" w:rsidRDefault="000663EE" w:rsidP="006316F0">
            <w:pPr>
              <w:spacing w:after="40"/>
              <w:rPr>
                <w:color w:val="0070C0"/>
                <w:sz w:val="22"/>
                <w:szCs w:val="22"/>
              </w:rPr>
            </w:pPr>
            <w:r w:rsidRPr="00BA6E05">
              <w:rPr>
                <w:color w:val="0070C0"/>
                <w:sz w:val="22"/>
                <w:szCs w:val="22"/>
              </w:rPr>
              <w:t>Kvalitet i forskning</w:t>
            </w:r>
          </w:p>
        </w:tc>
      </w:tr>
      <w:tr w:rsidR="000663EE" w14:paraId="78BF9E20"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5028C3F2" w14:textId="77777777" w:rsidR="000663EE" w:rsidRPr="00BA6E05" w:rsidRDefault="00515C0A" w:rsidP="006316F0">
            <w:pPr>
              <w:spacing w:after="40"/>
              <w:ind w:right="85"/>
              <w:rPr>
                <w:color w:val="0070C0"/>
                <w:sz w:val="22"/>
                <w:szCs w:val="22"/>
              </w:rPr>
            </w:pPr>
            <w:r w:rsidRPr="00BA6E05">
              <w:rPr>
                <w:color w:val="0070C0"/>
                <w:sz w:val="22"/>
                <w:szCs w:val="22"/>
              </w:rPr>
              <w:t>Antall ERC-kandidater/søknader til fase 2</w:t>
            </w:r>
          </w:p>
        </w:tc>
        <w:tc>
          <w:tcPr>
            <w:tcW w:w="992" w:type="dxa"/>
          </w:tcPr>
          <w:p w14:paraId="46F1F700" w14:textId="77777777" w:rsidR="000663EE" w:rsidRPr="00BA6E05" w:rsidRDefault="00515C0A" w:rsidP="006316F0">
            <w:pPr>
              <w:spacing w:after="40"/>
              <w:rPr>
                <w:color w:val="0070C0"/>
                <w:sz w:val="22"/>
                <w:szCs w:val="22"/>
              </w:rPr>
            </w:pPr>
            <w:r w:rsidRPr="00BA6E05">
              <w:rPr>
                <w:color w:val="0070C0"/>
                <w:sz w:val="22"/>
                <w:szCs w:val="22"/>
              </w:rPr>
              <w:t>NTNU</w:t>
            </w:r>
          </w:p>
        </w:tc>
        <w:tc>
          <w:tcPr>
            <w:tcW w:w="3000" w:type="dxa"/>
          </w:tcPr>
          <w:p w14:paraId="4B9D9DE8" w14:textId="77777777" w:rsidR="000663EE" w:rsidRPr="00BA6E05" w:rsidRDefault="00515C0A" w:rsidP="006316F0">
            <w:pPr>
              <w:spacing w:after="40"/>
              <w:rPr>
                <w:color w:val="0070C0"/>
                <w:sz w:val="22"/>
                <w:szCs w:val="22"/>
              </w:rPr>
            </w:pPr>
            <w:r w:rsidRPr="00BA6E05">
              <w:rPr>
                <w:color w:val="0070C0"/>
                <w:sz w:val="22"/>
                <w:szCs w:val="22"/>
              </w:rPr>
              <w:t>Kvalitet i forskning</w:t>
            </w:r>
          </w:p>
        </w:tc>
      </w:tr>
      <w:tr w:rsidR="005033DC" w14:paraId="6D911781" w14:textId="77777777" w:rsidTr="00823277">
        <w:tc>
          <w:tcPr>
            <w:tcW w:w="5807" w:type="dxa"/>
          </w:tcPr>
          <w:p w14:paraId="6A223173" w14:textId="77777777" w:rsidR="005033DC" w:rsidRPr="00823277" w:rsidRDefault="00405B57" w:rsidP="006316F0">
            <w:pPr>
              <w:spacing w:after="40"/>
              <w:rPr>
                <w:sz w:val="22"/>
                <w:szCs w:val="22"/>
              </w:rPr>
            </w:pPr>
            <w:r w:rsidRPr="00823277">
              <w:rPr>
                <w:sz w:val="22"/>
                <w:szCs w:val="22"/>
              </w:rPr>
              <w:t>Andel uteksaminerte kandidater tatt opp på doktorgradsprogram seks år tidligere (%)</w:t>
            </w:r>
          </w:p>
        </w:tc>
        <w:tc>
          <w:tcPr>
            <w:tcW w:w="992" w:type="dxa"/>
          </w:tcPr>
          <w:p w14:paraId="3CD0047C" w14:textId="77777777" w:rsidR="005033DC" w:rsidRPr="00823277" w:rsidRDefault="00405B57" w:rsidP="006316F0">
            <w:pPr>
              <w:spacing w:after="40"/>
              <w:rPr>
                <w:sz w:val="22"/>
                <w:szCs w:val="22"/>
              </w:rPr>
            </w:pPr>
            <w:r w:rsidRPr="00823277">
              <w:rPr>
                <w:sz w:val="22"/>
                <w:szCs w:val="22"/>
              </w:rPr>
              <w:t>KD</w:t>
            </w:r>
          </w:p>
        </w:tc>
        <w:tc>
          <w:tcPr>
            <w:tcW w:w="3000" w:type="dxa"/>
          </w:tcPr>
          <w:p w14:paraId="1348DE9E" w14:textId="77777777" w:rsidR="005033DC" w:rsidRPr="00823277" w:rsidRDefault="000663EE" w:rsidP="006316F0">
            <w:pPr>
              <w:spacing w:after="40"/>
              <w:rPr>
                <w:sz w:val="22"/>
                <w:szCs w:val="22"/>
              </w:rPr>
            </w:pPr>
            <w:r w:rsidRPr="00823277">
              <w:rPr>
                <w:sz w:val="22"/>
                <w:szCs w:val="22"/>
              </w:rPr>
              <w:t>Kvalitet i forskerutdanningen og fagmiljøene</w:t>
            </w:r>
          </w:p>
        </w:tc>
      </w:tr>
      <w:tr w:rsidR="00515C0A" w14:paraId="78FCAF5B"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723FB455" w14:textId="77777777" w:rsidR="00515C0A" w:rsidRPr="00BA6E05" w:rsidRDefault="00515C0A" w:rsidP="006316F0">
            <w:pPr>
              <w:spacing w:after="40"/>
              <w:ind w:right="85"/>
              <w:rPr>
                <w:color w:val="0070C0"/>
                <w:sz w:val="22"/>
                <w:szCs w:val="22"/>
              </w:rPr>
            </w:pPr>
            <w:r w:rsidRPr="00BA6E05">
              <w:rPr>
                <w:color w:val="0070C0"/>
                <w:sz w:val="22"/>
                <w:szCs w:val="22"/>
              </w:rPr>
              <w:t>Andel årsverk i førstestillinger av årsverk i forsknings- og undervisningsstillinger</w:t>
            </w:r>
          </w:p>
        </w:tc>
        <w:tc>
          <w:tcPr>
            <w:tcW w:w="992" w:type="dxa"/>
          </w:tcPr>
          <w:p w14:paraId="10F6267B"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4E2EEB10" w14:textId="77777777" w:rsidR="00515C0A" w:rsidRPr="00BA6E05" w:rsidRDefault="00515C0A" w:rsidP="006316F0">
            <w:pPr>
              <w:spacing w:after="40"/>
              <w:rPr>
                <w:color w:val="0070C0"/>
                <w:sz w:val="22"/>
                <w:szCs w:val="22"/>
              </w:rPr>
            </w:pPr>
            <w:r w:rsidRPr="00BA6E05">
              <w:rPr>
                <w:color w:val="0070C0"/>
                <w:sz w:val="22"/>
                <w:szCs w:val="22"/>
              </w:rPr>
              <w:t>Sterke fagmiljø</w:t>
            </w:r>
          </w:p>
        </w:tc>
      </w:tr>
      <w:tr w:rsidR="00515C0A" w14:paraId="0F290B38" w14:textId="77777777" w:rsidTr="00823277">
        <w:tc>
          <w:tcPr>
            <w:tcW w:w="5807" w:type="dxa"/>
          </w:tcPr>
          <w:p w14:paraId="10E04181" w14:textId="77777777" w:rsidR="00515C0A" w:rsidRPr="00BA6E05" w:rsidRDefault="00515C0A" w:rsidP="006316F0">
            <w:pPr>
              <w:spacing w:after="40"/>
              <w:ind w:right="85"/>
              <w:rPr>
                <w:color w:val="0070C0"/>
                <w:sz w:val="22"/>
                <w:szCs w:val="22"/>
              </w:rPr>
            </w:pPr>
            <w:r w:rsidRPr="00BA6E05">
              <w:rPr>
                <w:color w:val="0070C0"/>
                <w:sz w:val="22"/>
                <w:szCs w:val="22"/>
              </w:rPr>
              <w:t>Andel BOA av totaløkonomien</w:t>
            </w:r>
          </w:p>
        </w:tc>
        <w:tc>
          <w:tcPr>
            <w:tcW w:w="992" w:type="dxa"/>
          </w:tcPr>
          <w:p w14:paraId="063DA6B1"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063089F4" w14:textId="77777777" w:rsidR="00515C0A" w:rsidRPr="00BA6E05" w:rsidRDefault="00515C0A" w:rsidP="006316F0">
            <w:pPr>
              <w:spacing w:after="40"/>
              <w:rPr>
                <w:color w:val="0070C0"/>
                <w:sz w:val="22"/>
                <w:szCs w:val="22"/>
              </w:rPr>
            </w:pPr>
            <w:r w:rsidRPr="00BA6E05">
              <w:rPr>
                <w:color w:val="0070C0"/>
                <w:sz w:val="22"/>
                <w:szCs w:val="22"/>
              </w:rPr>
              <w:t>Sterke fagmiljø</w:t>
            </w:r>
          </w:p>
        </w:tc>
      </w:tr>
      <w:tr w:rsidR="000663EE" w14:paraId="3FD76086"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34A011F3" w14:textId="77777777" w:rsidR="000663EE" w:rsidRPr="00823277" w:rsidRDefault="000663EE" w:rsidP="006316F0">
            <w:pPr>
              <w:spacing w:after="40"/>
              <w:rPr>
                <w:sz w:val="22"/>
                <w:szCs w:val="22"/>
              </w:rPr>
            </w:pPr>
            <w:r w:rsidRPr="00823277">
              <w:rPr>
                <w:sz w:val="22"/>
                <w:szCs w:val="22"/>
              </w:rPr>
              <w:t>Andel masterkandidater sysselsatt i relevant arbeid et halvt år etter fullført utdanning</w:t>
            </w:r>
          </w:p>
        </w:tc>
        <w:tc>
          <w:tcPr>
            <w:tcW w:w="992" w:type="dxa"/>
          </w:tcPr>
          <w:p w14:paraId="7BDD705D" w14:textId="77777777" w:rsidR="000663EE" w:rsidRPr="00823277" w:rsidRDefault="000663EE" w:rsidP="006316F0">
            <w:pPr>
              <w:spacing w:after="40"/>
              <w:rPr>
                <w:sz w:val="22"/>
                <w:szCs w:val="22"/>
              </w:rPr>
            </w:pPr>
            <w:r w:rsidRPr="00823277">
              <w:rPr>
                <w:sz w:val="22"/>
                <w:szCs w:val="22"/>
              </w:rPr>
              <w:t>KD</w:t>
            </w:r>
          </w:p>
        </w:tc>
        <w:tc>
          <w:tcPr>
            <w:tcW w:w="3000" w:type="dxa"/>
          </w:tcPr>
          <w:p w14:paraId="792C9EDC" w14:textId="77777777" w:rsidR="000663EE" w:rsidRPr="00823277" w:rsidRDefault="000663EE" w:rsidP="006316F0">
            <w:pPr>
              <w:spacing w:after="40"/>
              <w:rPr>
                <w:sz w:val="22"/>
                <w:szCs w:val="22"/>
              </w:rPr>
            </w:pPr>
            <w:r w:rsidRPr="00823277">
              <w:rPr>
                <w:sz w:val="22"/>
                <w:szCs w:val="22"/>
              </w:rPr>
              <w:t>Relevans</w:t>
            </w:r>
          </w:p>
        </w:tc>
      </w:tr>
      <w:tr w:rsidR="000663EE" w14:paraId="116E42D6" w14:textId="77777777" w:rsidTr="00823277">
        <w:tc>
          <w:tcPr>
            <w:tcW w:w="5807" w:type="dxa"/>
          </w:tcPr>
          <w:p w14:paraId="449EBF3C" w14:textId="77777777" w:rsidR="000663EE" w:rsidRPr="00823277" w:rsidRDefault="000663EE" w:rsidP="006316F0">
            <w:pPr>
              <w:spacing w:after="40"/>
              <w:rPr>
                <w:sz w:val="22"/>
                <w:szCs w:val="22"/>
              </w:rPr>
            </w:pPr>
            <w:r w:rsidRPr="00823277">
              <w:rPr>
                <w:sz w:val="22"/>
                <w:szCs w:val="22"/>
              </w:rPr>
              <w:t>Bidragsinntekter fra Forskingsrådet per faglig årsverk (DBH)</w:t>
            </w:r>
          </w:p>
        </w:tc>
        <w:tc>
          <w:tcPr>
            <w:tcW w:w="992" w:type="dxa"/>
          </w:tcPr>
          <w:p w14:paraId="191B3060" w14:textId="77777777" w:rsidR="000663EE" w:rsidRPr="00823277" w:rsidRDefault="000663EE" w:rsidP="006316F0">
            <w:pPr>
              <w:spacing w:after="40"/>
              <w:rPr>
                <w:sz w:val="22"/>
                <w:szCs w:val="22"/>
              </w:rPr>
            </w:pPr>
            <w:r w:rsidRPr="00823277">
              <w:rPr>
                <w:sz w:val="22"/>
                <w:szCs w:val="22"/>
              </w:rPr>
              <w:t>KD</w:t>
            </w:r>
          </w:p>
        </w:tc>
        <w:tc>
          <w:tcPr>
            <w:tcW w:w="3000" w:type="dxa"/>
          </w:tcPr>
          <w:p w14:paraId="431B829B" w14:textId="77777777" w:rsidR="000663EE" w:rsidRPr="00823277" w:rsidRDefault="000663EE" w:rsidP="006316F0">
            <w:pPr>
              <w:spacing w:after="40"/>
              <w:rPr>
                <w:sz w:val="22"/>
                <w:szCs w:val="22"/>
              </w:rPr>
            </w:pPr>
            <w:r w:rsidRPr="00823277">
              <w:rPr>
                <w:sz w:val="22"/>
                <w:szCs w:val="22"/>
              </w:rPr>
              <w:t>Relevans</w:t>
            </w:r>
          </w:p>
        </w:tc>
      </w:tr>
      <w:tr w:rsidR="000663EE" w14:paraId="3BB45D14"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4E06CD01" w14:textId="77777777" w:rsidR="000663EE" w:rsidRPr="00823277" w:rsidRDefault="000663EE" w:rsidP="006316F0">
            <w:pPr>
              <w:spacing w:after="40"/>
              <w:rPr>
                <w:sz w:val="22"/>
                <w:szCs w:val="22"/>
              </w:rPr>
            </w:pPr>
            <w:r w:rsidRPr="00823277">
              <w:rPr>
                <w:sz w:val="22"/>
                <w:szCs w:val="22"/>
              </w:rPr>
              <w:t>Andre bidrags- og oppdragsinntekter per faglig årsverk (1000 kr)</w:t>
            </w:r>
          </w:p>
        </w:tc>
        <w:tc>
          <w:tcPr>
            <w:tcW w:w="992" w:type="dxa"/>
          </w:tcPr>
          <w:p w14:paraId="75F38137" w14:textId="77777777" w:rsidR="000663EE" w:rsidRPr="00823277" w:rsidRDefault="000663EE" w:rsidP="006316F0">
            <w:pPr>
              <w:spacing w:after="40"/>
              <w:rPr>
                <w:sz w:val="22"/>
                <w:szCs w:val="22"/>
              </w:rPr>
            </w:pPr>
            <w:r w:rsidRPr="00823277">
              <w:rPr>
                <w:sz w:val="22"/>
                <w:szCs w:val="22"/>
              </w:rPr>
              <w:t>KD</w:t>
            </w:r>
          </w:p>
        </w:tc>
        <w:tc>
          <w:tcPr>
            <w:tcW w:w="3000" w:type="dxa"/>
          </w:tcPr>
          <w:p w14:paraId="19B123BA" w14:textId="77777777" w:rsidR="000663EE" w:rsidRPr="00823277" w:rsidRDefault="000663EE" w:rsidP="006316F0">
            <w:pPr>
              <w:spacing w:after="40"/>
              <w:rPr>
                <w:sz w:val="22"/>
                <w:szCs w:val="22"/>
              </w:rPr>
            </w:pPr>
            <w:r w:rsidRPr="00823277">
              <w:rPr>
                <w:sz w:val="22"/>
                <w:szCs w:val="22"/>
              </w:rPr>
              <w:t>Relevans</w:t>
            </w:r>
          </w:p>
        </w:tc>
      </w:tr>
      <w:tr w:rsidR="00515C0A" w14:paraId="63654638" w14:textId="77777777" w:rsidTr="00823277">
        <w:tc>
          <w:tcPr>
            <w:tcW w:w="5807" w:type="dxa"/>
          </w:tcPr>
          <w:p w14:paraId="11639F30" w14:textId="77777777" w:rsidR="00515C0A" w:rsidRPr="00823277" w:rsidRDefault="00515C0A" w:rsidP="006316F0">
            <w:pPr>
              <w:spacing w:after="40"/>
              <w:ind w:right="85"/>
              <w:rPr>
                <w:sz w:val="22"/>
                <w:szCs w:val="22"/>
              </w:rPr>
            </w:pPr>
            <w:r w:rsidRPr="00823277">
              <w:rPr>
                <w:sz w:val="22"/>
                <w:szCs w:val="22"/>
              </w:rPr>
              <w:t>Andelen forskningsinnsats i MNT-fag</w:t>
            </w:r>
          </w:p>
        </w:tc>
        <w:tc>
          <w:tcPr>
            <w:tcW w:w="992" w:type="dxa"/>
          </w:tcPr>
          <w:p w14:paraId="35DE9C86" w14:textId="77777777" w:rsidR="00515C0A" w:rsidRPr="00823277" w:rsidRDefault="00515C0A" w:rsidP="006316F0">
            <w:pPr>
              <w:spacing w:after="40"/>
              <w:rPr>
                <w:sz w:val="22"/>
                <w:szCs w:val="22"/>
              </w:rPr>
            </w:pPr>
            <w:r w:rsidRPr="00823277">
              <w:rPr>
                <w:sz w:val="22"/>
                <w:szCs w:val="22"/>
              </w:rPr>
              <w:t>KD</w:t>
            </w:r>
          </w:p>
        </w:tc>
        <w:tc>
          <w:tcPr>
            <w:tcW w:w="3000" w:type="dxa"/>
          </w:tcPr>
          <w:p w14:paraId="3827A157" w14:textId="77777777" w:rsidR="00515C0A" w:rsidRPr="00823277" w:rsidRDefault="00515C0A" w:rsidP="006316F0">
            <w:pPr>
              <w:spacing w:after="40"/>
              <w:rPr>
                <w:sz w:val="22"/>
                <w:szCs w:val="22"/>
              </w:rPr>
            </w:pPr>
            <w:r w:rsidRPr="00823277">
              <w:rPr>
                <w:sz w:val="22"/>
                <w:szCs w:val="22"/>
              </w:rPr>
              <w:t>Relevans</w:t>
            </w:r>
          </w:p>
        </w:tc>
      </w:tr>
      <w:tr w:rsidR="00515C0A" w14:paraId="773F769E"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3F43B45A" w14:textId="77777777" w:rsidR="00515C0A" w:rsidRPr="00BA6E05" w:rsidRDefault="00515C0A" w:rsidP="006316F0">
            <w:pPr>
              <w:spacing w:after="40"/>
              <w:rPr>
                <w:color w:val="0070C0"/>
                <w:sz w:val="22"/>
                <w:szCs w:val="22"/>
              </w:rPr>
            </w:pPr>
            <w:r w:rsidRPr="00BA6E05">
              <w:rPr>
                <w:color w:val="0070C0"/>
                <w:sz w:val="22"/>
                <w:szCs w:val="22"/>
              </w:rPr>
              <w:t>Utreise studenter og ansatte</w:t>
            </w:r>
          </w:p>
        </w:tc>
        <w:tc>
          <w:tcPr>
            <w:tcW w:w="992" w:type="dxa"/>
          </w:tcPr>
          <w:p w14:paraId="236AAAA7"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4E2186DC" w14:textId="77777777" w:rsidR="00515C0A" w:rsidRPr="00BA6E05" w:rsidRDefault="00515C0A" w:rsidP="006316F0">
            <w:pPr>
              <w:spacing w:after="40"/>
              <w:rPr>
                <w:color w:val="0070C0"/>
                <w:sz w:val="22"/>
                <w:szCs w:val="22"/>
              </w:rPr>
            </w:pPr>
            <w:r w:rsidRPr="00BA6E05">
              <w:rPr>
                <w:color w:val="0070C0"/>
                <w:sz w:val="22"/>
                <w:szCs w:val="22"/>
              </w:rPr>
              <w:t>Samspill, internasjonalisering</w:t>
            </w:r>
          </w:p>
        </w:tc>
      </w:tr>
      <w:tr w:rsidR="00515C0A" w14:paraId="00CC6F09" w14:textId="77777777" w:rsidTr="00823277">
        <w:tc>
          <w:tcPr>
            <w:tcW w:w="5807" w:type="dxa"/>
          </w:tcPr>
          <w:p w14:paraId="58B67D4A" w14:textId="77777777" w:rsidR="00515C0A" w:rsidRPr="00BA6E05" w:rsidRDefault="00515C0A" w:rsidP="006316F0">
            <w:pPr>
              <w:spacing w:after="40"/>
              <w:rPr>
                <w:color w:val="0070C0"/>
                <w:sz w:val="22"/>
                <w:szCs w:val="22"/>
              </w:rPr>
            </w:pPr>
            <w:r w:rsidRPr="00BA6E05">
              <w:rPr>
                <w:color w:val="0070C0"/>
                <w:sz w:val="22"/>
                <w:szCs w:val="22"/>
              </w:rPr>
              <w:t>Antall ideer fra studenter og ansatte</w:t>
            </w:r>
          </w:p>
        </w:tc>
        <w:tc>
          <w:tcPr>
            <w:tcW w:w="992" w:type="dxa"/>
          </w:tcPr>
          <w:p w14:paraId="6BF15D51"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2595D9AC" w14:textId="77777777" w:rsidR="00515C0A" w:rsidRPr="00BA6E05" w:rsidRDefault="00515C0A" w:rsidP="006316F0">
            <w:pPr>
              <w:spacing w:after="40"/>
              <w:rPr>
                <w:color w:val="0070C0"/>
                <w:sz w:val="22"/>
                <w:szCs w:val="22"/>
              </w:rPr>
            </w:pPr>
            <w:r w:rsidRPr="00BA6E05">
              <w:rPr>
                <w:color w:val="0070C0"/>
                <w:sz w:val="22"/>
                <w:szCs w:val="22"/>
              </w:rPr>
              <w:t>Relevans, nyskapingskultur</w:t>
            </w:r>
          </w:p>
        </w:tc>
      </w:tr>
      <w:tr w:rsidR="00515C0A" w14:paraId="7B459DAC"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3DCC4DB0" w14:textId="77777777" w:rsidR="00515C0A" w:rsidRPr="00BA6E05" w:rsidRDefault="00515C0A" w:rsidP="006316F0">
            <w:pPr>
              <w:spacing w:after="40"/>
              <w:rPr>
                <w:color w:val="0070C0"/>
                <w:sz w:val="22"/>
                <w:szCs w:val="22"/>
              </w:rPr>
            </w:pPr>
            <w:r w:rsidRPr="00BA6E05">
              <w:rPr>
                <w:color w:val="0070C0"/>
                <w:sz w:val="22"/>
                <w:szCs w:val="22"/>
              </w:rPr>
              <w:t>Antall lisenser og bedriftsetableringer fra studenter og ansatte</w:t>
            </w:r>
          </w:p>
        </w:tc>
        <w:tc>
          <w:tcPr>
            <w:tcW w:w="992" w:type="dxa"/>
          </w:tcPr>
          <w:p w14:paraId="61CD333A"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183318A8" w14:textId="77777777" w:rsidR="00515C0A" w:rsidRPr="00BA6E05" w:rsidRDefault="00515C0A" w:rsidP="006316F0">
            <w:pPr>
              <w:spacing w:after="40"/>
              <w:rPr>
                <w:color w:val="0070C0"/>
                <w:sz w:val="22"/>
                <w:szCs w:val="22"/>
              </w:rPr>
            </w:pPr>
            <w:r w:rsidRPr="00BA6E05">
              <w:rPr>
                <w:color w:val="0070C0"/>
                <w:sz w:val="22"/>
                <w:szCs w:val="22"/>
              </w:rPr>
              <w:t>Relevans, nyskaping</w:t>
            </w:r>
          </w:p>
        </w:tc>
      </w:tr>
      <w:tr w:rsidR="00515C0A" w14:paraId="7D62952E" w14:textId="77777777" w:rsidTr="00823277">
        <w:tc>
          <w:tcPr>
            <w:tcW w:w="5807" w:type="dxa"/>
          </w:tcPr>
          <w:p w14:paraId="38BEDBFA" w14:textId="77777777" w:rsidR="00515C0A" w:rsidRPr="00BA6E05" w:rsidRDefault="00515C0A" w:rsidP="006316F0">
            <w:pPr>
              <w:spacing w:after="40"/>
              <w:rPr>
                <w:color w:val="0070C0"/>
                <w:sz w:val="22"/>
                <w:szCs w:val="22"/>
              </w:rPr>
            </w:pPr>
            <w:r w:rsidRPr="00BA6E05">
              <w:rPr>
                <w:color w:val="0070C0"/>
                <w:sz w:val="22"/>
                <w:szCs w:val="22"/>
              </w:rPr>
              <w:t xml:space="preserve">Sampublisering med </w:t>
            </w:r>
            <w:r w:rsidRPr="002F2A43">
              <w:rPr>
                <w:color w:val="0070C0"/>
                <w:sz w:val="22"/>
                <w:szCs w:val="22"/>
              </w:rPr>
              <w:t>andre sektorer</w:t>
            </w:r>
            <w:r w:rsidR="002F2A43">
              <w:rPr>
                <w:color w:val="0070C0"/>
                <w:sz w:val="22"/>
                <w:szCs w:val="22"/>
              </w:rPr>
              <w:t xml:space="preserve"> (må konkretiseres)</w:t>
            </w:r>
          </w:p>
        </w:tc>
        <w:tc>
          <w:tcPr>
            <w:tcW w:w="992" w:type="dxa"/>
          </w:tcPr>
          <w:p w14:paraId="0D09CF7A"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4C694400" w14:textId="77777777" w:rsidR="00515C0A" w:rsidRPr="00BA6E05" w:rsidRDefault="00515C0A" w:rsidP="006316F0">
            <w:pPr>
              <w:spacing w:after="40"/>
              <w:rPr>
                <w:color w:val="0070C0"/>
                <w:sz w:val="22"/>
                <w:szCs w:val="22"/>
              </w:rPr>
            </w:pPr>
            <w:r w:rsidRPr="00BA6E05">
              <w:rPr>
                <w:color w:val="0070C0"/>
                <w:sz w:val="22"/>
                <w:szCs w:val="22"/>
              </w:rPr>
              <w:t>Samspill, kunnskapsdeling</w:t>
            </w:r>
          </w:p>
        </w:tc>
      </w:tr>
      <w:tr w:rsidR="00515C0A" w14:paraId="7CCE0E62"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4A01F61A" w14:textId="77777777" w:rsidR="00515C0A" w:rsidRPr="00BA6E05" w:rsidRDefault="00515C0A" w:rsidP="006316F0">
            <w:pPr>
              <w:spacing w:after="40"/>
              <w:rPr>
                <w:color w:val="0070C0"/>
                <w:sz w:val="22"/>
                <w:szCs w:val="22"/>
              </w:rPr>
            </w:pPr>
            <w:r w:rsidRPr="00BA6E05">
              <w:rPr>
                <w:color w:val="0070C0"/>
                <w:sz w:val="22"/>
                <w:szCs w:val="22"/>
              </w:rPr>
              <w:t>Sampublisering med internasjonale fagfeller</w:t>
            </w:r>
          </w:p>
        </w:tc>
        <w:tc>
          <w:tcPr>
            <w:tcW w:w="992" w:type="dxa"/>
          </w:tcPr>
          <w:p w14:paraId="484B2EF8"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0755ACAD" w14:textId="77777777" w:rsidR="00515C0A" w:rsidRPr="00BA6E05" w:rsidRDefault="00515C0A" w:rsidP="006316F0">
            <w:pPr>
              <w:spacing w:after="40"/>
              <w:rPr>
                <w:color w:val="0070C0"/>
                <w:sz w:val="22"/>
                <w:szCs w:val="22"/>
              </w:rPr>
            </w:pPr>
            <w:r w:rsidRPr="00BA6E05">
              <w:rPr>
                <w:color w:val="0070C0"/>
                <w:sz w:val="22"/>
                <w:szCs w:val="22"/>
              </w:rPr>
              <w:t>Samspill, internasjonalisering</w:t>
            </w:r>
          </w:p>
        </w:tc>
      </w:tr>
      <w:tr w:rsidR="00515C0A" w14:paraId="1D0258D4" w14:textId="77777777" w:rsidTr="00823277">
        <w:tc>
          <w:tcPr>
            <w:tcW w:w="5807" w:type="dxa"/>
          </w:tcPr>
          <w:p w14:paraId="080AC5E2" w14:textId="77777777" w:rsidR="00515C0A" w:rsidRPr="00BA6E05" w:rsidRDefault="00515C0A" w:rsidP="006316F0">
            <w:pPr>
              <w:spacing w:after="40"/>
              <w:rPr>
                <w:color w:val="0070C0"/>
                <w:sz w:val="22"/>
                <w:szCs w:val="22"/>
              </w:rPr>
            </w:pPr>
            <w:r w:rsidRPr="00BA6E05">
              <w:rPr>
                <w:color w:val="0070C0"/>
                <w:sz w:val="22"/>
                <w:szCs w:val="22"/>
              </w:rPr>
              <w:t>Antall formidlingstiltak (utvalg av allmenn- og brukerrettet formidling)</w:t>
            </w:r>
          </w:p>
        </w:tc>
        <w:tc>
          <w:tcPr>
            <w:tcW w:w="992" w:type="dxa"/>
          </w:tcPr>
          <w:p w14:paraId="20562161" w14:textId="77777777" w:rsidR="00515C0A" w:rsidRPr="00BA6E05" w:rsidRDefault="00515C0A" w:rsidP="006316F0">
            <w:pPr>
              <w:spacing w:after="40"/>
              <w:rPr>
                <w:color w:val="0070C0"/>
                <w:sz w:val="22"/>
                <w:szCs w:val="22"/>
              </w:rPr>
            </w:pPr>
            <w:r w:rsidRPr="00BA6E05">
              <w:rPr>
                <w:color w:val="0070C0"/>
                <w:sz w:val="22"/>
                <w:szCs w:val="22"/>
              </w:rPr>
              <w:t>NTNU</w:t>
            </w:r>
          </w:p>
        </w:tc>
        <w:tc>
          <w:tcPr>
            <w:tcW w:w="3000" w:type="dxa"/>
          </w:tcPr>
          <w:p w14:paraId="234B5B82" w14:textId="77777777" w:rsidR="00515C0A" w:rsidRPr="00BA6E05" w:rsidRDefault="00515C0A" w:rsidP="006316F0">
            <w:pPr>
              <w:spacing w:after="40"/>
              <w:rPr>
                <w:color w:val="0070C0"/>
                <w:sz w:val="22"/>
                <w:szCs w:val="22"/>
              </w:rPr>
            </w:pPr>
            <w:r w:rsidRPr="00BA6E05">
              <w:rPr>
                <w:color w:val="0070C0"/>
                <w:sz w:val="22"/>
                <w:szCs w:val="22"/>
              </w:rPr>
              <w:t>Samspill, kunnskapsdeling</w:t>
            </w:r>
          </w:p>
        </w:tc>
      </w:tr>
      <w:tr w:rsidR="000663EE" w14:paraId="05EF861A"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7E16853E" w14:textId="77777777" w:rsidR="000663EE" w:rsidRPr="00823277" w:rsidRDefault="000663EE" w:rsidP="006316F0">
            <w:pPr>
              <w:spacing w:after="40"/>
              <w:rPr>
                <w:sz w:val="22"/>
                <w:szCs w:val="22"/>
              </w:rPr>
            </w:pPr>
            <w:r w:rsidRPr="00823277">
              <w:rPr>
                <w:sz w:val="22"/>
                <w:szCs w:val="22"/>
              </w:rPr>
              <w:t>Kandidattall på helse- og lærerutdanningene</w:t>
            </w:r>
          </w:p>
        </w:tc>
        <w:tc>
          <w:tcPr>
            <w:tcW w:w="992" w:type="dxa"/>
          </w:tcPr>
          <w:p w14:paraId="41029F9F" w14:textId="77777777" w:rsidR="000663EE" w:rsidRPr="00823277" w:rsidRDefault="000663EE" w:rsidP="006316F0">
            <w:pPr>
              <w:spacing w:after="40"/>
              <w:rPr>
                <w:sz w:val="22"/>
                <w:szCs w:val="22"/>
              </w:rPr>
            </w:pPr>
            <w:r w:rsidRPr="00823277">
              <w:rPr>
                <w:sz w:val="22"/>
                <w:szCs w:val="22"/>
              </w:rPr>
              <w:t>KD</w:t>
            </w:r>
          </w:p>
        </w:tc>
        <w:tc>
          <w:tcPr>
            <w:tcW w:w="3000" w:type="dxa"/>
          </w:tcPr>
          <w:p w14:paraId="1CB27998" w14:textId="77777777" w:rsidR="000663EE" w:rsidRPr="00823277" w:rsidRDefault="00515C0A" w:rsidP="006316F0">
            <w:pPr>
              <w:spacing w:after="40"/>
              <w:rPr>
                <w:sz w:val="22"/>
                <w:szCs w:val="22"/>
              </w:rPr>
            </w:pPr>
            <w:r w:rsidRPr="00823277">
              <w:rPr>
                <w:sz w:val="22"/>
                <w:szCs w:val="22"/>
              </w:rPr>
              <w:t>Samfunnsbehov kandidater</w:t>
            </w:r>
          </w:p>
        </w:tc>
      </w:tr>
      <w:tr w:rsidR="000663EE" w14:paraId="0BDAA85A" w14:textId="77777777" w:rsidTr="00823277">
        <w:tc>
          <w:tcPr>
            <w:tcW w:w="5807" w:type="dxa"/>
          </w:tcPr>
          <w:p w14:paraId="50F84AAB" w14:textId="77777777" w:rsidR="000663EE" w:rsidRPr="00823277" w:rsidRDefault="000663EE" w:rsidP="006316F0">
            <w:pPr>
              <w:spacing w:after="40"/>
              <w:ind w:right="85"/>
              <w:rPr>
                <w:sz w:val="22"/>
                <w:szCs w:val="22"/>
              </w:rPr>
            </w:pPr>
            <w:r w:rsidRPr="00823277">
              <w:rPr>
                <w:sz w:val="22"/>
                <w:szCs w:val="22"/>
              </w:rPr>
              <w:t>Antall studiepoeng per faglige årsverk</w:t>
            </w:r>
          </w:p>
        </w:tc>
        <w:tc>
          <w:tcPr>
            <w:tcW w:w="992" w:type="dxa"/>
          </w:tcPr>
          <w:p w14:paraId="605556F0" w14:textId="77777777" w:rsidR="000663EE" w:rsidRPr="00823277" w:rsidRDefault="000663EE" w:rsidP="006316F0">
            <w:pPr>
              <w:spacing w:after="40"/>
              <w:rPr>
                <w:sz w:val="22"/>
                <w:szCs w:val="22"/>
              </w:rPr>
            </w:pPr>
            <w:r w:rsidRPr="00823277">
              <w:rPr>
                <w:sz w:val="22"/>
                <w:szCs w:val="22"/>
              </w:rPr>
              <w:t>KD</w:t>
            </w:r>
          </w:p>
        </w:tc>
        <w:tc>
          <w:tcPr>
            <w:tcW w:w="3000" w:type="dxa"/>
          </w:tcPr>
          <w:p w14:paraId="44F526B4" w14:textId="77777777" w:rsidR="000663EE" w:rsidRPr="00823277" w:rsidRDefault="000663EE" w:rsidP="006316F0">
            <w:pPr>
              <w:spacing w:after="40"/>
              <w:rPr>
                <w:sz w:val="22"/>
                <w:szCs w:val="22"/>
              </w:rPr>
            </w:pPr>
            <w:r w:rsidRPr="00823277">
              <w:rPr>
                <w:sz w:val="22"/>
                <w:szCs w:val="22"/>
              </w:rPr>
              <w:t>Effektivitet</w:t>
            </w:r>
          </w:p>
        </w:tc>
      </w:tr>
      <w:tr w:rsidR="00405B57" w14:paraId="07409900"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5E7939D1" w14:textId="77777777" w:rsidR="00405B57" w:rsidRPr="00823277" w:rsidRDefault="00405B57" w:rsidP="006316F0">
            <w:pPr>
              <w:spacing w:after="40"/>
              <w:rPr>
                <w:sz w:val="22"/>
                <w:szCs w:val="22"/>
              </w:rPr>
            </w:pPr>
            <w:r w:rsidRPr="00823277">
              <w:rPr>
                <w:sz w:val="22"/>
                <w:szCs w:val="22"/>
              </w:rPr>
              <w:t>Andel kvinner i dosent- og professorstillinger (%)</w:t>
            </w:r>
          </w:p>
        </w:tc>
        <w:tc>
          <w:tcPr>
            <w:tcW w:w="992" w:type="dxa"/>
          </w:tcPr>
          <w:p w14:paraId="6BABFECF" w14:textId="77777777" w:rsidR="00405B57" w:rsidRPr="00823277" w:rsidRDefault="00405B57" w:rsidP="006316F0">
            <w:pPr>
              <w:spacing w:after="40"/>
              <w:rPr>
                <w:sz w:val="22"/>
                <w:szCs w:val="22"/>
              </w:rPr>
            </w:pPr>
            <w:r w:rsidRPr="00823277">
              <w:rPr>
                <w:sz w:val="22"/>
                <w:szCs w:val="22"/>
              </w:rPr>
              <w:t>KD</w:t>
            </w:r>
          </w:p>
        </w:tc>
        <w:tc>
          <w:tcPr>
            <w:tcW w:w="3000" w:type="dxa"/>
          </w:tcPr>
          <w:p w14:paraId="405B3D04" w14:textId="77777777" w:rsidR="00405B57" w:rsidRPr="00823277" w:rsidRDefault="000663EE" w:rsidP="006316F0">
            <w:pPr>
              <w:spacing w:after="40"/>
              <w:rPr>
                <w:sz w:val="22"/>
                <w:szCs w:val="22"/>
              </w:rPr>
            </w:pPr>
            <w:r w:rsidRPr="00823277">
              <w:rPr>
                <w:sz w:val="22"/>
                <w:szCs w:val="22"/>
              </w:rPr>
              <w:t>Mangfold</w:t>
            </w:r>
          </w:p>
        </w:tc>
      </w:tr>
      <w:tr w:rsidR="00405B57" w14:paraId="1E3110B2" w14:textId="77777777" w:rsidTr="00823277">
        <w:tc>
          <w:tcPr>
            <w:tcW w:w="5807" w:type="dxa"/>
          </w:tcPr>
          <w:p w14:paraId="543A409B" w14:textId="77777777" w:rsidR="00405B57" w:rsidRPr="00823277" w:rsidRDefault="00405B57" w:rsidP="006316F0">
            <w:pPr>
              <w:spacing w:after="40"/>
              <w:rPr>
                <w:sz w:val="22"/>
                <w:szCs w:val="22"/>
              </w:rPr>
            </w:pPr>
            <w:r w:rsidRPr="00823277">
              <w:rPr>
                <w:sz w:val="22"/>
                <w:szCs w:val="22"/>
              </w:rPr>
              <w:t>Andel midlertidig ansatte i undervisnings- og forskerstillinger (%)</w:t>
            </w:r>
          </w:p>
        </w:tc>
        <w:tc>
          <w:tcPr>
            <w:tcW w:w="992" w:type="dxa"/>
          </w:tcPr>
          <w:p w14:paraId="59CD6F92" w14:textId="77777777" w:rsidR="00405B57" w:rsidRPr="00823277" w:rsidRDefault="00405B57" w:rsidP="006316F0">
            <w:pPr>
              <w:spacing w:after="40"/>
              <w:rPr>
                <w:sz w:val="22"/>
                <w:szCs w:val="22"/>
              </w:rPr>
            </w:pPr>
            <w:r w:rsidRPr="00823277">
              <w:rPr>
                <w:sz w:val="22"/>
                <w:szCs w:val="22"/>
              </w:rPr>
              <w:t>KD</w:t>
            </w:r>
          </w:p>
        </w:tc>
        <w:tc>
          <w:tcPr>
            <w:tcW w:w="3000" w:type="dxa"/>
          </w:tcPr>
          <w:p w14:paraId="393E1825" w14:textId="77777777" w:rsidR="00405B57" w:rsidRPr="00823277" w:rsidRDefault="00515C0A" w:rsidP="006316F0">
            <w:pPr>
              <w:spacing w:after="40"/>
              <w:rPr>
                <w:sz w:val="22"/>
                <w:szCs w:val="22"/>
              </w:rPr>
            </w:pPr>
            <w:r w:rsidRPr="00823277">
              <w:rPr>
                <w:sz w:val="22"/>
                <w:szCs w:val="22"/>
              </w:rPr>
              <w:t>Arbeidsmiljø</w:t>
            </w:r>
          </w:p>
        </w:tc>
      </w:tr>
      <w:tr w:rsidR="00823277" w14:paraId="3CA7D87D" w14:textId="77777777" w:rsidTr="00823277">
        <w:trPr>
          <w:cnfStyle w:val="000000100000" w:firstRow="0" w:lastRow="0" w:firstColumn="0" w:lastColumn="0" w:oddVBand="0" w:evenVBand="0" w:oddHBand="1" w:evenHBand="0" w:firstRowFirstColumn="0" w:firstRowLastColumn="0" w:lastRowFirstColumn="0" w:lastRowLastColumn="0"/>
        </w:trPr>
        <w:tc>
          <w:tcPr>
            <w:tcW w:w="5807" w:type="dxa"/>
          </w:tcPr>
          <w:p w14:paraId="5B5A3A8E" w14:textId="77777777" w:rsidR="00823277" w:rsidRPr="00BA6E05" w:rsidRDefault="00823277" w:rsidP="006316F0">
            <w:pPr>
              <w:spacing w:after="40"/>
              <w:rPr>
                <w:color w:val="0070C0"/>
                <w:sz w:val="22"/>
                <w:szCs w:val="22"/>
              </w:rPr>
            </w:pPr>
            <w:r w:rsidRPr="00BA6E05">
              <w:rPr>
                <w:color w:val="0070C0"/>
                <w:sz w:val="22"/>
                <w:szCs w:val="22"/>
              </w:rPr>
              <w:t>Forholdstallet mellom årsverk i UFF/tekn.adm.stillinger</w:t>
            </w:r>
          </w:p>
        </w:tc>
        <w:tc>
          <w:tcPr>
            <w:tcW w:w="992" w:type="dxa"/>
          </w:tcPr>
          <w:p w14:paraId="2F8534C6" w14:textId="77777777" w:rsidR="00823277" w:rsidRPr="00BA6E05" w:rsidRDefault="00823277" w:rsidP="006316F0">
            <w:pPr>
              <w:spacing w:after="40"/>
              <w:rPr>
                <w:color w:val="0070C0"/>
                <w:sz w:val="22"/>
                <w:szCs w:val="22"/>
              </w:rPr>
            </w:pPr>
            <w:r w:rsidRPr="00BA6E05">
              <w:rPr>
                <w:color w:val="0070C0"/>
                <w:sz w:val="22"/>
                <w:szCs w:val="22"/>
              </w:rPr>
              <w:t>NTNU</w:t>
            </w:r>
          </w:p>
        </w:tc>
        <w:tc>
          <w:tcPr>
            <w:tcW w:w="3000" w:type="dxa"/>
          </w:tcPr>
          <w:p w14:paraId="24466BF2" w14:textId="77777777" w:rsidR="00823277" w:rsidRPr="00BA6E05" w:rsidRDefault="00823277" w:rsidP="006316F0">
            <w:pPr>
              <w:spacing w:after="40"/>
              <w:rPr>
                <w:color w:val="0070C0"/>
                <w:sz w:val="22"/>
                <w:szCs w:val="22"/>
              </w:rPr>
            </w:pPr>
            <w:r w:rsidRPr="00BA6E05">
              <w:rPr>
                <w:color w:val="0070C0"/>
                <w:sz w:val="22"/>
                <w:szCs w:val="22"/>
              </w:rPr>
              <w:t>Produktivitet</w:t>
            </w:r>
          </w:p>
        </w:tc>
      </w:tr>
    </w:tbl>
    <w:p w14:paraId="0E290862" w14:textId="77777777" w:rsidR="005033DC" w:rsidRDefault="005033DC" w:rsidP="00405B57">
      <w:pPr>
        <w:spacing w:after="60"/>
        <w:ind w:right="85"/>
      </w:pPr>
    </w:p>
    <w:p w14:paraId="57334A54" w14:textId="77777777" w:rsidR="00AA2D88" w:rsidRPr="007220CE" w:rsidRDefault="000663EE" w:rsidP="00BF7B9E">
      <w:pPr>
        <w:pStyle w:val="Heading1"/>
      </w:pPr>
      <w:r>
        <w:br w:type="page"/>
      </w:r>
      <w:bookmarkEnd w:id="1"/>
      <w:r w:rsidR="00FC32D9">
        <w:t>R</w:t>
      </w:r>
      <w:r w:rsidR="00AA2D88">
        <w:t>ammefordeling for 2019 og langtidsperioden</w:t>
      </w:r>
    </w:p>
    <w:p w14:paraId="65B7513B" w14:textId="77777777" w:rsidR="00AA2D88" w:rsidRDefault="00AA2D88" w:rsidP="00C84DE7">
      <w:pPr>
        <w:pStyle w:val="Default"/>
        <w:rPr>
          <w:color w:val="auto"/>
        </w:rPr>
      </w:pPr>
    </w:p>
    <w:p w14:paraId="44B420AC" w14:textId="77777777" w:rsidR="005831C7" w:rsidRPr="00AE0C57" w:rsidRDefault="005831C7" w:rsidP="005831C7">
      <w:pPr>
        <w:rPr>
          <w:sz w:val="22"/>
          <w:szCs w:val="22"/>
        </w:rPr>
      </w:pPr>
      <w:r w:rsidRPr="00AE0C57">
        <w:rPr>
          <w:sz w:val="22"/>
          <w:szCs w:val="22"/>
        </w:rPr>
        <w:t>I forslag til statsbudsjett 2019 er NTNUs rammebevilgning på 6.716.228 tusen kr, noe som innebærer en realøkning fra 2018 på 0,6 prosent. I det realistiske scenariet ligger det til grunn en positiv realutvikling fram mot 2022, etterfulgt av en realnedgang fram mot strategiperiodens slutt i 2025.</w:t>
      </w:r>
    </w:p>
    <w:p w14:paraId="4D5630F6" w14:textId="77777777" w:rsidR="005831C7" w:rsidRPr="00AE0C57" w:rsidRDefault="005831C7" w:rsidP="005831C7">
      <w:pPr>
        <w:rPr>
          <w:sz w:val="22"/>
          <w:szCs w:val="22"/>
        </w:rPr>
      </w:pPr>
    </w:p>
    <w:p w14:paraId="7EA13C55" w14:textId="77777777" w:rsidR="005831C7" w:rsidRPr="00AE0C57" w:rsidRDefault="005831C7" w:rsidP="005831C7">
      <w:pPr>
        <w:rPr>
          <w:sz w:val="22"/>
          <w:szCs w:val="22"/>
        </w:rPr>
      </w:pPr>
      <w:r w:rsidRPr="00AE0C57">
        <w:rPr>
          <w:sz w:val="22"/>
          <w:szCs w:val="22"/>
        </w:rPr>
        <w:t>De estimerte langtidsutsiktene er ikke vesentlig endret fra tidligere vurderinger. Samlet sett gir fakultetenes anslag på framtidig aktivitet en realvekst på 0,4 prosent fra 2018 til 2025. Dette innebærer at handlingsrommet vårt i det vesentlige ligger i tydeligere prioriteringer innenfor eksisterende rammer, noe som igjen krever god planlegging og virksomhetsledelse på alle nivå i organisasjonen.</w:t>
      </w:r>
    </w:p>
    <w:p w14:paraId="0A948976" w14:textId="77777777" w:rsidR="005831C7" w:rsidRPr="00AE0C57" w:rsidRDefault="005831C7" w:rsidP="005831C7">
      <w:pPr>
        <w:rPr>
          <w:sz w:val="22"/>
          <w:szCs w:val="22"/>
        </w:rPr>
      </w:pPr>
    </w:p>
    <w:p w14:paraId="7F6A1BA7" w14:textId="77777777" w:rsidR="005831C7" w:rsidRPr="00AE0C57" w:rsidRDefault="005831C7" w:rsidP="005831C7">
      <w:pPr>
        <w:rPr>
          <w:sz w:val="22"/>
          <w:szCs w:val="22"/>
        </w:rPr>
      </w:pPr>
      <w:r w:rsidRPr="00AE0C57">
        <w:rPr>
          <w:sz w:val="22"/>
          <w:szCs w:val="22"/>
        </w:rPr>
        <w:t>Samlet sett forventes driftsrammen til fakultetene</w:t>
      </w:r>
      <w:r>
        <w:rPr>
          <w:sz w:val="22"/>
          <w:szCs w:val="22"/>
        </w:rPr>
        <w:t xml:space="preserve"> i 2019</w:t>
      </w:r>
      <w:r w:rsidRPr="00AE0C57">
        <w:rPr>
          <w:sz w:val="22"/>
          <w:szCs w:val="22"/>
        </w:rPr>
        <w:t xml:space="preserve"> å få en realøkning på 34 mill. kr sammenliknet med 2018. Økningen skyldes vekst innenfor resultatindikatorene, opptrapping av nye studieplasser og at de skjermes for ABE-kuttet. Nivået på SO-rammen skal over de neste tre årene trappes opp til å totalt utgjøre 15 prosent av total bevilgning. Fra 2018 til 2019 øker denne rammen med anslagsvis 8,7 prosent. Økningen innebærer at SO-rammens andel av total bevilgning øker med ca. ett prosentpoeng fra 13 prosent i 2018 til 14 prosent i 2019.</w:t>
      </w:r>
    </w:p>
    <w:p w14:paraId="24B3C0D1" w14:textId="77777777" w:rsidR="005831C7" w:rsidRPr="00AE0C57" w:rsidRDefault="005831C7" w:rsidP="005831C7">
      <w:pPr>
        <w:pStyle w:val="Default"/>
        <w:rPr>
          <w:color w:val="auto"/>
          <w:sz w:val="22"/>
          <w:szCs w:val="22"/>
        </w:rPr>
      </w:pPr>
    </w:p>
    <w:p w14:paraId="1EF8E22D" w14:textId="28AFAD99" w:rsidR="005831C7" w:rsidRPr="004A1A5D" w:rsidRDefault="005831C7" w:rsidP="005831C7">
      <w:pPr>
        <w:rPr>
          <w:sz w:val="22"/>
          <w:szCs w:val="22"/>
        </w:rPr>
      </w:pPr>
      <w:r>
        <w:rPr>
          <w:sz w:val="22"/>
          <w:szCs w:val="22"/>
        </w:rPr>
        <w:t>NTNUs ubrukte bevilgninger er med å gi oss et økt handlingsrom de kommende årene. I tillegg vil det frigjøres midler på RSO-ramma utover i langtidsperioden i takt m</w:t>
      </w:r>
      <w:r w:rsidR="0068411D">
        <w:rPr>
          <w:sz w:val="22"/>
          <w:szCs w:val="22"/>
        </w:rPr>
        <w:t>ed opptrappingen av denne rammen</w:t>
      </w:r>
      <w:r>
        <w:rPr>
          <w:sz w:val="22"/>
          <w:szCs w:val="22"/>
        </w:rPr>
        <w:t xml:space="preserve"> (til 15% av totalbevilgning i 2021). D</w:t>
      </w:r>
      <w:r w:rsidRPr="00AE0C57">
        <w:rPr>
          <w:sz w:val="22"/>
          <w:szCs w:val="22"/>
        </w:rPr>
        <w:t xml:space="preserve">igitalisering, samlokalisering og campusutvikling vil være store og </w:t>
      </w:r>
      <w:r w:rsidRPr="004A1A5D">
        <w:rPr>
          <w:sz w:val="22"/>
          <w:szCs w:val="22"/>
        </w:rPr>
        <w:t xml:space="preserve">viktige oppgaver de kommende årene og kreve betydelige investeringsløft. Basert på det fremtidige handlingsrommet vi kjenner til pr i dag, legger Rektor for kommende fire-årsperide opp til en egenfinansiering inn i campusprosjektet i størrelsesorden 300-400 mill (f.eks utstillingsareal på Vitenskapsmuseet og erstatningsareal for sentralbygg II), en årlig satsning på digitalisering på ca 110 mil.kr, samt ferdigstilling av samlokaliseringsprosjektet. </w:t>
      </w:r>
    </w:p>
    <w:p w14:paraId="4D09A06E" w14:textId="77777777" w:rsidR="005831C7" w:rsidRDefault="005831C7" w:rsidP="005831C7">
      <w:pPr>
        <w:rPr>
          <w:sz w:val="22"/>
          <w:szCs w:val="22"/>
        </w:rPr>
      </w:pPr>
    </w:p>
    <w:p w14:paraId="055C6BC3" w14:textId="77777777" w:rsidR="005831C7" w:rsidRPr="00AE0C57" w:rsidRDefault="005831C7" w:rsidP="005831C7">
      <w:pPr>
        <w:rPr>
          <w:sz w:val="22"/>
          <w:szCs w:val="22"/>
          <w:highlight w:val="yellow"/>
        </w:rPr>
      </w:pPr>
      <w:r w:rsidRPr="00AE0C57">
        <w:rPr>
          <w:sz w:val="22"/>
          <w:szCs w:val="22"/>
        </w:rPr>
        <w:t xml:space="preserve">Tabellen under oppsummerer estimert rammefordeling for hele perioden 2019-2022. Pr nå er det lagt opp til at RSO-rammen trappes opp med 0,5%-poeng pr år de kommende to årene til vi når en andel på 15% i 2021. Denne opptrappingstakten vil imidlertid vurderes løpende basert på blant annet resultatbevilgningen det enkelte år. Dersom resultatbevilgningen blir lavere enn estimert, vil opptrappingstakten kunne justeres ned for å unngå for store kutt i fakultetenes rammebevilgning fra ett år til </w:t>
      </w:r>
      <w:r>
        <w:rPr>
          <w:sz w:val="22"/>
          <w:szCs w:val="22"/>
        </w:rPr>
        <w:t xml:space="preserve">det </w:t>
      </w:r>
      <w:r w:rsidRPr="00AE0C57">
        <w:rPr>
          <w:sz w:val="22"/>
          <w:szCs w:val="22"/>
        </w:rPr>
        <w:t xml:space="preserve">neste. For 2019 er ABE-kuttet som tidligere beskrevet holdt tilbake og ikke fordelt ut i organisasjonen. Nye ABE-kutt f.o.m 2020 er foreløpig fordelt på alle enheter som andelsmessige rammekutt. Denne fordelingen vil tas opp til ny vurdering i løpet av våren 2019 bl.a. med bakgrunn i den </w:t>
      </w:r>
      <w:r>
        <w:rPr>
          <w:sz w:val="22"/>
          <w:szCs w:val="22"/>
        </w:rPr>
        <w:t>kartleggingen som skal gjennomføres</w:t>
      </w:r>
      <w:r w:rsidRPr="00AE0C57">
        <w:rPr>
          <w:sz w:val="22"/>
          <w:szCs w:val="22"/>
        </w:rPr>
        <w:t xml:space="preserve">.  </w:t>
      </w:r>
    </w:p>
    <w:p w14:paraId="459EDC79" w14:textId="77777777" w:rsidR="00FC32D9" w:rsidRPr="00AE0C57" w:rsidRDefault="00FC32D9" w:rsidP="00FC32D9">
      <w:pPr>
        <w:rPr>
          <w:sz w:val="22"/>
          <w:szCs w:val="22"/>
        </w:rPr>
      </w:pPr>
    </w:p>
    <w:p w14:paraId="7A7CF67B" w14:textId="77777777" w:rsidR="00FC32D9" w:rsidRPr="00AE0C57" w:rsidRDefault="00E4344F" w:rsidP="00FC32D9">
      <w:pPr>
        <w:rPr>
          <w:sz w:val="22"/>
          <w:szCs w:val="22"/>
        </w:rPr>
      </w:pPr>
      <w:r w:rsidRPr="00E4344F">
        <w:rPr>
          <w:noProof/>
        </w:rPr>
        <w:drawing>
          <wp:inline distT="0" distB="0" distL="0" distR="0" wp14:anchorId="4928F07F" wp14:editId="429F126D">
            <wp:extent cx="5295900" cy="331766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4365" cy="3322968"/>
                    </a:xfrm>
                    <a:prstGeom prst="rect">
                      <a:avLst/>
                    </a:prstGeom>
                    <a:noFill/>
                    <a:ln>
                      <a:noFill/>
                    </a:ln>
                  </pic:spPr>
                </pic:pic>
              </a:graphicData>
            </a:graphic>
          </wp:inline>
        </w:drawing>
      </w:r>
    </w:p>
    <w:p w14:paraId="2708B56F" w14:textId="77777777" w:rsidR="00FC32D9" w:rsidRPr="00AE0C57" w:rsidRDefault="00FC32D9" w:rsidP="00FC32D9">
      <w:pPr>
        <w:rPr>
          <w:sz w:val="22"/>
          <w:szCs w:val="22"/>
        </w:rPr>
      </w:pPr>
    </w:p>
    <w:p w14:paraId="14253AC5" w14:textId="77777777" w:rsidR="00AA2D88" w:rsidRPr="007220CE" w:rsidRDefault="00AA2D88" w:rsidP="00BF7B9E">
      <w:pPr>
        <w:pStyle w:val="Heading1"/>
      </w:pPr>
      <w:r>
        <w:t>Risikovurdering av årsplanen</w:t>
      </w:r>
    </w:p>
    <w:p w14:paraId="734C4A11" w14:textId="77777777" w:rsidR="00AA2D88" w:rsidRPr="009C030B" w:rsidRDefault="00AA2D88">
      <w:pPr>
        <w:rPr>
          <w:sz w:val="22"/>
          <w:szCs w:val="22"/>
        </w:rPr>
      </w:pPr>
    </w:p>
    <w:p w14:paraId="50C25859" w14:textId="77777777" w:rsidR="00AA2D88" w:rsidRPr="009C030B" w:rsidRDefault="00817287">
      <w:pPr>
        <w:rPr>
          <w:sz w:val="22"/>
          <w:szCs w:val="22"/>
        </w:rPr>
      </w:pPr>
      <w:r w:rsidRPr="009C030B">
        <w:rPr>
          <w:sz w:val="22"/>
          <w:szCs w:val="22"/>
        </w:rPr>
        <w:t>Mens selve årsplanen er utarbeidet med utgangspunkt i vurderinger av suksessfaktorer for å realisere strategien, er risikovurderingen av årsplanen rettet mot vår evne til å gjennomføre det vi har planlagt i 2019 og risikoer for forsinkelser eller endringer.</w:t>
      </w:r>
    </w:p>
    <w:p w14:paraId="4AC43702" w14:textId="77777777" w:rsidR="00817287" w:rsidRPr="009C030B" w:rsidRDefault="00817287">
      <w:pPr>
        <w:rPr>
          <w:sz w:val="22"/>
          <w:szCs w:val="22"/>
        </w:rPr>
      </w:pPr>
    </w:p>
    <w:p w14:paraId="647F180C" w14:textId="44F1CC91" w:rsidR="00CA519E" w:rsidRPr="009C030B" w:rsidRDefault="00CA519E" w:rsidP="00CA519E">
      <w:pPr>
        <w:rPr>
          <w:sz w:val="22"/>
          <w:szCs w:val="22"/>
        </w:rPr>
      </w:pPr>
      <w:r w:rsidRPr="009C030B">
        <w:rPr>
          <w:sz w:val="22"/>
          <w:szCs w:val="22"/>
        </w:rPr>
        <w:t>Årsplanen for 2019 er</w:t>
      </w:r>
      <w:r w:rsidR="00EA3E05" w:rsidRPr="009C030B">
        <w:rPr>
          <w:sz w:val="22"/>
          <w:szCs w:val="22"/>
        </w:rPr>
        <w:t xml:space="preserve"> fundamentert i en bredt anlagt strategiprosess. Sammenlignet med </w:t>
      </w:r>
      <w:r w:rsidRPr="009C030B">
        <w:rPr>
          <w:sz w:val="22"/>
          <w:szCs w:val="22"/>
        </w:rPr>
        <w:t>tidligere år</w:t>
      </w:r>
      <w:r w:rsidR="00EA3E05" w:rsidRPr="009C030B">
        <w:rPr>
          <w:sz w:val="22"/>
          <w:szCs w:val="22"/>
        </w:rPr>
        <w:t xml:space="preserve"> er den derfor </w:t>
      </w:r>
      <w:r w:rsidRPr="009C030B">
        <w:rPr>
          <w:sz w:val="22"/>
          <w:szCs w:val="22"/>
        </w:rPr>
        <w:t>i større grad et resultat av en bottom-up-prosess</w:t>
      </w:r>
      <w:r w:rsidR="0068411D">
        <w:rPr>
          <w:sz w:val="22"/>
          <w:szCs w:val="22"/>
        </w:rPr>
        <w:t>, som</w:t>
      </w:r>
      <w:r w:rsidRPr="009C030B">
        <w:rPr>
          <w:sz w:val="22"/>
          <w:szCs w:val="22"/>
        </w:rPr>
        <w:t xml:space="preserve"> speiler det samlede endringsarbeidet hele organisasjonen prioriterer</w:t>
      </w:r>
      <w:r w:rsidR="00EA3E05" w:rsidRPr="009C030B">
        <w:rPr>
          <w:sz w:val="22"/>
          <w:szCs w:val="22"/>
        </w:rPr>
        <w:t>.</w:t>
      </w:r>
      <w:r w:rsidR="00B907B3" w:rsidRPr="009C030B">
        <w:rPr>
          <w:sz w:val="22"/>
          <w:szCs w:val="22"/>
        </w:rPr>
        <w:t xml:space="preserve"> </w:t>
      </w:r>
      <w:r w:rsidRPr="009C030B">
        <w:rPr>
          <w:sz w:val="22"/>
          <w:szCs w:val="22"/>
        </w:rPr>
        <w:t>For de delene av årsplanen som er en videreføring av pågående arbeid vurderes planverket godt gjennomarbeidet og kvalitetssikret som følge av at deler av endringsarbeidet inngår i utviklingsavtalen med KD eller er store, pågående prosjekter. For de nye utviklingsplanene gjenstår en del detaljeringsarbe</w:t>
      </w:r>
      <w:r w:rsidR="00EA3E05" w:rsidRPr="009C030B">
        <w:rPr>
          <w:sz w:val="22"/>
          <w:szCs w:val="22"/>
        </w:rPr>
        <w:t>id før arbeidet iverksettes. Det er derfor heftet noe usikkerhet knyttet til gjennomføringsgrad i 2019 for disse.</w:t>
      </w:r>
    </w:p>
    <w:p w14:paraId="7ACA79C5" w14:textId="77777777" w:rsidR="00EA3E05" w:rsidRPr="009C030B" w:rsidRDefault="00EA3E05" w:rsidP="00CA519E">
      <w:pPr>
        <w:rPr>
          <w:sz w:val="22"/>
          <w:szCs w:val="22"/>
        </w:rPr>
      </w:pPr>
    </w:p>
    <w:p w14:paraId="44AE6C9B" w14:textId="3C2428DD" w:rsidR="00EA3E05" w:rsidRPr="009C030B" w:rsidRDefault="00EA3E05" w:rsidP="00EA3E05">
      <w:pPr>
        <w:rPr>
          <w:sz w:val="22"/>
          <w:szCs w:val="22"/>
        </w:rPr>
      </w:pPr>
      <w:r w:rsidRPr="009C030B">
        <w:rPr>
          <w:sz w:val="22"/>
          <w:szCs w:val="22"/>
        </w:rPr>
        <w:t>Samlet sett vurderes risikoen for svikt i gjennomføring av årsplan og budsjett for 2019 som lav. Vi har imidlertid noen forhold som blir ekstra viktige for å lykkes i 2019. Disse usikkerhetene går på tv</w:t>
      </w:r>
      <w:r w:rsidR="00B907B3" w:rsidRPr="009C030B">
        <w:rPr>
          <w:sz w:val="22"/>
          <w:szCs w:val="22"/>
        </w:rPr>
        <w:t xml:space="preserve">ers av </w:t>
      </w:r>
      <w:r w:rsidRPr="009C030B">
        <w:rPr>
          <w:sz w:val="22"/>
          <w:szCs w:val="22"/>
        </w:rPr>
        <w:t xml:space="preserve">prioriteringene, og vil bli fulgt opp gjennom </w:t>
      </w:r>
      <w:r w:rsidR="00876640">
        <w:rPr>
          <w:sz w:val="22"/>
          <w:szCs w:val="22"/>
        </w:rPr>
        <w:t>dialog, rapportering og tiltak beskrevet under de aktuelle punktene.</w:t>
      </w:r>
    </w:p>
    <w:p w14:paraId="728961D4" w14:textId="77777777" w:rsidR="00EA3E05" w:rsidRPr="009C030B" w:rsidRDefault="00EA3E05" w:rsidP="00CA519E">
      <w:pPr>
        <w:rPr>
          <w:sz w:val="22"/>
          <w:szCs w:val="22"/>
        </w:rPr>
      </w:pPr>
    </w:p>
    <w:p w14:paraId="1B7AF4F5" w14:textId="77777777" w:rsidR="002A39E3" w:rsidRPr="009C030B" w:rsidRDefault="002A39E3" w:rsidP="002A39E3">
      <w:pPr>
        <w:rPr>
          <w:sz w:val="22"/>
          <w:szCs w:val="22"/>
        </w:rPr>
      </w:pPr>
    </w:p>
    <w:p w14:paraId="5714270E" w14:textId="77777777" w:rsidR="002A39E3" w:rsidRPr="009C030B" w:rsidRDefault="00D57852" w:rsidP="002A39E3">
      <w:pPr>
        <w:rPr>
          <w:i/>
          <w:sz w:val="22"/>
          <w:szCs w:val="22"/>
        </w:rPr>
      </w:pPr>
      <w:r w:rsidRPr="009C030B">
        <w:rPr>
          <w:i/>
          <w:sz w:val="22"/>
          <w:szCs w:val="22"/>
        </w:rPr>
        <w:t>Samlet endringstrykk</w:t>
      </w:r>
    </w:p>
    <w:p w14:paraId="3B2B2BF0" w14:textId="77777777" w:rsidR="009C030B" w:rsidRPr="009C030B" w:rsidRDefault="009C030B" w:rsidP="009C030B">
      <w:r w:rsidRPr="009C030B">
        <w:rPr>
          <w:sz w:val="22"/>
          <w:szCs w:val="22"/>
        </w:rPr>
        <w:t>Siden fusjonen trådte i kraft har organisasjonen gjennomgått betydelige endringer. Gjennom årets planprosess har det kommet tydelige meldinger om at det er behov for konsolidering, og det er avgjørende at endringene ferdigstilles og «får satt seg» før vi kan hente ut gevinster og gå videre med ytterligere endringer. Samtidig er vi opptatt av å svare på utfordringene fra samfunnet rundt oss og gripe muligheter som kan styrke virksomheten ytterligere. Dette er en krevende balansegang og det er nødvendig å følge nøye med på det samlede endringstrykket for organisasjonen i 2019 og sikre god koordinering med tidligere igangsatte og pågående initiativ slik at oppgavene fordeles hensiktsmessig gjennom året.</w:t>
      </w:r>
    </w:p>
    <w:p w14:paraId="02416697" w14:textId="77777777" w:rsidR="00412C1A" w:rsidRPr="009C030B" w:rsidRDefault="00412C1A" w:rsidP="002A39E3">
      <w:pPr>
        <w:rPr>
          <w:sz w:val="22"/>
          <w:szCs w:val="22"/>
        </w:rPr>
      </w:pPr>
    </w:p>
    <w:p w14:paraId="22095E83" w14:textId="77777777" w:rsidR="000774CA" w:rsidRPr="009C030B" w:rsidRDefault="000774CA" w:rsidP="000774CA">
      <w:pPr>
        <w:rPr>
          <w:i/>
          <w:sz w:val="22"/>
          <w:szCs w:val="22"/>
        </w:rPr>
      </w:pPr>
      <w:r w:rsidRPr="009C030B">
        <w:rPr>
          <w:i/>
          <w:sz w:val="22"/>
          <w:szCs w:val="22"/>
        </w:rPr>
        <w:t>Kapasitet og tilgjengelighet i ledelse og støtteapparat</w:t>
      </w:r>
    </w:p>
    <w:p w14:paraId="5C7B8F26" w14:textId="77777777" w:rsidR="009C030B" w:rsidRPr="009C030B" w:rsidRDefault="009C030B" w:rsidP="009C030B">
      <w:r w:rsidRPr="009C030B">
        <w:rPr>
          <w:sz w:val="22"/>
          <w:szCs w:val="22"/>
        </w:rPr>
        <w:t>Erfaringer fra 2017 og 2018 viser at tilstrekkelig kapasitet hos lederne og i støtteapparatet er en vesentlig risikofaktor for gjennomføring av planene, og at begrenset kapasitet i ledelse og administrativt støtteapparat kan være er en trussel mot arbeidsmiljø og gjennomføringsevne.</w:t>
      </w:r>
    </w:p>
    <w:p w14:paraId="0B2F8132" w14:textId="77777777" w:rsidR="009C030B" w:rsidRPr="009C030B" w:rsidRDefault="009C030B" w:rsidP="009C030B">
      <w:r w:rsidRPr="009C030B">
        <w:rPr>
          <w:sz w:val="22"/>
          <w:szCs w:val="22"/>
        </w:rPr>
        <w:t>I 2018 har det vært flere opplevde flaskehalser i det fellesadministrative støtteapparatet knyttet til å få gjennomført den planlagte aktiviteten i organisasjonen. Som et tiltak for å fjerne disse flaskehalsene i 2019, og dermed redusere risikoen for at den planlagte aktiviteten forsinkes, har Rektor tildelt øremerkede midler til 13 nye stillinger i fellesadministrasjonen. Vekst i faglig aktivitet krever økt administrativ kapasitet, og det er rom for denne økningen uten at forholdstallet mellom faglig og administrativ kapasitet (UFF/ADM) svekkes.</w:t>
      </w:r>
    </w:p>
    <w:p w14:paraId="387C0D38" w14:textId="77777777" w:rsidR="000774CA" w:rsidRPr="009C030B" w:rsidRDefault="000774CA" w:rsidP="000774CA">
      <w:pPr>
        <w:rPr>
          <w:sz w:val="22"/>
          <w:szCs w:val="22"/>
        </w:rPr>
      </w:pPr>
    </w:p>
    <w:p w14:paraId="0A13DDB6" w14:textId="77777777" w:rsidR="00B907B3" w:rsidRPr="009C030B" w:rsidRDefault="00B907B3" w:rsidP="00B907B3">
      <w:pPr>
        <w:rPr>
          <w:i/>
          <w:sz w:val="22"/>
          <w:szCs w:val="22"/>
        </w:rPr>
      </w:pPr>
      <w:r w:rsidRPr="009C030B">
        <w:rPr>
          <w:i/>
          <w:sz w:val="22"/>
          <w:szCs w:val="22"/>
        </w:rPr>
        <w:t>Digital kompetanse</w:t>
      </w:r>
    </w:p>
    <w:p w14:paraId="372D43B8" w14:textId="77777777" w:rsidR="009C030B" w:rsidRPr="009C030B" w:rsidRDefault="009C030B" w:rsidP="009C030B">
      <w:r w:rsidRPr="009C030B">
        <w:rPr>
          <w:sz w:val="22"/>
          <w:szCs w:val="22"/>
        </w:rPr>
        <w:t>NTNU må bygge digital kompetanse i mange deler av organisasjonen. En konsekvens av manglende kompetanse om digitalisering med påfølgende prosess- og organisasjonsutvikling kan være at vi ikke griper mulighetene i stor nok grad eller ikke endrer oss raskt nok til å sikre at gevinstene som digitaliseringsarbeidet gir kan hentes ut. Gjennom en kombinasjon av kompetanseutviklingstiltak og nyrekruttering ønsker vi å styrke oss vesentlig i løpet av 2019.</w:t>
      </w:r>
    </w:p>
    <w:p w14:paraId="5E8BB0F3" w14:textId="77777777" w:rsidR="00B907B3" w:rsidRPr="009C030B" w:rsidRDefault="00B907B3" w:rsidP="000774CA">
      <w:pPr>
        <w:rPr>
          <w:sz w:val="22"/>
          <w:szCs w:val="22"/>
        </w:rPr>
      </w:pPr>
    </w:p>
    <w:p w14:paraId="30104294" w14:textId="77777777" w:rsidR="00D57852" w:rsidRPr="009C030B" w:rsidRDefault="00D57852" w:rsidP="002A39E3">
      <w:pPr>
        <w:rPr>
          <w:i/>
          <w:sz w:val="22"/>
          <w:szCs w:val="22"/>
        </w:rPr>
      </w:pPr>
      <w:r w:rsidRPr="009C030B">
        <w:rPr>
          <w:i/>
          <w:sz w:val="22"/>
          <w:szCs w:val="22"/>
        </w:rPr>
        <w:t>Rekruttering av ansatte</w:t>
      </w:r>
    </w:p>
    <w:p w14:paraId="7AD6FB9B" w14:textId="77777777" w:rsidR="00D57852" w:rsidRPr="009C030B" w:rsidRDefault="009C030B" w:rsidP="002A39E3">
      <w:pPr>
        <w:rPr>
          <w:sz w:val="22"/>
          <w:szCs w:val="22"/>
        </w:rPr>
      </w:pPr>
      <w:r w:rsidRPr="009C030B">
        <w:rPr>
          <w:sz w:val="22"/>
          <w:szCs w:val="22"/>
        </w:rPr>
        <w:t xml:space="preserve">Nyrekruttering er et av våre mest kraftfulle virkemidler for strategisk utvikling av alle deler av virksomheten. Rask og riktig rekruttering er en kritisk suksessfaktor både i 2019 og for hele strategiperioden. Vi har hatt utfordringer knyttet til at rekrutteringsprosessene tar tid og vi mister gode kandidater underveis. I 2019 ruller vi ut en forbedret og digitalisert rekrutteringsprosess for vitenskapelig ansatte. Samtidig piloterer vi et nytt verktøy for bemanningsplanlegging som vil kunne hjelpe lederne på alle nivå til mer strategisk og langsiktig utvikling av bemanningen. I 2019 vil vi ha høy oppmerksomhet på om vi oppnår ønsket kvalitetsheving og utnytter mulighetsrommet nyrekruttering gir i alle deler av virksomheten. </w:t>
      </w:r>
    </w:p>
    <w:p w14:paraId="247F7354" w14:textId="77777777" w:rsidR="009C030B" w:rsidRPr="009C030B" w:rsidRDefault="009C030B">
      <w:pPr>
        <w:rPr>
          <w:sz w:val="22"/>
          <w:szCs w:val="22"/>
        </w:rPr>
      </w:pPr>
      <w:r w:rsidRPr="009C030B">
        <w:rPr>
          <w:sz w:val="22"/>
          <w:szCs w:val="22"/>
        </w:rPr>
        <w:br w:type="page"/>
      </w:r>
    </w:p>
    <w:p w14:paraId="48782778" w14:textId="77777777" w:rsidR="009C030B" w:rsidRPr="009C030B" w:rsidRDefault="009C030B" w:rsidP="002A39E3">
      <w:pPr>
        <w:rPr>
          <w:sz w:val="22"/>
          <w:szCs w:val="22"/>
        </w:rPr>
      </w:pPr>
    </w:p>
    <w:p w14:paraId="448F0B26" w14:textId="77777777" w:rsidR="00AA2D88" w:rsidRPr="009C030B" w:rsidRDefault="000C5595">
      <w:pPr>
        <w:rPr>
          <w:i/>
          <w:sz w:val="22"/>
          <w:szCs w:val="22"/>
        </w:rPr>
      </w:pPr>
      <w:r w:rsidRPr="009C030B">
        <w:rPr>
          <w:i/>
          <w:sz w:val="22"/>
          <w:szCs w:val="22"/>
        </w:rPr>
        <w:t>Stordriftsulemper</w:t>
      </w:r>
    </w:p>
    <w:p w14:paraId="3EAB8181" w14:textId="77777777" w:rsidR="009C030B" w:rsidRPr="009C030B" w:rsidRDefault="009C030B" w:rsidP="009C030B">
      <w:r w:rsidRPr="009C030B">
        <w:rPr>
          <w:sz w:val="22"/>
          <w:szCs w:val="22"/>
        </w:rPr>
        <w:t>NTNU er en stor organisasjon. Dette gir muligheter for å utvikle spisskompetanse i støtteapparatet. Samtidig krever oppgavene i stadig større grad helhetstenking og tverrfaglig oppmerksomhet på brukernes behov. Vi erfarer i dag utfordringer med koordinering av det administrative støtteapparatet på tvers av nivåer og internt i Fellesadministrasjonen. Flere tiltak er og blir iverksatt for å sikre bedre koordinering og ressursutnyttelse, slik at organisasjonens størrelse blir et fortrinn og ikke en ulempe. Vi må unngå å knele av vår egen størrelse.</w:t>
      </w:r>
    </w:p>
    <w:p w14:paraId="5493FD64" w14:textId="77777777" w:rsidR="00D57852" w:rsidRPr="009C030B" w:rsidRDefault="00D57852">
      <w:pPr>
        <w:rPr>
          <w:sz w:val="22"/>
          <w:szCs w:val="22"/>
        </w:rPr>
      </w:pPr>
    </w:p>
    <w:p w14:paraId="4C6CC2C3" w14:textId="77777777" w:rsidR="003177F8" w:rsidRPr="009C030B" w:rsidRDefault="003177F8" w:rsidP="003177F8">
      <w:pPr>
        <w:rPr>
          <w:i/>
          <w:sz w:val="22"/>
          <w:szCs w:val="22"/>
        </w:rPr>
      </w:pPr>
      <w:r w:rsidRPr="009C030B">
        <w:rPr>
          <w:i/>
          <w:sz w:val="22"/>
          <w:szCs w:val="22"/>
        </w:rPr>
        <w:t>Omlegging av etter- og videreutdanningsvirksomheten</w:t>
      </w:r>
    </w:p>
    <w:p w14:paraId="0378A017" w14:textId="77777777" w:rsidR="009C030B" w:rsidRPr="009C030B" w:rsidRDefault="009C030B" w:rsidP="009C030B">
      <w:r w:rsidRPr="009C030B">
        <w:rPr>
          <w:sz w:val="22"/>
          <w:szCs w:val="22"/>
        </w:rPr>
        <w:t>I april 2018 lanserte NTNU en EVU-satsing som innebærer at omfanget av EVU-virksomheten skal dobles i løpet av tre år. Samtidig pågår det viktige avklaringer i regi av UHR/KD vedrørende regelverket for finansiering av etter- og videreutdanning som tilbys av UH-sektoren. NTNU arbeider med å utvikle en EVU-satsing, inkl. vurderer en omlegging av måten vi organiserer virksomheten på. Samlet sett innebærer endringene en viss usikkerhet, både med tanke på gjennomføring og økonomiske konsekvenser.</w:t>
      </w:r>
    </w:p>
    <w:p w14:paraId="45A23F63" w14:textId="77777777" w:rsidR="009C030B" w:rsidRPr="009C030B" w:rsidRDefault="009C030B" w:rsidP="003177F8">
      <w:pPr>
        <w:rPr>
          <w:sz w:val="22"/>
          <w:szCs w:val="22"/>
        </w:rPr>
      </w:pPr>
    </w:p>
    <w:p w14:paraId="7C66992B" w14:textId="77777777" w:rsidR="009C58B0" w:rsidRPr="009C030B" w:rsidRDefault="009C58B0" w:rsidP="009C58B0">
      <w:pPr>
        <w:rPr>
          <w:sz w:val="22"/>
          <w:szCs w:val="22"/>
        </w:rPr>
      </w:pPr>
      <w:r w:rsidRPr="009C030B">
        <w:rPr>
          <w:i/>
          <w:sz w:val="22"/>
          <w:szCs w:val="22"/>
        </w:rPr>
        <w:t>Informasjonssikkerhet, personvern og internkontroll</w:t>
      </w:r>
    </w:p>
    <w:p w14:paraId="070F0F85" w14:textId="77777777" w:rsidR="009C030B" w:rsidRPr="009C030B" w:rsidRDefault="009C030B" w:rsidP="009C030B">
      <w:r w:rsidRPr="009C030B">
        <w:rPr>
          <w:sz w:val="22"/>
          <w:szCs w:val="22"/>
        </w:rPr>
        <w:t>Informasjonssikkerhet og personvern (GDPR) representerer vesentlige risikoområder. Det gjennomføres egne prosjekter for å implementere bedre styrings- og ledelsessystemer og tilhørende internkontrollrutiner utover i organisasjonen. Det er i 2018 igangsatt et arbeid med å utvikle felles systematikk og metodikk, herunder mer samordnede IT-systemer for en mer helhetlig internkontroll ved NTNU. Selv om det legges ned et betydelig arbeid for å forbedre organisasjonen på dette området kan det ikke utelukkes at vi kan få uønskede hendelser som kan gå utover NTNUs omdømme eller kapasitet til å ivareta andre prioriterte oppgaver.</w:t>
      </w:r>
    </w:p>
    <w:p w14:paraId="67D30F65" w14:textId="77777777" w:rsidR="00E37D46" w:rsidRPr="009C030B" w:rsidRDefault="00E37D46" w:rsidP="00E37D46">
      <w:pPr>
        <w:rPr>
          <w:i/>
          <w:sz w:val="22"/>
          <w:szCs w:val="22"/>
        </w:rPr>
      </w:pPr>
    </w:p>
    <w:p w14:paraId="27028ABB" w14:textId="77777777" w:rsidR="00E37D46" w:rsidRPr="009C030B" w:rsidRDefault="00E37D46" w:rsidP="00E37D46">
      <w:pPr>
        <w:rPr>
          <w:sz w:val="22"/>
          <w:szCs w:val="22"/>
        </w:rPr>
      </w:pPr>
      <w:r w:rsidRPr="009C030B">
        <w:rPr>
          <w:i/>
          <w:sz w:val="22"/>
          <w:szCs w:val="22"/>
        </w:rPr>
        <w:t>Gjennomføring av samlokaliseringsprosjektet</w:t>
      </w:r>
    </w:p>
    <w:p w14:paraId="2790F722" w14:textId="4D16AEB5" w:rsidR="00E37D46" w:rsidRPr="009C030B" w:rsidRDefault="00E37D46">
      <w:pPr>
        <w:rPr>
          <w:sz w:val="22"/>
          <w:szCs w:val="22"/>
        </w:rPr>
      </w:pPr>
      <w:r w:rsidRPr="009C030B">
        <w:rPr>
          <w:sz w:val="22"/>
          <w:szCs w:val="22"/>
        </w:rPr>
        <w:t xml:space="preserve">Samlokaliseringsprosjektet er i seg selv viktig for faglig integrasjon og for å kunne høste gevinster fra fusjonen. </w:t>
      </w:r>
      <w:r w:rsidR="00FD30A1">
        <w:rPr>
          <w:sz w:val="22"/>
          <w:szCs w:val="22"/>
        </w:rPr>
        <w:t>Det er</w:t>
      </w:r>
      <w:r w:rsidRPr="009C030B">
        <w:rPr>
          <w:sz w:val="22"/>
          <w:szCs w:val="22"/>
        </w:rPr>
        <w:t xml:space="preserve"> også en betydelig økonomisk risiko knyttet til gjennomføringstakten i prosjektet. Det er mange delprosjekter som skal gjennomføres, med store kostnader. Det vil være behov for god budsjettstyring både for å klare å holde seg innenfor de gitte kostnadsrammer, men også at man har den forventede fremdrift i prosjektene og får disse gjennomført i henhold til plan. Det er mange gjensidige avhengigheter og en høy grad av «domino-effekt» i disse prosjektene, hvor forsinkelser i ett prosjekt også automatisk vil medføre forsinkelse i andre delprosjekter. Det er også slik at fakultetene bidrar med egenfinansiering i prosjektet og forsinkelser kan bidra til høyere avsetningsnivå enn planlagt.</w:t>
      </w:r>
    </w:p>
    <w:p w14:paraId="7F65ACF6" w14:textId="77777777" w:rsidR="00E37D46" w:rsidRPr="009C030B" w:rsidRDefault="00E37D46">
      <w:pPr>
        <w:rPr>
          <w:sz w:val="22"/>
          <w:szCs w:val="22"/>
        </w:rPr>
      </w:pPr>
    </w:p>
    <w:p w14:paraId="7AA962DB" w14:textId="0471A7C5" w:rsidR="00AA2D88" w:rsidRPr="009C030B" w:rsidRDefault="00F1037D">
      <w:pPr>
        <w:rPr>
          <w:i/>
          <w:sz w:val="23"/>
          <w:szCs w:val="23"/>
        </w:rPr>
      </w:pPr>
      <w:r w:rsidRPr="009C030B">
        <w:rPr>
          <w:i/>
          <w:sz w:val="23"/>
          <w:szCs w:val="23"/>
        </w:rPr>
        <w:t xml:space="preserve">Budsjettoppnåelse </w:t>
      </w:r>
    </w:p>
    <w:p w14:paraId="4F4277C0" w14:textId="77777777" w:rsidR="00F1037D" w:rsidRPr="009C030B" w:rsidRDefault="009C030B" w:rsidP="00F1037D">
      <w:r w:rsidRPr="009C030B">
        <w:rPr>
          <w:sz w:val="22"/>
          <w:szCs w:val="22"/>
        </w:rPr>
        <w:t xml:space="preserve">Generelt kan det samlede endringstrykket i kombinasjon med kapasitets- og kompetanseutfordringer gi seg utslag i lavere aktivitet enn budsjettert og dermed et lavere kostnadsnivå enn forventet. Dette har vi erfart tidligere år, og det arbeides stadig med forbedringstiltak for å unngå for at nivået på ubrukte bevilgninger går utenfor de styringskorridorene som er fastsatt. </w:t>
      </w:r>
      <w:r w:rsidR="00F1037D" w:rsidRPr="009C030B">
        <w:rPr>
          <w:sz w:val="22"/>
          <w:szCs w:val="22"/>
        </w:rPr>
        <w:t xml:space="preserve">Når det gjelder </w:t>
      </w:r>
      <w:r w:rsidR="00110864" w:rsidRPr="009C030B">
        <w:rPr>
          <w:sz w:val="22"/>
          <w:szCs w:val="22"/>
        </w:rPr>
        <w:t xml:space="preserve">mer spesifikk risiko knyttet til </w:t>
      </w:r>
      <w:r w:rsidR="00F1037D" w:rsidRPr="009C030B">
        <w:rPr>
          <w:sz w:val="22"/>
          <w:szCs w:val="22"/>
        </w:rPr>
        <w:t xml:space="preserve">budsjettoppnåelse for </w:t>
      </w:r>
      <w:r w:rsidR="002B11C5" w:rsidRPr="009C030B">
        <w:rPr>
          <w:sz w:val="22"/>
          <w:szCs w:val="22"/>
        </w:rPr>
        <w:t>2019</w:t>
      </w:r>
      <w:r w:rsidR="00F1037D" w:rsidRPr="009C030B">
        <w:rPr>
          <w:sz w:val="22"/>
          <w:szCs w:val="22"/>
        </w:rPr>
        <w:t xml:space="preserve">, </w:t>
      </w:r>
      <w:r w:rsidR="00110864" w:rsidRPr="009C030B">
        <w:rPr>
          <w:sz w:val="22"/>
          <w:szCs w:val="22"/>
        </w:rPr>
        <w:t>er det</w:t>
      </w:r>
      <w:r w:rsidR="00F1037D" w:rsidRPr="009C030B">
        <w:rPr>
          <w:sz w:val="22"/>
          <w:szCs w:val="22"/>
        </w:rPr>
        <w:t xml:space="preserve"> </w:t>
      </w:r>
      <w:r w:rsidR="002B11C5" w:rsidRPr="009C030B">
        <w:rPr>
          <w:sz w:val="22"/>
          <w:szCs w:val="22"/>
        </w:rPr>
        <w:t xml:space="preserve">fortsatt </w:t>
      </w:r>
      <w:r w:rsidR="007033DB" w:rsidRPr="009C030B">
        <w:rPr>
          <w:sz w:val="22"/>
          <w:szCs w:val="22"/>
        </w:rPr>
        <w:t>særlig</w:t>
      </w:r>
      <w:r w:rsidR="002B11C5" w:rsidRPr="009C030B">
        <w:rPr>
          <w:sz w:val="22"/>
          <w:szCs w:val="22"/>
        </w:rPr>
        <w:t xml:space="preserve"> </w:t>
      </w:r>
      <w:r w:rsidR="00F1037D" w:rsidRPr="009C030B">
        <w:rPr>
          <w:sz w:val="22"/>
          <w:szCs w:val="22"/>
        </w:rPr>
        <w:t>risiko knyttet</w:t>
      </w:r>
      <w:r w:rsidR="002B11C5" w:rsidRPr="009C030B">
        <w:rPr>
          <w:sz w:val="22"/>
          <w:szCs w:val="22"/>
        </w:rPr>
        <w:t xml:space="preserve"> til </w:t>
      </w:r>
      <w:r w:rsidR="007033DB" w:rsidRPr="009C030B">
        <w:rPr>
          <w:sz w:val="22"/>
          <w:szCs w:val="22"/>
        </w:rPr>
        <w:t xml:space="preserve">gjennomføringstakten i </w:t>
      </w:r>
      <w:r w:rsidR="002B11C5" w:rsidRPr="009C030B">
        <w:rPr>
          <w:sz w:val="22"/>
          <w:szCs w:val="22"/>
        </w:rPr>
        <w:t xml:space="preserve">samlokaliseringsprosjektet. </w:t>
      </w:r>
    </w:p>
    <w:p w14:paraId="43F8D4E5" w14:textId="77777777" w:rsidR="002B11C5" w:rsidRPr="009C030B" w:rsidRDefault="002B11C5" w:rsidP="00F1037D">
      <w:pPr>
        <w:rPr>
          <w:sz w:val="22"/>
          <w:szCs w:val="22"/>
        </w:rPr>
      </w:pPr>
    </w:p>
    <w:p w14:paraId="3C0C2E5B" w14:textId="77777777" w:rsidR="00B50B7B" w:rsidRPr="009C030B" w:rsidRDefault="00B50B7B" w:rsidP="009C030B">
      <w:r w:rsidRPr="009C030B">
        <w:rPr>
          <w:sz w:val="22"/>
          <w:szCs w:val="22"/>
        </w:rPr>
        <w:t> </w:t>
      </w:r>
    </w:p>
    <w:p w14:paraId="3A5B38BE" w14:textId="77777777" w:rsidR="000774CA" w:rsidRPr="009C030B" w:rsidRDefault="000774CA" w:rsidP="000774CA">
      <w:pPr>
        <w:rPr>
          <w:sz w:val="22"/>
          <w:szCs w:val="22"/>
        </w:rPr>
      </w:pPr>
    </w:p>
    <w:p w14:paraId="589CA923" w14:textId="77777777" w:rsidR="000774CA" w:rsidRPr="009C030B" w:rsidRDefault="000774CA" w:rsidP="000774CA">
      <w:pPr>
        <w:rPr>
          <w:sz w:val="22"/>
          <w:szCs w:val="22"/>
        </w:rPr>
      </w:pPr>
    </w:p>
    <w:p w14:paraId="0D1194EF" w14:textId="77777777" w:rsidR="000774CA" w:rsidRPr="009C030B" w:rsidRDefault="000774CA" w:rsidP="000774CA">
      <w:pPr>
        <w:rPr>
          <w:sz w:val="22"/>
          <w:szCs w:val="22"/>
        </w:rPr>
      </w:pPr>
    </w:p>
    <w:p w14:paraId="768B59E8" w14:textId="77777777" w:rsidR="000774CA" w:rsidRPr="009C030B" w:rsidRDefault="000774CA" w:rsidP="000774CA">
      <w:pPr>
        <w:rPr>
          <w:sz w:val="22"/>
          <w:szCs w:val="22"/>
        </w:rPr>
      </w:pPr>
    </w:p>
    <w:p w14:paraId="5B050540" w14:textId="77777777" w:rsidR="000774CA" w:rsidRPr="00F1037D" w:rsidRDefault="000774CA" w:rsidP="000774CA">
      <w:pPr>
        <w:rPr>
          <w:sz w:val="22"/>
          <w:szCs w:val="22"/>
        </w:rPr>
      </w:pPr>
    </w:p>
    <w:p w14:paraId="6AA75EB6" w14:textId="77777777" w:rsidR="000774CA" w:rsidRDefault="000774CA" w:rsidP="000774CA">
      <w:pPr>
        <w:rPr>
          <w:sz w:val="22"/>
          <w:szCs w:val="22"/>
        </w:rPr>
      </w:pPr>
    </w:p>
    <w:p w14:paraId="31E94CA0" w14:textId="77777777" w:rsidR="0057215C" w:rsidRDefault="0057215C">
      <w:r>
        <w:br w:type="page"/>
      </w:r>
    </w:p>
    <w:p w14:paraId="5E2D6E2A" w14:textId="77777777" w:rsidR="00120C18" w:rsidRPr="00120C18" w:rsidRDefault="00120C18" w:rsidP="00120C18"/>
    <w:p w14:paraId="0FE82B82" w14:textId="77777777" w:rsidR="00120C18" w:rsidRDefault="77A404A7" w:rsidP="77A404A7">
      <w:pPr>
        <w:rPr>
          <w:b/>
          <w:bCs/>
          <w:sz w:val="48"/>
          <w:szCs w:val="48"/>
        </w:rPr>
      </w:pPr>
      <w:r w:rsidRPr="77A404A7">
        <w:rPr>
          <w:b/>
          <w:bCs/>
          <w:sz w:val="48"/>
          <w:szCs w:val="48"/>
        </w:rPr>
        <w:t>VEDLEGG</w:t>
      </w:r>
    </w:p>
    <w:p w14:paraId="58D9E36E" w14:textId="77777777" w:rsidR="0057215C" w:rsidRDefault="0057215C" w:rsidP="77A404A7">
      <w:pPr>
        <w:rPr>
          <w:b/>
          <w:sz w:val="48"/>
        </w:rPr>
      </w:pPr>
    </w:p>
    <w:p w14:paraId="39F6DE8F" w14:textId="77777777" w:rsidR="00BF7B9E" w:rsidRDefault="00BF7B9E" w:rsidP="00801F7F">
      <w:pPr>
        <w:pStyle w:val="ListParagraph"/>
        <w:numPr>
          <w:ilvl w:val="0"/>
          <w:numId w:val="6"/>
        </w:numPr>
        <w:rPr>
          <w:b/>
          <w:bCs/>
        </w:rPr>
      </w:pPr>
      <w:r>
        <w:rPr>
          <w:b/>
          <w:bCs/>
        </w:rPr>
        <w:t>Sammenheng mellom strategiske mål og operativt planverk</w:t>
      </w:r>
    </w:p>
    <w:p w14:paraId="4EC4E77E" w14:textId="77777777" w:rsidR="00801F7F" w:rsidRDefault="00801F7F" w:rsidP="00801F7F">
      <w:pPr>
        <w:pStyle w:val="ListParagraph"/>
        <w:numPr>
          <w:ilvl w:val="0"/>
          <w:numId w:val="6"/>
        </w:numPr>
        <w:rPr>
          <w:b/>
          <w:bCs/>
        </w:rPr>
      </w:pPr>
      <w:r>
        <w:rPr>
          <w:b/>
          <w:bCs/>
        </w:rPr>
        <w:t>Økonomiske langtidsutsikter</w:t>
      </w:r>
    </w:p>
    <w:p w14:paraId="72F1BAEA" w14:textId="77777777" w:rsidR="00203DA5" w:rsidRPr="00590F34" w:rsidRDefault="77A404A7" w:rsidP="00801F7F">
      <w:pPr>
        <w:pStyle w:val="ListParagraph"/>
        <w:numPr>
          <w:ilvl w:val="0"/>
          <w:numId w:val="6"/>
        </w:numPr>
        <w:rPr>
          <w:b/>
          <w:bCs/>
        </w:rPr>
      </w:pPr>
      <w:r w:rsidRPr="00590F34">
        <w:rPr>
          <w:b/>
          <w:bCs/>
        </w:rPr>
        <w:t>Detaljert rammefordel</w:t>
      </w:r>
      <w:r w:rsidR="0031699B">
        <w:rPr>
          <w:b/>
          <w:bCs/>
        </w:rPr>
        <w:t>ing for 2019 og langtidsperioden</w:t>
      </w:r>
    </w:p>
    <w:p w14:paraId="3E9CA3A9" w14:textId="77777777" w:rsidR="00203DA5" w:rsidRPr="002F2A43" w:rsidRDefault="00C421C3" w:rsidP="002F2A43">
      <w:pPr>
        <w:pStyle w:val="ListParagraph"/>
        <w:numPr>
          <w:ilvl w:val="0"/>
          <w:numId w:val="6"/>
        </w:numPr>
        <w:rPr>
          <w:b/>
          <w:bCs/>
        </w:rPr>
      </w:pPr>
      <w:r>
        <w:rPr>
          <w:b/>
          <w:bCs/>
        </w:rPr>
        <w:t>Samlet fremstilling av endringer i styrende dokumenter</w:t>
      </w:r>
    </w:p>
    <w:p w14:paraId="1A3F5F97" w14:textId="77777777" w:rsidR="006C1635" w:rsidRDefault="006C1635">
      <w:pPr>
        <w:pBdr>
          <w:bottom w:val="single" w:sz="12" w:space="1" w:color="auto"/>
        </w:pBdr>
        <w:rPr>
          <w:b/>
          <w:sz w:val="48"/>
        </w:rPr>
      </w:pPr>
    </w:p>
    <w:p w14:paraId="0C42EB7E" w14:textId="77777777" w:rsidR="00BF7B9E" w:rsidRDefault="00BF7B9E">
      <w:pPr>
        <w:rPr>
          <w:b/>
          <w:sz w:val="48"/>
        </w:rPr>
      </w:pPr>
    </w:p>
    <w:p w14:paraId="7E50E6C2" w14:textId="77777777" w:rsidR="00BF7B9E" w:rsidRDefault="00BF7B9E">
      <w:pPr>
        <w:rPr>
          <w:b/>
          <w:sz w:val="48"/>
        </w:rPr>
      </w:pPr>
    </w:p>
    <w:p w14:paraId="00B1A434" w14:textId="77777777" w:rsidR="00BF7B9E" w:rsidRDefault="00BF7B9E">
      <w:pPr>
        <w:rPr>
          <w:b/>
          <w:sz w:val="48"/>
        </w:rPr>
      </w:pPr>
      <w:r>
        <w:rPr>
          <w:b/>
          <w:sz w:val="48"/>
        </w:rPr>
        <w:br w:type="page"/>
      </w:r>
    </w:p>
    <w:p w14:paraId="39F51EF4" w14:textId="77777777" w:rsidR="00BF7B9E" w:rsidRPr="007220CE" w:rsidRDefault="00705321" w:rsidP="00BF7B9E">
      <w:pPr>
        <w:pStyle w:val="Heading1"/>
      </w:pPr>
      <w:r>
        <w:t xml:space="preserve">Vedlegg A: </w:t>
      </w:r>
      <w:r w:rsidR="00BF7B9E">
        <w:t>Sammenheng mellom strategiske mål og operativt planverk</w:t>
      </w:r>
    </w:p>
    <w:p w14:paraId="0BB15C19" w14:textId="77777777" w:rsidR="00BF7B9E" w:rsidRDefault="00BF7B9E" w:rsidP="00BF7B9E">
      <w:pPr>
        <w:rPr>
          <w:sz w:val="22"/>
          <w:szCs w:val="22"/>
        </w:rPr>
      </w:pPr>
    </w:p>
    <w:p w14:paraId="2E26E7C6" w14:textId="77777777" w:rsidR="00BF7B9E" w:rsidRPr="008E6136" w:rsidRDefault="00BF7B9E" w:rsidP="00BF7B9E">
      <w:pPr>
        <w:rPr>
          <w:sz w:val="22"/>
          <w:szCs w:val="22"/>
        </w:rPr>
      </w:pPr>
      <w:r w:rsidRPr="008E6136">
        <w:rPr>
          <w:sz w:val="22"/>
          <w:szCs w:val="22"/>
        </w:rPr>
        <w:t>Tabellen viser koblingen mellom utv</w:t>
      </w:r>
      <w:r w:rsidR="002A39E3">
        <w:rPr>
          <w:sz w:val="22"/>
          <w:szCs w:val="22"/>
        </w:rPr>
        <w:t>iklingsmålene i strategien og de fem hovedområdene i årsplanen for 2019 og langtidsperioden.</w:t>
      </w:r>
    </w:p>
    <w:p w14:paraId="259675B7" w14:textId="77777777" w:rsidR="00BF7B9E" w:rsidRDefault="00BF7B9E" w:rsidP="00BF7B9E">
      <w:pPr>
        <w:rPr>
          <w:sz w:val="22"/>
        </w:rPr>
      </w:pPr>
    </w:p>
    <w:p w14:paraId="182EBEB5" w14:textId="77777777" w:rsidR="00BF7B9E" w:rsidRDefault="00BF7B9E" w:rsidP="00BF7B9E">
      <w:pPr>
        <w:rPr>
          <w:sz w:val="22"/>
        </w:rPr>
      </w:pPr>
    </w:p>
    <w:tbl>
      <w:tblPr>
        <w:tblStyle w:val="GridTable6Colorful"/>
        <w:tblW w:w="0" w:type="auto"/>
        <w:tblLayout w:type="fixed"/>
        <w:tblLook w:val="04A0" w:firstRow="1" w:lastRow="0" w:firstColumn="1" w:lastColumn="0" w:noHBand="0" w:noVBand="1"/>
      </w:tblPr>
      <w:tblGrid>
        <w:gridCol w:w="563"/>
        <w:gridCol w:w="5159"/>
        <w:gridCol w:w="1118"/>
        <w:gridCol w:w="459"/>
        <w:gridCol w:w="459"/>
        <w:gridCol w:w="647"/>
        <w:gridCol w:w="646"/>
        <w:gridCol w:w="662"/>
      </w:tblGrid>
      <w:tr w:rsidR="00BF7B9E" w14:paraId="2B27C1BC" w14:textId="77777777" w:rsidTr="00F76CA1">
        <w:trPr>
          <w:cnfStyle w:val="100000000000" w:firstRow="1" w:lastRow="0" w:firstColumn="0" w:lastColumn="0" w:oddVBand="0" w:evenVBand="0" w:oddHBand="0" w:evenHBand="0" w:firstRowFirstColumn="0" w:firstRowLastColumn="0" w:lastRowFirstColumn="0" w:lastRowLastColumn="0"/>
          <w:trHeight w:val="3066"/>
        </w:trPr>
        <w:tc>
          <w:tcPr>
            <w:cnfStyle w:val="001000000000" w:firstRow="0" w:lastRow="0" w:firstColumn="1" w:lastColumn="0" w:oddVBand="0" w:evenVBand="0" w:oddHBand="0" w:evenHBand="0" w:firstRowFirstColumn="0" w:firstRowLastColumn="0" w:lastRowFirstColumn="0" w:lastRowLastColumn="0"/>
            <w:tcW w:w="563" w:type="dxa"/>
          </w:tcPr>
          <w:p w14:paraId="5456D555" w14:textId="77777777" w:rsidR="00BF7B9E" w:rsidRPr="008E6136" w:rsidRDefault="00BF7B9E" w:rsidP="00F76CA1">
            <w:pPr>
              <w:rPr>
                <w:sz w:val="20"/>
              </w:rPr>
            </w:pPr>
            <w:r w:rsidRPr="008E6136">
              <w:rPr>
                <w:sz w:val="20"/>
              </w:rPr>
              <w:t>Nr</w:t>
            </w:r>
          </w:p>
        </w:tc>
        <w:tc>
          <w:tcPr>
            <w:tcW w:w="5159" w:type="dxa"/>
          </w:tcPr>
          <w:p w14:paraId="224304D5" w14:textId="77777777" w:rsidR="00BF7B9E" w:rsidRPr="008E6136" w:rsidRDefault="00BF7B9E" w:rsidP="00F76CA1">
            <w:pPr>
              <w:cnfStyle w:val="100000000000" w:firstRow="1" w:lastRow="0" w:firstColumn="0" w:lastColumn="0" w:oddVBand="0" w:evenVBand="0" w:oddHBand="0" w:evenHBand="0" w:firstRowFirstColumn="0" w:firstRowLastColumn="0" w:lastRowFirstColumn="0" w:lastRowLastColumn="0"/>
              <w:rPr>
                <w:sz w:val="20"/>
              </w:rPr>
            </w:pPr>
            <w:r w:rsidRPr="008E6136">
              <w:rPr>
                <w:sz w:val="20"/>
              </w:rPr>
              <w:t>Utviklingsmål</w:t>
            </w:r>
            <w:r>
              <w:rPr>
                <w:sz w:val="20"/>
              </w:rPr>
              <w:t xml:space="preserve"> i strategien</w:t>
            </w:r>
            <w:r w:rsidRPr="008E6136">
              <w:rPr>
                <w:sz w:val="20"/>
              </w:rPr>
              <w:t xml:space="preserve">: </w:t>
            </w:r>
          </w:p>
          <w:p w14:paraId="001D28E3" w14:textId="77777777" w:rsidR="00BF7B9E" w:rsidRDefault="00BF7B9E" w:rsidP="00F76CA1">
            <w:pPr>
              <w:cnfStyle w:val="100000000000" w:firstRow="1" w:lastRow="0" w:firstColumn="0" w:lastColumn="0" w:oddVBand="0" w:evenVBand="0" w:oddHBand="0" w:evenHBand="0" w:firstRowFirstColumn="0" w:firstRowLastColumn="0" w:lastRowFirstColumn="0" w:lastRowLastColumn="0"/>
              <w:rPr>
                <w:sz w:val="20"/>
              </w:rPr>
            </w:pPr>
          </w:p>
          <w:p w14:paraId="79B64735" w14:textId="77777777" w:rsidR="00BF7B9E" w:rsidRPr="008E6136" w:rsidRDefault="00BF7B9E" w:rsidP="00F76CA1">
            <w:pPr>
              <w:cnfStyle w:val="100000000000" w:firstRow="1" w:lastRow="0" w:firstColumn="0" w:lastColumn="0" w:oddVBand="0" w:evenVBand="0" w:oddHBand="0" w:evenHBand="0" w:firstRowFirstColumn="0" w:firstRowLastColumn="0" w:lastRowFirstColumn="0" w:lastRowLastColumn="0"/>
              <w:rPr>
                <w:sz w:val="20"/>
              </w:rPr>
            </w:pPr>
            <w:r w:rsidRPr="008E6136">
              <w:rPr>
                <w:sz w:val="20"/>
              </w:rPr>
              <w:t>NTNU skal…</w:t>
            </w:r>
          </w:p>
        </w:tc>
        <w:tc>
          <w:tcPr>
            <w:tcW w:w="1118" w:type="dxa"/>
          </w:tcPr>
          <w:p w14:paraId="60D6A5AE" w14:textId="77777777" w:rsidR="00BF7B9E" w:rsidRPr="008E6136" w:rsidRDefault="00BF7B9E" w:rsidP="00F76CA1">
            <w:pPr>
              <w:cnfStyle w:val="100000000000" w:firstRow="1" w:lastRow="0" w:firstColumn="0" w:lastColumn="0" w:oddVBand="0" w:evenVBand="0" w:oddHBand="0" w:evenHBand="0" w:firstRowFirstColumn="0" w:firstRowLastColumn="0" w:lastRowFirstColumn="0" w:lastRowLastColumn="0"/>
              <w:rPr>
                <w:sz w:val="20"/>
              </w:rPr>
            </w:pPr>
            <w:r w:rsidRPr="008E6136">
              <w:rPr>
                <w:sz w:val="20"/>
              </w:rPr>
              <w:t>Kapittel i strategien</w:t>
            </w:r>
          </w:p>
        </w:tc>
        <w:tc>
          <w:tcPr>
            <w:tcW w:w="459" w:type="dxa"/>
            <w:textDirection w:val="tbRl"/>
          </w:tcPr>
          <w:p w14:paraId="259EDBF4" w14:textId="77777777" w:rsidR="00BF7B9E" w:rsidRPr="008E6136" w:rsidRDefault="00BF7B9E" w:rsidP="00F76CA1">
            <w:pPr>
              <w:ind w:left="113"/>
              <w:cnfStyle w:val="100000000000" w:firstRow="1" w:lastRow="0" w:firstColumn="0" w:lastColumn="0" w:oddVBand="0" w:evenVBand="0" w:oddHBand="0" w:evenHBand="0" w:firstRowFirstColumn="0" w:firstRowLastColumn="0" w:lastRowFirstColumn="0" w:lastRowLastColumn="0"/>
              <w:rPr>
                <w:color w:val="0070C0"/>
                <w:sz w:val="20"/>
              </w:rPr>
            </w:pPr>
            <w:r w:rsidRPr="008E6136">
              <w:rPr>
                <w:color w:val="0070C0"/>
                <w:sz w:val="20"/>
              </w:rPr>
              <w:t>Sterke fagmiljø</w:t>
            </w:r>
          </w:p>
        </w:tc>
        <w:tc>
          <w:tcPr>
            <w:tcW w:w="459" w:type="dxa"/>
            <w:textDirection w:val="tbRl"/>
          </w:tcPr>
          <w:p w14:paraId="5A68EE04" w14:textId="77777777" w:rsidR="00BF7B9E" w:rsidRPr="008E6136" w:rsidRDefault="00BF7B9E" w:rsidP="00F76CA1">
            <w:pPr>
              <w:ind w:left="113"/>
              <w:cnfStyle w:val="100000000000" w:firstRow="1" w:lastRow="0" w:firstColumn="0" w:lastColumn="0" w:oddVBand="0" w:evenVBand="0" w:oddHBand="0" w:evenHBand="0" w:firstRowFirstColumn="0" w:firstRowLastColumn="0" w:lastRowFirstColumn="0" w:lastRowLastColumn="0"/>
              <w:rPr>
                <w:sz w:val="20"/>
              </w:rPr>
            </w:pPr>
            <w:r w:rsidRPr="008E6136">
              <w:rPr>
                <w:sz w:val="20"/>
              </w:rPr>
              <w:t>Styrket samspill og tverrfaglighet</w:t>
            </w:r>
          </w:p>
        </w:tc>
        <w:tc>
          <w:tcPr>
            <w:tcW w:w="647" w:type="dxa"/>
            <w:textDirection w:val="tbRl"/>
          </w:tcPr>
          <w:p w14:paraId="067FE925" w14:textId="77777777" w:rsidR="00BF7B9E" w:rsidRPr="008E6136" w:rsidRDefault="00BF7B9E" w:rsidP="00F76CA1">
            <w:pPr>
              <w:ind w:left="113"/>
              <w:cnfStyle w:val="100000000000" w:firstRow="1" w:lastRow="0" w:firstColumn="0" w:lastColumn="0" w:oddVBand="0" w:evenVBand="0" w:oddHBand="0" w:evenHBand="0" w:firstRowFirstColumn="0" w:firstRowLastColumn="0" w:lastRowFirstColumn="0" w:lastRowLastColumn="0"/>
              <w:rPr>
                <w:color w:val="0070C0"/>
                <w:sz w:val="20"/>
              </w:rPr>
            </w:pPr>
            <w:r w:rsidRPr="008E6136">
              <w:rPr>
                <w:color w:val="0070C0"/>
                <w:sz w:val="20"/>
              </w:rPr>
              <w:t>Fremtidens studietilbud og livslang læring</w:t>
            </w:r>
          </w:p>
        </w:tc>
        <w:tc>
          <w:tcPr>
            <w:tcW w:w="646" w:type="dxa"/>
            <w:textDirection w:val="tbRl"/>
          </w:tcPr>
          <w:p w14:paraId="741FF42C" w14:textId="77777777" w:rsidR="00BF7B9E" w:rsidRPr="008E6136" w:rsidRDefault="00BF7B9E" w:rsidP="00F76CA1">
            <w:pPr>
              <w:ind w:left="113"/>
              <w:cnfStyle w:val="100000000000" w:firstRow="1" w:lastRow="0" w:firstColumn="0" w:lastColumn="0" w:oddVBand="0" w:evenVBand="0" w:oddHBand="0" w:evenHBand="0" w:firstRowFirstColumn="0" w:firstRowLastColumn="0" w:lastRowFirstColumn="0" w:lastRowLastColumn="0"/>
              <w:rPr>
                <w:sz w:val="20"/>
              </w:rPr>
            </w:pPr>
            <w:r w:rsidRPr="008E6136">
              <w:rPr>
                <w:sz w:val="20"/>
              </w:rPr>
              <w:t>Fornyelse av infrastruktur for arbeids- og læringsmiljøer</w:t>
            </w:r>
          </w:p>
        </w:tc>
        <w:tc>
          <w:tcPr>
            <w:tcW w:w="662" w:type="dxa"/>
            <w:textDirection w:val="tbRl"/>
          </w:tcPr>
          <w:p w14:paraId="08E743FC" w14:textId="77777777" w:rsidR="00BF7B9E" w:rsidRPr="008E6136" w:rsidRDefault="00BF7B9E" w:rsidP="00F76CA1">
            <w:pPr>
              <w:ind w:left="113"/>
              <w:cnfStyle w:val="100000000000" w:firstRow="1" w:lastRow="0" w:firstColumn="0" w:lastColumn="0" w:oddVBand="0" w:evenVBand="0" w:oddHBand="0" w:evenHBand="0" w:firstRowFirstColumn="0" w:firstRowLastColumn="0" w:lastRowFirstColumn="0" w:lastRowLastColumn="0"/>
              <w:rPr>
                <w:color w:val="0070C0"/>
                <w:sz w:val="20"/>
              </w:rPr>
            </w:pPr>
            <w:r w:rsidRPr="008E6136">
              <w:rPr>
                <w:color w:val="0070C0"/>
                <w:sz w:val="20"/>
              </w:rPr>
              <w:t>Effektive og moderne støttefunksjoner</w:t>
            </w:r>
          </w:p>
        </w:tc>
      </w:tr>
      <w:tr w:rsidR="00BF7B9E" w14:paraId="256D200C"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2F402310" w14:textId="77777777" w:rsidR="00BF7B9E" w:rsidRPr="00201BB6" w:rsidRDefault="00BF7B9E" w:rsidP="00F76CA1">
            <w:pPr>
              <w:jc w:val="center"/>
              <w:rPr>
                <w:color w:val="000000"/>
                <w:sz w:val="20"/>
              </w:rPr>
            </w:pPr>
            <w:r w:rsidRPr="00201BB6">
              <w:rPr>
                <w:color w:val="000000"/>
                <w:sz w:val="20"/>
              </w:rPr>
              <w:t>1</w:t>
            </w:r>
          </w:p>
        </w:tc>
        <w:tc>
          <w:tcPr>
            <w:tcW w:w="5159" w:type="dxa"/>
          </w:tcPr>
          <w:p w14:paraId="4A8DE784"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heve kvaliteten i studieporteføljen, blant annet gjennom samordning og konsentrasjon og ut fra internasjonale trender i utdannings- og arbeidsmarkedet </w:t>
            </w:r>
          </w:p>
        </w:tc>
        <w:tc>
          <w:tcPr>
            <w:tcW w:w="1118" w:type="dxa"/>
          </w:tcPr>
          <w:p w14:paraId="40F79077"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Utdanning</w:t>
            </w:r>
          </w:p>
        </w:tc>
        <w:tc>
          <w:tcPr>
            <w:tcW w:w="459" w:type="dxa"/>
          </w:tcPr>
          <w:p w14:paraId="746DF314"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39133BE7"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31EDEDA7"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0FC2E64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43080323"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1D8A869B"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6732707" w14:textId="77777777" w:rsidR="00BF7B9E" w:rsidRPr="00201BB6" w:rsidRDefault="00BF7B9E" w:rsidP="00F76CA1">
            <w:pPr>
              <w:jc w:val="center"/>
              <w:rPr>
                <w:color w:val="000000"/>
                <w:sz w:val="20"/>
              </w:rPr>
            </w:pPr>
            <w:r w:rsidRPr="00201BB6">
              <w:rPr>
                <w:color w:val="000000"/>
                <w:sz w:val="20"/>
              </w:rPr>
              <w:t>2</w:t>
            </w:r>
          </w:p>
        </w:tc>
        <w:tc>
          <w:tcPr>
            <w:tcW w:w="5159" w:type="dxa"/>
          </w:tcPr>
          <w:p w14:paraId="6AAD19FF"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prioritere innovative og utforskende læringsprosesser med høy internasjonal kvalitet, bygget på forskningsbasert kunnskap om læring  </w:t>
            </w:r>
          </w:p>
        </w:tc>
        <w:tc>
          <w:tcPr>
            <w:tcW w:w="1118" w:type="dxa"/>
          </w:tcPr>
          <w:p w14:paraId="0DCB3F6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Utdanning</w:t>
            </w:r>
          </w:p>
        </w:tc>
        <w:tc>
          <w:tcPr>
            <w:tcW w:w="459" w:type="dxa"/>
          </w:tcPr>
          <w:p w14:paraId="494C1E3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083129D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611EAD23"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70E512F8"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62" w:type="dxa"/>
          </w:tcPr>
          <w:p w14:paraId="1F15AC95"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52259260"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65A9DCE" w14:textId="77777777" w:rsidR="00BF7B9E" w:rsidRPr="00201BB6" w:rsidRDefault="00BF7B9E" w:rsidP="00F76CA1">
            <w:pPr>
              <w:jc w:val="center"/>
              <w:rPr>
                <w:color w:val="000000"/>
                <w:sz w:val="20"/>
              </w:rPr>
            </w:pPr>
            <w:r w:rsidRPr="00201BB6">
              <w:rPr>
                <w:color w:val="000000"/>
                <w:sz w:val="20"/>
              </w:rPr>
              <w:t>3</w:t>
            </w:r>
          </w:p>
        </w:tc>
        <w:tc>
          <w:tcPr>
            <w:tcW w:w="5159" w:type="dxa"/>
          </w:tcPr>
          <w:p w14:paraId="3D64DC33"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utvikle etter- og videreutdanningstilbud i samspill med arbeidslivet </w:t>
            </w:r>
          </w:p>
        </w:tc>
        <w:tc>
          <w:tcPr>
            <w:tcW w:w="1118" w:type="dxa"/>
          </w:tcPr>
          <w:p w14:paraId="61606DBD"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Utdanning</w:t>
            </w:r>
          </w:p>
        </w:tc>
        <w:tc>
          <w:tcPr>
            <w:tcW w:w="459" w:type="dxa"/>
          </w:tcPr>
          <w:p w14:paraId="4B5EC400"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0D9213C3"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380CD890"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5FDCD30B"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359938D2"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0184CC17"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066D4EA9" w14:textId="77777777" w:rsidR="00BF7B9E" w:rsidRPr="00201BB6" w:rsidRDefault="00BF7B9E" w:rsidP="00F76CA1">
            <w:pPr>
              <w:jc w:val="center"/>
              <w:rPr>
                <w:color w:val="000000"/>
                <w:sz w:val="20"/>
              </w:rPr>
            </w:pPr>
            <w:r w:rsidRPr="00201BB6">
              <w:rPr>
                <w:color w:val="000000"/>
                <w:sz w:val="20"/>
              </w:rPr>
              <w:t>4</w:t>
            </w:r>
          </w:p>
        </w:tc>
        <w:tc>
          <w:tcPr>
            <w:tcW w:w="5159" w:type="dxa"/>
          </w:tcPr>
          <w:p w14:paraId="2A6F5E72"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etablere utviklingsprogram for systematisk heving av utdanningsfaglig kompetanse </w:t>
            </w:r>
          </w:p>
        </w:tc>
        <w:tc>
          <w:tcPr>
            <w:tcW w:w="1118" w:type="dxa"/>
          </w:tcPr>
          <w:p w14:paraId="0D8705F9"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Utdanning</w:t>
            </w:r>
          </w:p>
        </w:tc>
        <w:tc>
          <w:tcPr>
            <w:tcW w:w="459" w:type="dxa"/>
          </w:tcPr>
          <w:p w14:paraId="0FFCCAAC"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FF7D83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122E848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1D9E307E"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58B70D44"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4CD98D94"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5E962E6C" w14:textId="77777777" w:rsidR="00BF7B9E" w:rsidRPr="00201BB6" w:rsidRDefault="00BF7B9E" w:rsidP="00F76CA1">
            <w:pPr>
              <w:jc w:val="center"/>
              <w:rPr>
                <w:color w:val="000000"/>
                <w:sz w:val="20"/>
              </w:rPr>
            </w:pPr>
            <w:r w:rsidRPr="00201BB6">
              <w:rPr>
                <w:color w:val="000000"/>
                <w:sz w:val="20"/>
              </w:rPr>
              <w:t>5</w:t>
            </w:r>
          </w:p>
        </w:tc>
        <w:tc>
          <w:tcPr>
            <w:tcW w:w="5159" w:type="dxa"/>
          </w:tcPr>
          <w:p w14:paraId="427FDB8C"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øke suksessen på eksterne konkurransearenaer generelt og lykkes bedre på internasjonale konkurransearenaer for fremragende forskning spesielt </w:t>
            </w:r>
          </w:p>
        </w:tc>
        <w:tc>
          <w:tcPr>
            <w:tcW w:w="1118" w:type="dxa"/>
          </w:tcPr>
          <w:p w14:paraId="3E1667E5"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Forskning</w:t>
            </w:r>
          </w:p>
        </w:tc>
        <w:tc>
          <w:tcPr>
            <w:tcW w:w="459" w:type="dxa"/>
          </w:tcPr>
          <w:p w14:paraId="7C9C9474"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1DF8254C"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53BB918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5DCAB55E"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449CC25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34A8B308"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51194327" w14:textId="77777777" w:rsidR="00BF7B9E" w:rsidRPr="00201BB6" w:rsidRDefault="00BF7B9E" w:rsidP="00F76CA1">
            <w:pPr>
              <w:jc w:val="center"/>
              <w:rPr>
                <w:color w:val="000000"/>
                <w:sz w:val="20"/>
              </w:rPr>
            </w:pPr>
            <w:r w:rsidRPr="00201BB6">
              <w:rPr>
                <w:color w:val="000000"/>
                <w:sz w:val="20"/>
              </w:rPr>
              <w:t>6</w:t>
            </w:r>
          </w:p>
        </w:tc>
        <w:tc>
          <w:tcPr>
            <w:tcW w:w="5159" w:type="dxa"/>
          </w:tcPr>
          <w:p w14:paraId="51320795"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utvikle vårt forskningssamarbeid med andre forskningsmiljøer og offentlige og private virksomheter </w:t>
            </w:r>
          </w:p>
        </w:tc>
        <w:tc>
          <w:tcPr>
            <w:tcW w:w="1118" w:type="dxa"/>
          </w:tcPr>
          <w:p w14:paraId="0759C5DC"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Forskning</w:t>
            </w:r>
          </w:p>
        </w:tc>
        <w:tc>
          <w:tcPr>
            <w:tcW w:w="459" w:type="dxa"/>
          </w:tcPr>
          <w:p w14:paraId="1A083D8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492D04C9"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5F1D7B51"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0910CCA3"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64874681"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1BC14E5A"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6E91086" w14:textId="77777777" w:rsidR="00BF7B9E" w:rsidRPr="00201BB6" w:rsidRDefault="00BF7B9E" w:rsidP="00F76CA1">
            <w:pPr>
              <w:jc w:val="center"/>
              <w:rPr>
                <w:color w:val="000000"/>
                <w:sz w:val="20"/>
              </w:rPr>
            </w:pPr>
            <w:r w:rsidRPr="00201BB6">
              <w:rPr>
                <w:color w:val="000000"/>
                <w:sz w:val="20"/>
              </w:rPr>
              <w:t>7</w:t>
            </w:r>
          </w:p>
        </w:tc>
        <w:tc>
          <w:tcPr>
            <w:tcW w:w="5159" w:type="dxa"/>
          </w:tcPr>
          <w:p w14:paraId="762BBD9E"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heve kvaliteten på publikasjonene og på den måten styrke vår vitenskapelige gjennomslagskraft </w:t>
            </w:r>
          </w:p>
        </w:tc>
        <w:tc>
          <w:tcPr>
            <w:tcW w:w="1118" w:type="dxa"/>
          </w:tcPr>
          <w:p w14:paraId="0716478B"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Forskning</w:t>
            </w:r>
          </w:p>
        </w:tc>
        <w:tc>
          <w:tcPr>
            <w:tcW w:w="459" w:type="dxa"/>
          </w:tcPr>
          <w:p w14:paraId="7CC35DC2"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DF0D98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4BD517C8"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48FE3F7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5CD613C5"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52C61FDA"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1E787BE" w14:textId="77777777" w:rsidR="00BF7B9E" w:rsidRPr="00201BB6" w:rsidRDefault="00BF7B9E" w:rsidP="00F76CA1">
            <w:pPr>
              <w:jc w:val="center"/>
              <w:rPr>
                <w:color w:val="000000"/>
                <w:sz w:val="20"/>
              </w:rPr>
            </w:pPr>
            <w:r w:rsidRPr="00201BB6">
              <w:rPr>
                <w:color w:val="000000"/>
                <w:sz w:val="20"/>
              </w:rPr>
              <w:t>8</w:t>
            </w:r>
          </w:p>
        </w:tc>
        <w:tc>
          <w:tcPr>
            <w:tcW w:w="5159" w:type="dxa"/>
          </w:tcPr>
          <w:p w14:paraId="0A4F74F2"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legge til rette for kunnskapsdeling gjennom åpen tilgang til våre publikasjoner og forskningsdata </w:t>
            </w:r>
          </w:p>
        </w:tc>
        <w:tc>
          <w:tcPr>
            <w:tcW w:w="1118" w:type="dxa"/>
          </w:tcPr>
          <w:p w14:paraId="25461120"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Forskning</w:t>
            </w:r>
          </w:p>
        </w:tc>
        <w:tc>
          <w:tcPr>
            <w:tcW w:w="459" w:type="dxa"/>
          </w:tcPr>
          <w:p w14:paraId="0C0BCEB9"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3C06375F"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5586F8C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3602A5C9"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1E9EF267"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5A9CBCB7"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5C0BE26" w14:textId="77777777" w:rsidR="00BF7B9E" w:rsidRPr="00201BB6" w:rsidRDefault="00BF7B9E" w:rsidP="00F76CA1">
            <w:pPr>
              <w:jc w:val="center"/>
              <w:rPr>
                <w:color w:val="000000"/>
                <w:sz w:val="20"/>
              </w:rPr>
            </w:pPr>
            <w:r w:rsidRPr="00201BB6">
              <w:rPr>
                <w:color w:val="000000"/>
                <w:sz w:val="20"/>
              </w:rPr>
              <w:t>9</w:t>
            </w:r>
          </w:p>
        </w:tc>
        <w:tc>
          <w:tcPr>
            <w:tcW w:w="5159" w:type="dxa"/>
          </w:tcPr>
          <w:p w14:paraId="1E4B6404"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utvikle kunst med dokumentert høy internasjonal kvalitet </w:t>
            </w:r>
          </w:p>
        </w:tc>
        <w:tc>
          <w:tcPr>
            <w:tcW w:w="1118" w:type="dxa"/>
          </w:tcPr>
          <w:p w14:paraId="4D48A75F"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Kunst</w:t>
            </w:r>
          </w:p>
        </w:tc>
        <w:tc>
          <w:tcPr>
            <w:tcW w:w="459" w:type="dxa"/>
          </w:tcPr>
          <w:p w14:paraId="7749D102"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5E4305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7E1F41C2"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102AAC9C"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502C9D5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3F9E8D73"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4A009577" w14:textId="77777777" w:rsidR="00BF7B9E" w:rsidRPr="00201BB6" w:rsidRDefault="00BF7B9E" w:rsidP="00F76CA1">
            <w:pPr>
              <w:jc w:val="center"/>
              <w:rPr>
                <w:color w:val="000000"/>
                <w:sz w:val="20"/>
              </w:rPr>
            </w:pPr>
            <w:r w:rsidRPr="00201BB6">
              <w:rPr>
                <w:color w:val="000000"/>
                <w:sz w:val="20"/>
              </w:rPr>
              <w:t>10</w:t>
            </w:r>
          </w:p>
        </w:tc>
        <w:tc>
          <w:tcPr>
            <w:tcW w:w="5159" w:type="dxa"/>
          </w:tcPr>
          <w:p w14:paraId="1372E00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videreutvikle samspillet mellom kunst, teknologi og vitenskap </w:t>
            </w:r>
          </w:p>
        </w:tc>
        <w:tc>
          <w:tcPr>
            <w:tcW w:w="1118" w:type="dxa"/>
          </w:tcPr>
          <w:p w14:paraId="390958AA"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Kunst</w:t>
            </w:r>
          </w:p>
        </w:tc>
        <w:tc>
          <w:tcPr>
            <w:tcW w:w="459" w:type="dxa"/>
          </w:tcPr>
          <w:p w14:paraId="369B4FB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7F4E1723"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71DA9CF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6AC578B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34B5DAFB"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44BE7DA8"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0A54C72" w14:textId="77777777" w:rsidR="00BF7B9E" w:rsidRPr="00201BB6" w:rsidRDefault="00BF7B9E" w:rsidP="00F76CA1">
            <w:pPr>
              <w:jc w:val="center"/>
              <w:rPr>
                <w:color w:val="000000"/>
                <w:sz w:val="20"/>
              </w:rPr>
            </w:pPr>
            <w:r w:rsidRPr="00201BB6">
              <w:rPr>
                <w:color w:val="000000"/>
                <w:sz w:val="20"/>
              </w:rPr>
              <w:t>11</w:t>
            </w:r>
          </w:p>
        </w:tc>
        <w:tc>
          <w:tcPr>
            <w:tcW w:w="5159" w:type="dxa"/>
          </w:tcPr>
          <w:p w14:paraId="207278D3"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bidra aktivt til å styrke kunstens rolle i samfunnet og i skolen </w:t>
            </w:r>
          </w:p>
        </w:tc>
        <w:tc>
          <w:tcPr>
            <w:tcW w:w="1118" w:type="dxa"/>
          </w:tcPr>
          <w:p w14:paraId="6291EE19"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Kunst</w:t>
            </w:r>
          </w:p>
        </w:tc>
        <w:tc>
          <w:tcPr>
            <w:tcW w:w="459" w:type="dxa"/>
          </w:tcPr>
          <w:p w14:paraId="13681EC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1C72A9FE"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75F030FD"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1A945133"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46FBCB99"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678BE6B1"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5AE75E09" w14:textId="77777777" w:rsidR="00BF7B9E" w:rsidRPr="00201BB6" w:rsidRDefault="00BF7B9E" w:rsidP="00F76CA1">
            <w:pPr>
              <w:jc w:val="center"/>
              <w:rPr>
                <w:color w:val="000000"/>
                <w:sz w:val="20"/>
              </w:rPr>
            </w:pPr>
            <w:r w:rsidRPr="00201BB6">
              <w:rPr>
                <w:color w:val="000000"/>
                <w:sz w:val="20"/>
              </w:rPr>
              <w:t>12</w:t>
            </w:r>
          </w:p>
        </w:tc>
        <w:tc>
          <w:tcPr>
            <w:tcW w:w="5159" w:type="dxa"/>
          </w:tcPr>
          <w:p w14:paraId="790F6E76"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styrke langsiktig samarbeid med etablert næringsliv og offentlig sektor for å bedre arbeidslivets omstillingsevne   </w:t>
            </w:r>
          </w:p>
        </w:tc>
        <w:tc>
          <w:tcPr>
            <w:tcW w:w="1118" w:type="dxa"/>
          </w:tcPr>
          <w:p w14:paraId="600D93FC"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Nyskaping</w:t>
            </w:r>
          </w:p>
        </w:tc>
        <w:tc>
          <w:tcPr>
            <w:tcW w:w="459" w:type="dxa"/>
          </w:tcPr>
          <w:p w14:paraId="03F312C7"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1F2402CF"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438C809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002ED07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1F003F5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1006AB2B"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D1E11F4" w14:textId="77777777" w:rsidR="00BF7B9E" w:rsidRPr="00201BB6" w:rsidRDefault="00BF7B9E" w:rsidP="00F76CA1">
            <w:pPr>
              <w:jc w:val="center"/>
              <w:rPr>
                <w:color w:val="000000"/>
                <w:sz w:val="20"/>
              </w:rPr>
            </w:pPr>
            <w:r w:rsidRPr="00201BB6">
              <w:rPr>
                <w:color w:val="000000"/>
                <w:sz w:val="20"/>
              </w:rPr>
              <w:t>13</w:t>
            </w:r>
          </w:p>
        </w:tc>
        <w:tc>
          <w:tcPr>
            <w:tcW w:w="5159" w:type="dxa"/>
          </w:tcPr>
          <w:p w14:paraId="05A3AEF0"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øke antall innovasjoner, kommersialiseringer og nyetableringer fra ansatte og studenter </w:t>
            </w:r>
          </w:p>
        </w:tc>
        <w:tc>
          <w:tcPr>
            <w:tcW w:w="1118" w:type="dxa"/>
          </w:tcPr>
          <w:p w14:paraId="737AD2E0"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Nyskaping</w:t>
            </w:r>
          </w:p>
        </w:tc>
        <w:tc>
          <w:tcPr>
            <w:tcW w:w="459" w:type="dxa"/>
          </w:tcPr>
          <w:p w14:paraId="49F8C33A"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766589E" w14:textId="77777777" w:rsidR="00BF7B9E" w:rsidRPr="00E553C7" w:rsidRDefault="00365339" w:rsidP="00F76CA1">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X</w:t>
            </w:r>
          </w:p>
        </w:tc>
        <w:tc>
          <w:tcPr>
            <w:tcW w:w="647" w:type="dxa"/>
          </w:tcPr>
          <w:p w14:paraId="5C62895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4B3C275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5DBF5402"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1A93D970"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AE14D50" w14:textId="77777777" w:rsidR="00BF7B9E" w:rsidRPr="00201BB6" w:rsidRDefault="00BF7B9E" w:rsidP="00F76CA1">
            <w:pPr>
              <w:jc w:val="center"/>
              <w:rPr>
                <w:color w:val="000000"/>
                <w:sz w:val="20"/>
              </w:rPr>
            </w:pPr>
            <w:r w:rsidRPr="00201BB6">
              <w:rPr>
                <w:color w:val="000000"/>
                <w:sz w:val="20"/>
              </w:rPr>
              <w:t>14</w:t>
            </w:r>
          </w:p>
        </w:tc>
        <w:tc>
          <w:tcPr>
            <w:tcW w:w="5159" w:type="dxa"/>
          </w:tcPr>
          <w:p w14:paraId="605FD4D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innarbeide innovasjonskompetanse i utdanningen av våre kandidater </w:t>
            </w:r>
          </w:p>
        </w:tc>
        <w:tc>
          <w:tcPr>
            <w:tcW w:w="1118" w:type="dxa"/>
          </w:tcPr>
          <w:p w14:paraId="57755A21"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Nyskaping</w:t>
            </w:r>
          </w:p>
        </w:tc>
        <w:tc>
          <w:tcPr>
            <w:tcW w:w="459" w:type="dxa"/>
          </w:tcPr>
          <w:p w14:paraId="4C0F80E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09D0DA64" w14:textId="77777777" w:rsidR="00BF7B9E" w:rsidRPr="00E553C7" w:rsidRDefault="00365339" w:rsidP="00F76CA1">
            <w:pPr>
              <w:jc w:val="center"/>
              <w:cnfStyle w:val="000000000000" w:firstRow="0" w:lastRow="0" w:firstColumn="0" w:lastColumn="0" w:oddVBand="0" w:evenVBand="0" w:oddHBand="0" w:evenHBand="0" w:firstRowFirstColumn="0" w:firstRowLastColumn="0" w:lastRowFirstColumn="0" w:lastRowLastColumn="0"/>
              <w:rPr>
                <w:b/>
                <w:sz w:val="20"/>
              </w:rPr>
            </w:pPr>
            <w:r>
              <w:rPr>
                <w:b/>
                <w:sz w:val="20"/>
              </w:rPr>
              <w:t>X</w:t>
            </w:r>
          </w:p>
        </w:tc>
        <w:tc>
          <w:tcPr>
            <w:tcW w:w="647" w:type="dxa"/>
          </w:tcPr>
          <w:p w14:paraId="2C56D1D8"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19BD290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08DCD2E9"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7D759218"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5095848" w14:textId="77777777" w:rsidR="00BF7B9E" w:rsidRPr="00201BB6" w:rsidRDefault="00BF7B9E" w:rsidP="00F76CA1">
            <w:pPr>
              <w:jc w:val="center"/>
              <w:rPr>
                <w:color w:val="000000"/>
                <w:sz w:val="20"/>
              </w:rPr>
            </w:pPr>
            <w:r w:rsidRPr="00201BB6">
              <w:rPr>
                <w:color w:val="000000"/>
                <w:sz w:val="20"/>
              </w:rPr>
              <w:t>15</w:t>
            </w:r>
          </w:p>
        </w:tc>
        <w:tc>
          <w:tcPr>
            <w:tcW w:w="5159" w:type="dxa"/>
          </w:tcPr>
          <w:p w14:paraId="428C9DA5"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øke vår deltakelse i samfunnsdebatten og sørge for at våre perspektiver, ideer og resultater blir bedre kjente og brukte</w:t>
            </w:r>
          </w:p>
        </w:tc>
        <w:tc>
          <w:tcPr>
            <w:tcW w:w="1118" w:type="dxa"/>
          </w:tcPr>
          <w:p w14:paraId="27889477"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Formidling</w:t>
            </w:r>
          </w:p>
        </w:tc>
        <w:tc>
          <w:tcPr>
            <w:tcW w:w="459" w:type="dxa"/>
          </w:tcPr>
          <w:p w14:paraId="3DB464A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4C87640B"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0115C50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3B336405"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3D90F78C"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1D61B024"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22729390" w14:textId="77777777" w:rsidR="00BF7B9E" w:rsidRPr="00201BB6" w:rsidRDefault="00BF7B9E" w:rsidP="00F76CA1">
            <w:pPr>
              <w:jc w:val="center"/>
              <w:rPr>
                <w:color w:val="000000"/>
                <w:sz w:val="20"/>
              </w:rPr>
            </w:pPr>
            <w:r w:rsidRPr="00201BB6">
              <w:rPr>
                <w:color w:val="000000"/>
                <w:sz w:val="20"/>
              </w:rPr>
              <w:t>16</w:t>
            </w:r>
          </w:p>
        </w:tc>
        <w:tc>
          <w:tcPr>
            <w:tcW w:w="5159" w:type="dxa"/>
          </w:tcPr>
          <w:p w14:paraId="2093C412"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styrke formidlingskompetanse blant ansatte og ph.d-studenter </w:t>
            </w:r>
          </w:p>
        </w:tc>
        <w:tc>
          <w:tcPr>
            <w:tcW w:w="1118" w:type="dxa"/>
          </w:tcPr>
          <w:p w14:paraId="5FD5A853"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Formidling</w:t>
            </w:r>
          </w:p>
        </w:tc>
        <w:tc>
          <w:tcPr>
            <w:tcW w:w="459" w:type="dxa"/>
          </w:tcPr>
          <w:p w14:paraId="22A7646D"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0AC46F2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2CE8346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632F5771"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2A3A65D7"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6550C974"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7AF100C" w14:textId="77777777" w:rsidR="00BF7B9E" w:rsidRPr="00201BB6" w:rsidRDefault="00BF7B9E" w:rsidP="00F76CA1">
            <w:pPr>
              <w:jc w:val="center"/>
              <w:rPr>
                <w:color w:val="000000"/>
                <w:sz w:val="20"/>
              </w:rPr>
            </w:pPr>
            <w:r w:rsidRPr="00201BB6">
              <w:rPr>
                <w:color w:val="000000"/>
                <w:sz w:val="20"/>
              </w:rPr>
              <w:t>17</w:t>
            </w:r>
          </w:p>
        </w:tc>
        <w:tc>
          <w:tcPr>
            <w:tcW w:w="5159" w:type="dxa"/>
          </w:tcPr>
          <w:p w14:paraId="22077454"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særlig styrke formidlingen innen teknologi og naturvitenskap </w:t>
            </w:r>
          </w:p>
        </w:tc>
        <w:tc>
          <w:tcPr>
            <w:tcW w:w="1118" w:type="dxa"/>
          </w:tcPr>
          <w:p w14:paraId="1306776F"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Formidling</w:t>
            </w:r>
          </w:p>
        </w:tc>
        <w:tc>
          <w:tcPr>
            <w:tcW w:w="459" w:type="dxa"/>
          </w:tcPr>
          <w:p w14:paraId="7A20AAA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523F8D87"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6B254B2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10C22D6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0455A969"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46FB8B7A"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74D5CB3" w14:textId="77777777" w:rsidR="00BF7B9E" w:rsidRPr="00201BB6" w:rsidRDefault="00BF7B9E" w:rsidP="00F76CA1">
            <w:pPr>
              <w:jc w:val="center"/>
              <w:rPr>
                <w:color w:val="000000"/>
                <w:sz w:val="20"/>
              </w:rPr>
            </w:pPr>
            <w:r w:rsidRPr="00201BB6">
              <w:rPr>
                <w:color w:val="000000"/>
                <w:sz w:val="20"/>
              </w:rPr>
              <w:t>18</w:t>
            </w:r>
          </w:p>
        </w:tc>
        <w:tc>
          <w:tcPr>
            <w:tcW w:w="5159" w:type="dxa"/>
          </w:tcPr>
          <w:p w14:paraId="1DEA3F02"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øke kjennskapen til NTNU i inn- og utland </w:t>
            </w:r>
          </w:p>
        </w:tc>
        <w:tc>
          <w:tcPr>
            <w:tcW w:w="1118" w:type="dxa"/>
          </w:tcPr>
          <w:p w14:paraId="3E7FEC7E"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Formidling</w:t>
            </w:r>
          </w:p>
        </w:tc>
        <w:tc>
          <w:tcPr>
            <w:tcW w:w="459" w:type="dxa"/>
          </w:tcPr>
          <w:p w14:paraId="4CA08387"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44E29F25"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450024C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318F09E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577BE48B"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43417AAB"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3B229F23" w14:textId="77777777" w:rsidR="00BF7B9E" w:rsidRPr="00201BB6" w:rsidRDefault="00BF7B9E" w:rsidP="00F76CA1">
            <w:pPr>
              <w:jc w:val="center"/>
              <w:rPr>
                <w:color w:val="000000"/>
                <w:sz w:val="20"/>
              </w:rPr>
            </w:pPr>
            <w:r w:rsidRPr="00201BB6">
              <w:rPr>
                <w:color w:val="000000"/>
                <w:sz w:val="20"/>
              </w:rPr>
              <w:t>19</w:t>
            </w:r>
          </w:p>
        </w:tc>
        <w:tc>
          <w:tcPr>
            <w:tcW w:w="5159" w:type="dxa"/>
          </w:tcPr>
          <w:p w14:paraId="3A3FD70F"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øke utnyttelsen av EUs virkemidler for forskning, innovasjon og utdanning for å sikre høy kvalitet og relevans i virksomheten vår </w:t>
            </w:r>
          </w:p>
        </w:tc>
        <w:tc>
          <w:tcPr>
            <w:tcW w:w="1118" w:type="dxa"/>
          </w:tcPr>
          <w:p w14:paraId="3E2A3005"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Internasjonalisering</w:t>
            </w:r>
          </w:p>
        </w:tc>
        <w:tc>
          <w:tcPr>
            <w:tcW w:w="459" w:type="dxa"/>
          </w:tcPr>
          <w:p w14:paraId="7380F3EC"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351AA935"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5ADA357D"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0042D115"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1E5BCFD9"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081D98C4"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420BDB3F" w14:textId="77777777" w:rsidR="00BF7B9E" w:rsidRPr="00201BB6" w:rsidRDefault="00BF7B9E" w:rsidP="00F76CA1">
            <w:pPr>
              <w:jc w:val="center"/>
              <w:rPr>
                <w:color w:val="000000"/>
                <w:sz w:val="20"/>
              </w:rPr>
            </w:pPr>
            <w:r w:rsidRPr="00201BB6">
              <w:rPr>
                <w:color w:val="000000"/>
                <w:sz w:val="20"/>
              </w:rPr>
              <w:t>20</w:t>
            </w:r>
          </w:p>
        </w:tc>
        <w:tc>
          <w:tcPr>
            <w:tcW w:w="5159" w:type="dxa"/>
          </w:tcPr>
          <w:p w14:paraId="5BE6D3A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etablere strategiske partnerskap med utvalgte institusjoner globalt </w:t>
            </w:r>
          </w:p>
        </w:tc>
        <w:tc>
          <w:tcPr>
            <w:tcW w:w="1118" w:type="dxa"/>
          </w:tcPr>
          <w:p w14:paraId="4152B0B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Internasjonalisering</w:t>
            </w:r>
          </w:p>
        </w:tc>
        <w:tc>
          <w:tcPr>
            <w:tcW w:w="459" w:type="dxa"/>
          </w:tcPr>
          <w:p w14:paraId="1C5250C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1CF16BD0"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74C1C0A8"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4808F2C7"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1A569EFA"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54ADABD1"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27A56AA" w14:textId="77777777" w:rsidR="00BF7B9E" w:rsidRPr="00201BB6" w:rsidRDefault="00BF7B9E" w:rsidP="00F76CA1">
            <w:pPr>
              <w:jc w:val="center"/>
              <w:rPr>
                <w:color w:val="000000"/>
                <w:sz w:val="20"/>
              </w:rPr>
            </w:pPr>
            <w:r w:rsidRPr="00201BB6">
              <w:rPr>
                <w:color w:val="000000"/>
                <w:sz w:val="20"/>
              </w:rPr>
              <w:t>21</w:t>
            </w:r>
          </w:p>
        </w:tc>
        <w:tc>
          <w:tcPr>
            <w:tcW w:w="5159" w:type="dxa"/>
          </w:tcPr>
          <w:p w14:paraId="5A5BB230"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styrke rekrutteringen av fremragende forskere internasjonalt og øke den internasjonale mobiliteten for våre ansatte </w:t>
            </w:r>
          </w:p>
        </w:tc>
        <w:tc>
          <w:tcPr>
            <w:tcW w:w="1118" w:type="dxa"/>
          </w:tcPr>
          <w:p w14:paraId="0ACFD427"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Internasjonalisering</w:t>
            </w:r>
          </w:p>
        </w:tc>
        <w:tc>
          <w:tcPr>
            <w:tcW w:w="459" w:type="dxa"/>
          </w:tcPr>
          <w:p w14:paraId="620A812E"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480AB793"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5E31518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25117AB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2A9C993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1795C08F"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25A5418D" w14:textId="77777777" w:rsidR="00BF7B9E" w:rsidRPr="00201BB6" w:rsidRDefault="00BF7B9E" w:rsidP="00F76CA1">
            <w:pPr>
              <w:jc w:val="center"/>
              <w:rPr>
                <w:color w:val="000000"/>
                <w:sz w:val="20"/>
              </w:rPr>
            </w:pPr>
            <w:r w:rsidRPr="00201BB6">
              <w:rPr>
                <w:color w:val="000000"/>
                <w:sz w:val="20"/>
              </w:rPr>
              <w:t>22</w:t>
            </w:r>
          </w:p>
        </w:tc>
        <w:tc>
          <w:tcPr>
            <w:tcW w:w="5159" w:type="dxa"/>
          </w:tcPr>
          <w:p w14:paraId="4FD082C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øke andelen gradsstudenter som tar et studieopphold ved et utenlandsk lærested </w:t>
            </w:r>
          </w:p>
        </w:tc>
        <w:tc>
          <w:tcPr>
            <w:tcW w:w="1118" w:type="dxa"/>
          </w:tcPr>
          <w:p w14:paraId="0D361437"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Internasjonalisering</w:t>
            </w:r>
          </w:p>
        </w:tc>
        <w:tc>
          <w:tcPr>
            <w:tcW w:w="459" w:type="dxa"/>
          </w:tcPr>
          <w:p w14:paraId="6EB2487C"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4893BA54"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665FF6F7"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0A924264"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2809B5F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5796E453"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708F7E7" w14:textId="77777777" w:rsidR="00BF7B9E" w:rsidRPr="00201BB6" w:rsidRDefault="00BF7B9E" w:rsidP="00F76CA1">
            <w:pPr>
              <w:jc w:val="center"/>
              <w:rPr>
                <w:color w:val="000000"/>
                <w:sz w:val="20"/>
              </w:rPr>
            </w:pPr>
            <w:r w:rsidRPr="00201BB6">
              <w:rPr>
                <w:color w:val="000000"/>
                <w:sz w:val="20"/>
              </w:rPr>
              <w:t>23</w:t>
            </w:r>
          </w:p>
        </w:tc>
        <w:tc>
          <w:tcPr>
            <w:tcW w:w="5159" w:type="dxa"/>
          </w:tcPr>
          <w:p w14:paraId="5E1B3D78"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utnytte tematiske satsingsområder og muliggjørende teknologier til å realisere ideer og løse samfunnsproblemer gjennom tverrfaglige forskningsprosjekter</w:t>
            </w:r>
          </w:p>
        </w:tc>
        <w:tc>
          <w:tcPr>
            <w:tcW w:w="1118" w:type="dxa"/>
          </w:tcPr>
          <w:p w14:paraId="56121BA7" w14:textId="694CBB80"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Tverrfag</w:t>
            </w:r>
            <w:r w:rsidR="0068411D">
              <w:rPr>
                <w:color w:val="000000"/>
                <w:sz w:val="20"/>
              </w:rPr>
              <w:t>-</w:t>
            </w:r>
            <w:r w:rsidRPr="00201BB6">
              <w:rPr>
                <w:color w:val="000000"/>
                <w:sz w:val="20"/>
              </w:rPr>
              <w:t>lighet</w:t>
            </w:r>
          </w:p>
        </w:tc>
        <w:tc>
          <w:tcPr>
            <w:tcW w:w="459" w:type="dxa"/>
          </w:tcPr>
          <w:p w14:paraId="0FBBC790"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31E39663"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030D1AD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28CBCA3B"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2D19F348"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05287F28"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52C235D1" w14:textId="77777777" w:rsidR="00BF7B9E" w:rsidRPr="00201BB6" w:rsidRDefault="00BF7B9E" w:rsidP="00F76CA1">
            <w:pPr>
              <w:jc w:val="center"/>
              <w:rPr>
                <w:color w:val="000000"/>
                <w:sz w:val="20"/>
              </w:rPr>
            </w:pPr>
            <w:r w:rsidRPr="00201BB6">
              <w:rPr>
                <w:color w:val="000000"/>
                <w:sz w:val="20"/>
              </w:rPr>
              <w:t>24</w:t>
            </w:r>
          </w:p>
        </w:tc>
        <w:tc>
          <w:tcPr>
            <w:tcW w:w="5159" w:type="dxa"/>
          </w:tcPr>
          <w:p w14:paraId="7F9781D1"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utvikle tverrfaglige studietilbud og gi studentene innsikt i tverrfaglig samhandling gjennom læringsaktiviteter som krysser fag- og profesjonsgrenser  </w:t>
            </w:r>
          </w:p>
        </w:tc>
        <w:tc>
          <w:tcPr>
            <w:tcW w:w="1118" w:type="dxa"/>
          </w:tcPr>
          <w:p w14:paraId="725C2888" w14:textId="77B4A8D0"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Tverrfag</w:t>
            </w:r>
            <w:r w:rsidR="0068411D">
              <w:rPr>
                <w:color w:val="000000"/>
                <w:sz w:val="20"/>
              </w:rPr>
              <w:t>-</w:t>
            </w:r>
            <w:r w:rsidRPr="00201BB6">
              <w:rPr>
                <w:color w:val="000000"/>
                <w:sz w:val="20"/>
              </w:rPr>
              <w:t>lighet</w:t>
            </w:r>
          </w:p>
        </w:tc>
        <w:tc>
          <w:tcPr>
            <w:tcW w:w="459" w:type="dxa"/>
          </w:tcPr>
          <w:p w14:paraId="548BE21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156E645B"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47" w:type="dxa"/>
          </w:tcPr>
          <w:p w14:paraId="470CA72A"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4B75C143"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7F83FA5B"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38BDE1FE"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DA2CC03" w14:textId="77777777" w:rsidR="00BF7B9E" w:rsidRPr="00201BB6" w:rsidRDefault="00BF7B9E" w:rsidP="00F76CA1">
            <w:pPr>
              <w:jc w:val="center"/>
              <w:rPr>
                <w:color w:val="000000"/>
                <w:sz w:val="20"/>
              </w:rPr>
            </w:pPr>
            <w:r w:rsidRPr="00201BB6">
              <w:rPr>
                <w:color w:val="000000"/>
                <w:sz w:val="20"/>
              </w:rPr>
              <w:t>25</w:t>
            </w:r>
          </w:p>
        </w:tc>
        <w:tc>
          <w:tcPr>
            <w:tcW w:w="5159" w:type="dxa"/>
          </w:tcPr>
          <w:p w14:paraId="69798EEA"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stimulere til delingskultur og til at ressurser og kompetanse brukes på tvers av enheter </w:t>
            </w:r>
          </w:p>
        </w:tc>
        <w:tc>
          <w:tcPr>
            <w:tcW w:w="1118" w:type="dxa"/>
          </w:tcPr>
          <w:p w14:paraId="776CA2B6" w14:textId="1AF6F4E4"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Tverrfag</w:t>
            </w:r>
            <w:r w:rsidR="0068411D">
              <w:rPr>
                <w:color w:val="000000"/>
                <w:sz w:val="20"/>
              </w:rPr>
              <w:t>-</w:t>
            </w:r>
            <w:r w:rsidRPr="00201BB6">
              <w:rPr>
                <w:color w:val="000000"/>
                <w:sz w:val="20"/>
              </w:rPr>
              <w:t>lighet</w:t>
            </w:r>
          </w:p>
        </w:tc>
        <w:tc>
          <w:tcPr>
            <w:tcW w:w="459" w:type="dxa"/>
          </w:tcPr>
          <w:p w14:paraId="1DAB1C0D"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485FE2FB"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47" w:type="dxa"/>
          </w:tcPr>
          <w:p w14:paraId="2193A33B"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37E9E56D"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23135C05"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r>
      <w:tr w:rsidR="00BF7B9E" w14:paraId="6DCAA569"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7938D43" w14:textId="77777777" w:rsidR="00BF7B9E" w:rsidRPr="00201BB6" w:rsidRDefault="00BF7B9E" w:rsidP="00F76CA1">
            <w:pPr>
              <w:jc w:val="center"/>
              <w:rPr>
                <w:color w:val="000000"/>
                <w:sz w:val="20"/>
              </w:rPr>
            </w:pPr>
            <w:r w:rsidRPr="00201BB6">
              <w:rPr>
                <w:color w:val="000000"/>
                <w:sz w:val="20"/>
              </w:rPr>
              <w:t>26</w:t>
            </w:r>
          </w:p>
        </w:tc>
        <w:tc>
          <w:tcPr>
            <w:tcW w:w="5159" w:type="dxa"/>
          </w:tcPr>
          <w:p w14:paraId="229F21D4"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ha en ambisiøs rekrutteringspolitikk og effektive rutiner som sikrer gode ansettelser </w:t>
            </w:r>
          </w:p>
        </w:tc>
        <w:tc>
          <w:tcPr>
            <w:tcW w:w="1118" w:type="dxa"/>
          </w:tcPr>
          <w:p w14:paraId="4DE1775D"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Karriere</w:t>
            </w:r>
          </w:p>
        </w:tc>
        <w:tc>
          <w:tcPr>
            <w:tcW w:w="459" w:type="dxa"/>
          </w:tcPr>
          <w:p w14:paraId="5DAD1136"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537A2A1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10ACCC22"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501FF4CA"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74FECB50"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r>
      <w:tr w:rsidR="00BF7B9E" w14:paraId="4901E74A"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123895F9" w14:textId="77777777" w:rsidR="00BF7B9E" w:rsidRPr="00201BB6" w:rsidRDefault="00BF7B9E" w:rsidP="00F76CA1">
            <w:pPr>
              <w:jc w:val="center"/>
              <w:rPr>
                <w:color w:val="000000"/>
                <w:sz w:val="20"/>
              </w:rPr>
            </w:pPr>
            <w:r w:rsidRPr="00201BB6">
              <w:rPr>
                <w:color w:val="000000"/>
                <w:sz w:val="20"/>
              </w:rPr>
              <w:t>27</w:t>
            </w:r>
          </w:p>
        </w:tc>
        <w:tc>
          <w:tcPr>
            <w:tcW w:w="5159" w:type="dxa"/>
          </w:tcPr>
          <w:p w14:paraId="1FDE296E"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ha systematisk dialog med vitenskapelig ansatte om individuelle faglige utviklingsmål og karriereplaner </w:t>
            </w:r>
          </w:p>
        </w:tc>
        <w:tc>
          <w:tcPr>
            <w:tcW w:w="1118" w:type="dxa"/>
          </w:tcPr>
          <w:p w14:paraId="28E82EBD"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Karriere</w:t>
            </w:r>
          </w:p>
        </w:tc>
        <w:tc>
          <w:tcPr>
            <w:tcW w:w="459" w:type="dxa"/>
          </w:tcPr>
          <w:p w14:paraId="6E55D0F7"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D3E786F"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109F18F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428D58B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4391BCB9"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636D39D4"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912D2CE" w14:textId="77777777" w:rsidR="00BF7B9E" w:rsidRPr="00201BB6" w:rsidRDefault="00BF7B9E" w:rsidP="00F76CA1">
            <w:pPr>
              <w:jc w:val="center"/>
              <w:rPr>
                <w:color w:val="000000"/>
                <w:sz w:val="20"/>
              </w:rPr>
            </w:pPr>
            <w:r w:rsidRPr="00201BB6">
              <w:rPr>
                <w:color w:val="000000"/>
                <w:sz w:val="20"/>
              </w:rPr>
              <w:t>28</w:t>
            </w:r>
          </w:p>
        </w:tc>
        <w:tc>
          <w:tcPr>
            <w:tcW w:w="5159" w:type="dxa"/>
          </w:tcPr>
          <w:p w14:paraId="122E0946"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utvikle lederrollen og heve kompetansen hos våre ledere og ansatte</w:t>
            </w:r>
          </w:p>
        </w:tc>
        <w:tc>
          <w:tcPr>
            <w:tcW w:w="1118" w:type="dxa"/>
          </w:tcPr>
          <w:p w14:paraId="0B266D24"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Karriere</w:t>
            </w:r>
          </w:p>
        </w:tc>
        <w:tc>
          <w:tcPr>
            <w:tcW w:w="459" w:type="dxa"/>
          </w:tcPr>
          <w:p w14:paraId="5C35C615"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15FD02D3"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26622169"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1DA87AE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62" w:type="dxa"/>
          </w:tcPr>
          <w:p w14:paraId="6380E8BB"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r>
      <w:tr w:rsidR="00BF7B9E" w14:paraId="621F4F3D"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7050696E" w14:textId="77777777" w:rsidR="00BF7B9E" w:rsidRPr="00201BB6" w:rsidRDefault="00BF7B9E" w:rsidP="00F76CA1">
            <w:pPr>
              <w:jc w:val="center"/>
              <w:rPr>
                <w:color w:val="000000"/>
                <w:sz w:val="20"/>
              </w:rPr>
            </w:pPr>
            <w:r w:rsidRPr="00201BB6">
              <w:rPr>
                <w:color w:val="000000"/>
                <w:sz w:val="20"/>
              </w:rPr>
              <w:t>29</w:t>
            </w:r>
          </w:p>
        </w:tc>
        <w:tc>
          <w:tcPr>
            <w:tcW w:w="5159" w:type="dxa"/>
          </w:tcPr>
          <w:p w14:paraId="57E9A4FC"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integrere helsefremmende arbeid i den daglige driften </w:t>
            </w:r>
          </w:p>
        </w:tc>
        <w:tc>
          <w:tcPr>
            <w:tcW w:w="1118" w:type="dxa"/>
          </w:tcPr>
          <w:p w14:paraId="396B337C" w14:textId="5A63774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Arbeids</w:t>
            </w:r>
            <w:r w:rsidR="0068411D">
              <w:rPr>
                <w:color w:val="000000"/>
                <w:sz w:val="20"/>
              </w:rPr>
              <w:t>-</w:t>
            </w:r>
            <w:r w:rsidRPr="00201BB6">
              <w:rPr>
                <w:color w:val="000000"/>
                <w:sz w:val="20"/>
              </w:rPr>
              <w:t>miljø</w:t>
            </w:r>
          </w:p>
        </w:tc>
        <w:tc>
          <w:tcPr>
            <w:tcW w:w="459" w:type="dxa"/>
          </w:tcPr>
          <w:p w14:paraId="60A2F104"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6604FF8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68CC5036"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012E03DC"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5D56B309"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r>
      <w:tr w:rsidR="00BF7B9E" w14:paraId="01B9C95B"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662FBCD6" w14:textId="77777777" w:rsidR="00BF7B9E" w:rsidRPr="00201BB6" w:rsidRDefault="00BF7B9E" w:rsidP="00F76CA1">
            <w:pPr>
              <w:jc w:val="center"/>
              <w:rPr>
                <w:color w:val="000000"/>
                <w:sz w:val="20"/>
              </w:rPr>
            </w:pPr>
            <w:r w:rsidRPr="00201BB6">
              <w:rPr>
                <w:color w:val="000000"/>
                <w:sz w:val="20"/>
              </w:rPr>
              <w:t>30</w:t>
            </w:r>
          </w:p>
        </w:tc>
        <w:tc>
          <w:tcPr>
            <w:tcW w:w="5159" w:type="dxa"/>
          </w:tcPr>
          <w:p w14:paraId="506C4A3D"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bidra til gode læringsrammer gjennom velferdstilbud og frivillige aktiviteter på studiestedene </w:t>
            </w:r>
          </w:p>
        </w:tc>
        <w:tc>
          <w:tcPr>
            <w:tcW w:w="1118" w:type="dxa"/>
          </w:tcPr>
          <w:p w14:paraId="6568E099" w14:textId="0E61EF4E"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Arbeids</w:t>
            </w:r>
            <w:r w:rsidR="0068411D">
              <w:rPr>
                <w:color w:val="000000"/>
                <w:sz w:val="20"/>
              </w:rPr>
              <w:t>-</w:t>
            </w:r>
            <w:r w:rsidRPr="00201BB6">
              <w:rPr>
                <w:color w:val="000000"/>
                <w:sz w:val="20"/>
              </w:rPr>
              <w:t>miljø</w:t>
            </w:r>
          </w:p>
        </w:tc>
        <w:tc>
          <w:tcPr>
            <w:tcW w:w="459" w:type="dxa"/>
          </w:tcPr>
          <w:p w14:paraId="037D30A4"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74BFBBF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7A9C1D3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5219E9A6"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62" w:type="dxa"/>
          </w:tcPr>
          <w:p w14:paraId="47256C55"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026F1097"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4F6E5EAE" w14:textId="77777777" w:rsidR="00BF7B9E" w:rsidRPr="00201BB6" w:rsidRDefault="00BF7B9E" w:rsidP="00F76CA1">
            <w:pPr>
              <w:jc w:val="center"/>
              <w:rPr>
                <w:color w:val="000000"/>
                <w:sz w:val="20"/>
              </w:rPr>
            </w:pPr>
            <w:r w:rsidRPr="00201BB6">
              <w:rPr>
                <w:color w:val="000000"/>
                <w:sz w:val="20"/>
              </w:rPr>
              <w:t>31</w:t>
            </w:r>
          </w:p>
        </w:tc>
        <w:tc>
          <w:tcPr>
            <w:tcW w:w="5159" w:type="dxa"/>
          </w:tcPr>
          <w:p w14:paraId="58332303"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forbedre kjønnsbalansen i vitenskapelige toppstillinger </w:t>
            </w:r>
          </w:p>
        </w:tc>
        <w:tc>
          <w:tcPr>
            <w:tcW w:w="1118" w:type="dxa"/>
          </w:tcPr>
          <w:p w14:paraId="3CD306DA" w14:textId="3CE198D4"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Arbeids</w:t>
            </w:r>
            <w:r w:rsidR="0068411D">
              <w:rPr>
                <w:color w:val="000000"/>
                <w:sz w:val="20"/>
              </w:rPr>
              <w:t>-</w:t>
            </w:r>
            <w:r w:rsidRPr="00201BB6">
              <w:rPr>
                <w:color w:val="000000"/>
                <w:sz w:val="20"/>
              </w:rPr>
              <w:t>miljø</w:t>
            </w:r>
          </w:p>
        </w:tc>
        <w:tc>
          <w:tcPr>
            <w:tcW w:w="459" w:type="dxa"/>
          </w:tcPr>
          <w:p w14:paraId="06BAAE18"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c>
          <w:tcPr>
            <w:tcW w:w="459" w:type="dxa"/>
          </w:tcPr>
          <w:p w14:paraId="42B57A7A"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47287728"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76701564"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62" w:type="dxa"/>
          </w:tcPr>
          <w:p w14:paraId="44F191B1"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r>
      <w:tr w:rsidR="00BF7B9E" w14:paraId="259F2053"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79DC29CC" w14:textId="77777777" w:rsidR="00BF7B9E" w:rsidRPr="00201BB6" w:rsidRDefault="00BF7B9E" w:rsidP="00F76CA1">
            <w:pPr>
              <w:jc w:val="center"/>
              <w:rPr>
                <w:color w:val="000000"/>
                <w:sz w:val="20"/>
              </w:rPr>
            </w:pPr>
            <w:r w:rsidRPr="00201BB6">
              <w:rPr>
                <w:color w:val="000000"/>
                <w:sz w:val="20"/>
              </w:rPr>
              <w:t>32</w:t>
            </w:r>
          </w:p>
        </w:tc>
        <w:tc>
          <w:tcPr>
            <w:tcW w:w="5159" w:type="dxa"/>
          </w:tcPr>
          <w:p w14:paraId="0E3C791E"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etablere arbeidsplasser og læringsarenaer baserte på forskning og erfaringer </w:t>
            </w:r>
          </w:p>
        </w:tc>
        <w:tc>
          <w:tcPr>
            <w:tcW w:w="1118" w:type="dxa"/>
          </w:tcPr>
          <w:p w14:paraId="40FF1DA2"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Campus</w:t>
            </w:r>
          </w:p>
        </w:tc>
        <w:tc>
          <w:tcPr>
            <w:tcW w:w="459" w:type="dxa"/>
          </w:tcPr>
          <w:p w14:paraId="1620B05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7F1A9176"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394B461E"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17CDB642"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62" w:type="dxa"/>
          </w:tcPr>
          <w:p w14:paraId="49D5AEC9" w14:textId="77777777" w:rsidR="00BF7B9E" w:rsidRPr="008E6136" w:rsidRDefault="00BF7B9E" w:rsidP="00450CEA">
            <w:pPr>
              <w:cnfStyle w:val="000000000000" w:firstRow="0" w:lastRow="0" w:firstColumn="0" w:lastColumn="0" w:oddVBand="0" w:evenVBand="0" w:oddHBand="0" w:evenHBand="0" w:firstRowFirstColumn="0" w:firstRowLastColumn="0" w:lastRowFirstColumn="0" w:lastRowLastColumn="0"/>
              <w:rPr>
                <w:b/>
                <w:bCs/>
                <w:color w:val="0070C0"/>
                <w:sz w:val="20"/>
              </w:rPr>
            </w:pPr>
          </w:p>
        </w:tc>
      </w:tr>
      <w:tr w:rsidR="00BF7B9E" w14:paraId="76D44BC1"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4A7D8AE" w14:textId="77777777" w:rsidR="00BF7B9E" w:rsidRPr="00201BB6" w:rsidRDefault="00BF7B9E" w:rsidP="00F76CA1">
            <w:pPr>
              <w:jc w:val="center"/>
              <w:rPr>
                <w:color w:val="000000"/>
                <w:sz w:val="20"/>
              </w:rPr>
            </w:pPr>
            <w:r w:rsidRPr="00201BB6">
              <w:rPr>
                <w:color w:val="000000"/>
                <w:sz w:val="20"/>
              </w:rPr>
              <w:t>33</w:t>
            </w:r>
          </w:p>
        </w:tc>
        <w:tc>
          <w:tcPr>
            <w:tcW w:w="5159" w:type="dxa"/>
          </w:tcPr>
          <w:p w14:paraId="163084D3"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utvikle bærekraftige teknologiske løsninger  </w:t>
            </w:r>
          </w:p>
        </w:tc>
        <w:tc>
          <w:tcPr>
            <w:tcW w:w="1118" w:type="dxa"/>
          </w:tcPr>
          <w:p w14:paraId="5E643E8F"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Campus</w:t>
            </w:r>
          </w:p>
        </w:tc>
        <w:tc>
          <w:tcPr>
            <w:tcW w:w="459" w:type="dxa"/>
          </w:tcPr>
          <w:p w14:paraId="46C0DEB9"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702D32D3"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1103BDC5"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5793DE72"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62" w:type="dxa"/>
          </w:tcPr>
          <w:p w14:paraId="5EC997E0"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r>
      <w:tr w:rsidR="00BF7B9E" w14:paraId="6FB0A9FB"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496B3415" w14:textId="77777777" w:rsidR="00BF7B9E" w:rsidRPr="00201BB6" w:rsidRDefault="00BF7B9E" w:rsidP="00F76CA1">
            <w:pPr>
              <w:jc w:val="center"/>
              <w:rPr>
                <w:color w:val="000000"/>
                <w:sz w:val="20"/>
              </w:rPr>
            </w:pPr>
            <w:r w:rsidRPr="00201BB6">
              <w:rPr>
                <w:color w:val="000000"/>
                <w:sz w:val="20"/>
              </w:rPr>
              <w:t>34</w:t>
            </w:r>
          </w:p>
        </w:tc>
        <w:tc>
          <w:tcPr>
            <w:tcW w:w="5159" w:type="dxa"/>
          </w:tcPr>
          <w:p w14:paraId="30B9E4F8"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utvikle en fremtidsrettet, samlet campus i Trondheim som er modell for fremtidige offentlige utbygginger i Norge </w:t>
            </w:r>
          </w:p>
        </w:tc>
        <w:tc>
          <w:tcPr>
            <w:tcW w:w="1118" w:type="dxa"/>
          </w:tcPr>
          <w:p w14:paraId="6691C1AD"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Campus</w:t>
            </w:r>
          </w:p>
        </w:tc>
        <w:tc>
          <w:tcPr>
            <w:tcW w:w="459" w:type="dxa"/>
          </w:tcPr>
          <w:p w14:paraId="00C003E9"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6162B0FF"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222D1F0D"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646" w:type="dxa"/>
          </w:tcPr>
          <w:p w14:paraId="380CF0B1"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62" w:type="dxa"/>
          </w:tcPr>
          <w:p w14:paraId="637A8E44"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r>
      <w:tr w:rsidR="00BF7B9E" w14:paraId="355ED724" w14:textId="77777777" w:rsidTr="00F76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 w:type="dxa"/>
          </w:tcPr>
          <w:p w14:paraId="6775F5DF" w14:textId="77777777" w:rsidR="00BF7B9E" w:rsidRPr="00201BB6" w:rsidRDefault="00BF7B9E" w:rsidP="00F76CA1">
            <w:pPr>
              <w:jc w:val="center"/>
              <w:rPr>
                <w:color w:val="000000"/>
                <w:sz w:val="20"/>
              </w:rPr>
            </w:pPr>
            <w:r w:rsidRPr="00201BB6">
              <w:rPr>
                <w:color w:val="000000"/>
                <w:sz w:val="20"/>
              </w:rPr>
              <w:t>35</w:t>
            </w:r>
          </w:p>
        </w:tc>
        <w:tc>
          <w:tcPr>
            <w:tcW w:w="5159" w:type="dxa"/>
          </w:tcPr>
          <w:p w14:paraId="3366573C" w14:textId="77777777"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 xml:space="preserve">ha ressursstyring som bidrar til økt produktivitet og sikrer handlingsrom for strategiske prioriteringer og fornyelse på alle nivå </w:t>
            </w:r>
          </w:p>
        </w:tc>
        <w:tc>
          <w:tcPr>
            <w:tcW w:w="1118" w:type="dxa"/>
          </w:tcPr>
          <w:p w14:paraId="782D6FDC" w14:textId="10E78B60" w:rsidR="00BF7B9E" w:rsidRPr="00201BB6" w:rsidRDefault="00BF7B9E" w:rsidP="00F76CA1">
            <w:pPr>
              <w:cnfStyle w:val="000000100000" w:firstRow="0" w:lastRow="0" w:firstColumn="0" w:lastColumn="0" w:oddVBand="0" w:evenVBand="0" w:oddHBand="1" w:evenHBand="0" w:firstRowFirstColumn="0" w:firstRowLastColumn="0" w:lastRowFirstColumn="0" w:lastRowLastColumn="0"/>
              <w:rPr>
                <w:color w:val="000000"/>
                <w:sz w:val="20"/>
              </w:rPr>
            </w:pPr>
            <w:r w:rsidRPr="00201BB6">
              <w:rPr>
                <w:color w:val="000000"/>
                <w:sz w:val="20"/>
              </w:rPr>
              <w:t>Utvik</w:t>
            </w:r>
            <w:r w:rsidR="0068411D">
              <w:rPr>
                <w:color w:val="000000"/>
                <w:sz w:val="20"/>
              </w:rPr>
              <w:t>-</w:t>
            </w:r>
            <w:r w:rsidRPr="00201BB6">
              <w:rPr>
                <w:color w:val="000000"/>
                <w:sz w:val="20"/>
              </w:rPr>
              <w:t>lingsevne</w:t>
            </w:r>
          </w:p>
        </w:tc>
        <w:tc>
          <w:tcPr>
            <w:tcW w:w="459" w:type="dxa"/>
          </w:tcPr>
          <w:p w14:paraId="02294DAD"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459" w:type="dxa"/>
          </w:tcPr>
          <w:p w14:paraId="059597FB"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sz w:val="20"/>
              </w:rPr>
            </w:pPr>
          </w:p>
        </w:tc>
        <w:tc>
          <w:tcPr>
            <w:tcW w:w="647" w:type="dxa"/>
          </w:tcPr>
          <w:p w14:paraId="56F41927" w14:textId="77777777" w:rsidR="00BF7B9E" w:rsidRPr="00E553C7" w:rsidRDefault="00BF7B9E" w:rsidP="00F76CA1">
            <w:pPr>
              <w:jc w:val="center"/>
              <w:cnfStyle w:val="000000100000" w:firstRow="0" w:lastRow="0" w:firstColumn="0" w:lastColumn="0" w:oddVBand="0" w:evenVBand="0" w:oddHBand="1" w:evenHBand="0" w:firstRowFirstColumn="0" w:firstRowLastColumn="0" w:lastRowFirstColumn="0" w:lastRowLastColumn="0"/>
              <w:rPr>
                <w:b/>
                <w:color w:val="0070C0"/>
                <w:sz w:val="20"/>
              </w:rPr>
            </w:pPr>
          </w:p>
        </w:tc>
        <w:tc>
          <w:tcPr>
            <w:tcW w:w="646" w:type="dxa"/>
          </w:tcPr>
          <w:p w14:paraId="6D75DB00"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sz w:val="20"/>
              </w:rPr>
            </w:pPr>
            <w:r w:rsidRPr="008E6136">
              <w:rPr>
                <w:b/>
                <w:bCs/>
                <w:sz w:val="20"/>
              </w:rPr>
              <w:t>X</w:t>
            </w:r>
          </w:p>
        </w:tc>
        <w:tc>
          <w:tcPr>
            <w:tcW w:w="662" w:type="dxa"/>
          </w:tcPr>
          <w:p w14:paraId="5D5F8ADB" w14:textId="77777777" w:rsidR="00BF7B9E" w:rsidRPr="008E6136" w:rsidRDefault="00BF7B9E" w:rsidP="00F76CA1">
            <w:pPr>
              <w:jc w:val="center"/>
              <w:cnfStyle w:val="000000100000" w:firstRow="0" w:lastRow="0" w:firstColumn="0" w:lastColumn="0" w:oddVBand="0" w:evenVBand="0" w:oddHBand="1" w:evenHBand="0" w:firstRowFirstColumn="0" w:firstRowLastColumn="0" w:lastRowFirstColumn="0" w:lastRowLastColumn="0"/>
              <w:rPr>
                <w:b/>
                <w:bCs/>
                <w:color w:val="0070C0"/>
                <w:sz w:val="20"/>
              </w:rPr>
            </w:pPr>
            <w:r w:rsidRPr="008E6136">
              <w:rPr>
                <w:b/>
                <w:bCs/>
                <w:color w:val="0070C0"/>
                <w:sz w:val="20"/>
              </w:rPr>
              <w:t>X</w:t>
            </w:r>
          </w:p>
        </w:tc>
      </w:tr>
      <w:tr w:rsidR="00BF7B9E" w14:paraId="63A98B18" w14:textId="77777777" w:rsidTr="00F76CA1">
        <w:tc>
          <w:tcPr>
            <w:cnfStyle w:val="001000000000" w:firstRow="0" w:lastRow="0" w:firstColumn="1" w:lastColumn="0" w:oddVBand="0" w:evenVBand="0" w:oddHBand="0" w:evenHBand="0" w:firstRowFirstColumn="0" w:firstRowLastColumn="0" w:lastRowFirstColumn="0" w:lastRowLastColumn="0"/>
            <w:tcW w:w="563" w:type="dxa"/>
          </w:tcPr>
          <w:p w14:paraId="127042EB" w14:textId="77777777" w:rsidR="00BF7B9E" w:rsidRPr="00201BB6" w:rsidRDefault="00BF7B9E" w:rsidP="00F76CA1">
            <w:pPr>
              <w:jc w:val="center"/>
              <w:rPr>
                <w:color w:val="000000"/>
                <w:sz w:val="20"/>
              </w:rPr>
            </w:pPr>
            <w:r w:rsidRPr="00201BB6">
              <w:rPr>
                <w:color w:val="000000"/>
                <w:sz w:val="20"/>
              </w:rPr>
              <w:t>36</w:t>
            </w:r>
          </w:p>
        </w:tc>
        <w:tc>
          <w:tcPr>
            <w:tcW w:w="5159" w:type="dxa"/>
          </w:tcPr>
          <w:p w14:paraId="77C3E5BE" w14:textId="77777777"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 xml:space="preserve">iverksette digitaliseringstiltak og forbedringer som støtter opp under helhetlige, standardiserte rutiner og arbeidsprosesser </w:t>
            </w:r>
          </w:p>
        </w:tc>
        <w:tc>
          <w:tcPr>
            <w:tcW w:w="1118" w:type="dxa"/>
          </w:tcPr>
          <w:p w14:paraId="3151A8F4" w14:textId="34EE4F1A" w:rsidR="00BF7B9E" w:rsidRPr="00201BB6" w:rsidRDefault="00BF7B9E" w:rsidP="00F76CA1">
            <w:pPr>
              <w:cnfStyle w:val="000000000000" w:firstRow="0" w:lastRow="0" w:firstColumn="0" w:lastColumn="0" w:oddVBand="0" w:evenVBand="0" w:oddHBand="0" w:evenHBand="0" w:firstRowFirstColumn="0" w:firstRowLastColumn="0" w:lastRowFirstColumn="0" w:lastRowLastColumn="0"/>
              <w:rPr>
                <w:color w:val="000000"/>
                <w:sz w:val="20"/>
              </w:rPr>
            </w:pPr>
            <w:r w:rsidRPr="00201BB6">
              <w:rPr>
                <w:color w:val="000000"/>
                <w:sz w:val="20"/>
              </w:rPr>
              <w:t>Utvik</w:t>
            </w:r>
            <w:r w:rsidR="0068411D">
              <w:rPr>
                <w:color w:val="000000"/>
                <w:sz w:val="20"/>
              </w:rPr>
              <w:t>-</w:t>
            </w:r>
            <w:r w:rsidRPr="00201BB6">
              <w:rPr>
                <w:color w:val="000000"/>
                <w:sz w:val="20"/>
              </w:rPr>
              <w:t>lingsevne</w:t>
            </w:r>
          </w:p>
        </w:tc>
        <w:tc>
          <w:tcPr>
            <w:tcW w:w="459" w:type="dxa"/>
          </w:tcPr>
          <w:p w14:paraId="24CB6718"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color w:val="0070C0"/>
                <w:sz w:val="20"/>
              </w:rPr>
            </w:pPr>
          </w:p>
        </w:tc>
        <w:tc>
          <w:tcPr>
            <w:tcW w:w="459" w:type="dxa"/>
          </w:tcPr>
          <w:p w14:paraId="2A3EBE04" w14:textId="77777777" w:rsidR="00BF7B9E" w:rsidRPr="00E553C7" w:rsidRDefault="00BF7B9E" w:rsidP="00F76CA1">
            <w:pPr>
              <w:jc w:val="center"/>
              <w:cnfStyle w:val="000000000000" w:firstRow="0" w:lastRow="0" w:firstColumn="0" w:lastColumn="0" w:oddVBand="0" w:evenVBand="0" w:oddHBand="0" w:evenHBand="0" w:firstRowFirstColumn="0" w:firstRowLastColumn="0" w:lastRowFirstColumn="0" w:lastRowLastColumn="0"/>
              <w:rPr>
                <w:b/>
                <w:sz w:val="20"/>
              </w:rPr>
            </w:pPr>
          </w:p>
        </w:tc>
        <w:tc>
          <w:tcPr>
            <w:tcW w:w="647" w:type="dxa"/>
          </w:tcPr>
          <w:p w14:paraId="440C5F11"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c>
          <w:tcPr>
            <w:tcW w:w="646" w:type="dxa"/>
          </w:tcPr>
          <w:p w14:paraId="29A7F12F"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sz w:val="20"/>
              </w:rPr>
            </w:pPr>
            <w:r w:rsidRPr="008E6136">
              <w:rPr>
                <w:b/>
                <w:bCs/>
                <w:sz w:val="20"/>
              </w:rPr>
              <w:t>X</w:t>
            </w:r>
          </w:p>
        </w:tc>
        <w:tc>
          <w:tcPr>
            <w:tcW w:w="662" w:type="dxa"/>
          </w:tcPr>
          <w:p w14:paraId="2ADC6208" w14:textId="77777777" w:rsidR="00BF7B9E" w:rsidRPr="008E6136" w:rsidRDefault="00BF7B9E" w:rsidP="00F76CA1">
            <w:pPr>
              <w:jc w:val="center"/>
              <w:cnfStyle w:val="000000000000" w:firstRow="0" w:lastRow="0" w:firstColumn="0" w:lastColumn="0" w:oddVBand="0" w:evenVBand="0" w:oddHBand="0" w:evenHBand="0" w:firstRowFirstColumn="0" w:firstRowLastColumn="0" w:lastRowFirstColumn="0" w:lastRowLastColumn="0"/>
              <w:rPr>
                <w:b/>
                <w:bCs/>
                <w:color w:val="0070C0"/>
                <w:sz w:val="20"/>
              </w:rPr>
            </w:pPr>
            <w:r w:rsidRPr="008E6136">
              <w:rPr>
                <w:b/>
                <w:bCs/>
                <w:color w:val="0070C0"/>
                <w:sz w:val="20"/>
              </w:rPr>
              <w:t>X</w:t>
            </w:r>
          </w:p>
        </w:tc>
      </w:tr>
    </w:tbl>
    <w:p w14:paraId="7A4A0EC7" w14:textId="77777777" w:rsidR="00BF7B9E" w:rsidRDefault="00BF7B9E" w:rsidP="00BF7B9E">
      <w:pPr>
        <w:rPr>
          <w:sz w:val="22"/>
        </w:rPr>
      </w:pPr>
    </w:p>
    <w:p w14:paraId="0625DA30" w14:textId="77777777" w:rsidR="00801F7F" w:rsidRDefault="00801F7F">
      <w:pPr>
        <w:rPr>
          <w:b/>
          <w:sz w:val="48"/>
        </w:rPr>
      </w:pPr>
      <w:r>
        <w:rPr>
          <w:b/>
          <w:sz w:val="48"/>
        </w:rPr>
        <w:br w:type="page"/>
      </w:r>
    </w:p>
    <w:p w14:paraId="75301A82" w14:textId="77777777" w:rsidR="00801F7F" w:rsidRPr="007220CE" w:rsidRDefault="00BF7B9E" w:rsidP="00BF7B9E">
      <w:pPr>
        <w:pStyle w:val="Heading1"/>
      </w:pPr>
      <w:r>
        <w:t>Vedlegg B</w:t>
      </w:r>
      <w:r w:rsidR="00801F7F">
        <w:t>: Økonomiske langtidsutsikter</w:t>
      </w:r>
    </w:p>
    <w:p w14:paraId="5175DA79" w14:textId="77777777" w:rsidR="00801F7F" w:rsidRPr="00AE0C57" w:rsidRDefault="00801F7F" w:rsidP="00801F7F">
      <w:pPr>
        <w:rPr>
          <w:sz w:val="22"/>
        </w:rPr>
      </w:pPr>
    </w:p>
    <w:p w14:paraId="314B2781" w14:textId="77777777" w:rsidR="009F332F" w:rsidRPr="00AE0C57" w:rsidRDefault="009F332F" w:rsidP="009F332F">
      <w:pPr>
        <w:rPr>
          <w:sz w:val="22"/>
        </w:rPr>
      </w:pPr>
      <w:r w:rsidRPr="00AE0C57">
        <w:rPr>
          <w:sz w:val="22"/>
        </w:rPr>
        <w:t>NTNU vektlegger langsiktig styring av økonomien, og før vi fordeler årets rammebevilgning gjør vi vurderinger av framtidsutsiktene både når det gjelder inntekt fra KD, kostnadsutvikling og nivået på ubrukte bevilgninger, samt utviklingen i totale inntekter og styringen av totaløkonomien.</w:t>
      </w:r>
    </w:p>
    <w:p w14:paraId="2B3747A5" w14:textId="77777777" w:rsidR="009F332F" w:rsidRPr="00AE0C57" w:rsidRDefault="009F332F" w:rsidP="009F332F">
      <w:pPr>
        <w:rPr>
          <w:sz w:val="22"/>
        </w:rPr>
      </w:pPr>
    </w:p>
    <w:p w14:paraId="02C45F3C" w14:textId="77777777" w:rsidR="009F332F" w:rsidRPr="00AE0C57" w:rsidRDefault="009F332F" w:rsidP="009F332F">
      <w:pPr>
        <w:rPr>
          <w:sz w:val="22"/>
        </w:rPr>
      </w:pPr>
    </w:p>
    <w:p w14:paraId="42862F8D" w14:textId="77777777" w:rsidR="009F332F" w:rsidRPr="00AE0C57" w:rsidRDefault="009F332F" w:rsidP="009F332F">
      <w:pPr>
        <w:rPr>
          <w:i/>
          <w:sz w:val="22"/>
        </w:rPr>
      </w:pPr>
      <w:r w:rsidRPr="00AE0C57">
        <w:rPr>
          <w:i/>
          <w:iCs/>
          <w:sz w:val="22"/>
        </w:rPr>
        <w:t>Kort om totaløkonomien</w:t>
      </w:r>
    </w:p>
    <w:p w14:paraId="30DB1B41" w14:textId="7B5389B0" w:rsidR="009F332F" w:rsidRPr="00AE0C57" w:rsidRDefault="009F332F" w:rsidP="009F332F">
      <w:pPr>
        <w:rPr>
          <w:sz w:val="22"/>
        </w:rPr>
      </w:pPr>
      <w:r w:rsidRPr="00AE0C57">
        <w:rPr>
          <w:sz w:val="22"/>
        </w:rPr>
        <w:t>Inntekter fra bidrags- og oppdragsfinansiert aktivitet (BOA) ventes å utgjøre 2,1</w:t>
      </w:r>
      <w:r>
        <w:rPr>
          <w:sz w:val="22"/>
        </w:rPr>
        <w:t>5</w:t>
      </w:r>
      <w:r w:rsidRPr="00AE0C57">
        <w:rPr>
          <w:sz w:val="22"/>
        </w:rPr>
        <w:t>-2,2</w:t>
      </w:r>
      <w:r>
        <w:rPr>
          <w:sz w:val="22"/>
        </w:rPr>
        <w:t>5</w:t>
      </w:r>
      <w:r w:rsidRPr="00AE0C57">
        <w:rPr>
          <w:sz w:val="22"/>
        </w:rPr>
        <w:t xml:space="preserve"> mrd.kr i 201</w:t>
      </w:r>
      <w:r>
        <w:rPr>
          <w:sz w:val="22"/>
        </w:rPr>
        <w:t>9</w:t>
      </w:r>
      <w:r w:rsidRPr="00AE0C57">
        <w:rPr>
          <w:sz w:val="22"/>
        </w:rPr>
        <w:t>, eller rundt 25 % av totale inntekter. BOA og andre inntekter som NTNU mottar inngår ikke i rammefordelingen, men tilfaller i all hovedsak fakultetene der aktiviteten finner sted.</w:t>
      </w:r>
    </w:p>
    <w:p w14:paraId="60B14DB9" w14:textId="77777777" w:rsidR="009F332F" w:rsidRPr="00AE0C57" w:rsidRDefault="009F332F" w:rsidP="009F332F">
      <w:pPr>
        <w:rPr>
          <w:bCs/>
          <w:sz w:val="22"/>
        </w:rPr>
      </w:pPr>
    </w:p>
    <w:p w14:paraId="0CFFAC7E" w14:textId="77777777" w:rsidR="009F332F" w:rsidRPr="00AE0C57" w:rsidRDefault="009F332F" w:rsidP="009F332F">
      <w:pPr>
        <w:pStyle w:val="Default"/>
        <w:rPr>
          <w:color w:val="auto"/>
          <w:sz w:val="22"/>
        </w:rPr>
      </w:pPr>
      <w:r w:rsidRPr="00AE0C57">
        <w:rPr>
          <w:color w:val="auto"/>
          <w:sz w:val="22"/>
        </w:rPr>
        <w:t>Det ligger mye strategisk handlingsrom i god styring av BOA-porteføljen, og vi ser et stadig større behov for å se bevilgningsøkonomien og BOA-økonomien i sammenheng for å kunne utøve god økonomistyring. Eksempelvis vil nivået på dekning av indirekte kostnader og egenfinansiering inn i BOA-prosjektene ha stor betydning for handlingsrommet og avsetningsnivået i bevilgningsøkonomien.</w:t>
      </w:r>
    </w:p>
    <w:p w14:paraId="47892208" w14:textId="77777777" w:rsidR="009F332F" w:rsidRPr="00AE0C57" w:rsidRDefault="009F332F" w:rsidP="009F332F">
      <w:pPr>
        <w:rPr>
          <w:sz w:val="22"/>
        </w:rPr>
      </w:pPr>
    </w:p>
    <w:p w14:paraId="4E8BFFA2" w14:textId="18F65483" w:rsidR="009F332F" w:rsidRDefault="009F332F" w:rsidP="009F332F">
      <w:pPr>
        <w:rPr>
          <w:sz w:val="22"/>
        </w:rPr>
      </w:pPr>
      <w:r w:rsidRPr="00AE0C57">
        <w:rPr>
          <w:sz w:val="22"/>
        </w:rPr>
        <w:t>Nivået på ubrukte bevilgninger var ved inngangen til 2018 ca</w:t>
      </w:r>
      <w:r w:rsidR="00A1670A">
        <w:rPr>
          <w:sz w:val="22"/>
        </w:rPr>
        <w:t>.</w:t>
      </w:r>
      <w:r w:rsidRPr="00AE0C57">
        <w:rPr>
          <w:sz w:val="22"/>
        </w:rPr>
        <w:t xml:space="preserve"> 10 % av årlig bevilgning (648 mill.kr), og NTNU budsjetterte for 2018 å bygge ned avsetningene med 310 mill.kr</w:t>
      </w:r>
      <w:r w:rsidRPr="00634D70">
        <w:rPr>
          <w:sz w:val="22"/>
        </w:rPr>
        <w:t xml:space="preserve">. Vi så tidlig at dette ville være et </w:t>
      </w:r>
      <w:r w:rsidRPr="005D0B93">
        <w:rPr>
          <w:sz w:val="22"/>
        </w:rPr>
        <w:t xml:space="preserve">ambisiøst budsjett, og prognosen etter. 2. tertial tilsa at vi kunne ligge an til å klare en nedbygging i spennet fra 0 til 100 mill.kr. Pr utgangen av oktober </w:t>
      </w:r>
      <w:r w:rsidR="009723CE" w:rsidRPr="005D0B93">
        <w:rPr>
          <w:sz w:val="22"/>
        </w:rPr>
        <w:t>ser det fortsatt ut som vi vil få en nedbygging i 2018.</w:t>
      </w:r>
      <w:r w:rsidR="009723CE">
        <w:rPr>
          <w:sz w:val="22"/>
        </w:rPr>
        <w:t xml:space="preserve"> </w:t>
      </w:r>
    </w:p>
    <w:p w14:paraId="40FB1F98" w14:textId="77777777" w:rsidR="009723CE" w:rsidRPr="00AE0C57" w:rsidRDefault="009723CE" w:rsidP="009F332F">
      <w:pPr>
        <w:rPr>
          <w:sz w:val="22"/>
        </w:rPr>
      </w:pPr>
    </w:p>
    <w:p w14:paraId="6BDABF58" w14:textId="77777777" w:rsidR="009F332F" w:rsidRPr="00AE0C57" w:rsidRDefault="009F332F" w:rsidP="009F332F">
      <w:pPr>
        <w:rPr>
          <w:i/>
          <w:sz w:val="22"/>
        </w:rPr>
      </w:pPr>
      <w:r w:rsidRPr="00AE0C57">
        <w:rPr>
          <w:i/>
          <w:iCs/>
          <w:sz w:val="22"/>
        </w:rPr>
        <w:t xml:space="preserve">Bevilgning fra Kunnskapsdepartementet </w:t>
      </w:r>
    </w:p>
    <w:p w14:paraId="41EB7679" w14:textId="77777777" w:rsidR="009F332F" w:rsidRPr="00AE0C57" w:rsidRDefault="009F332F" w:rsidP="009F332F">
      <w:pPr>
        <w:ind w:right="85"/>
        <w:rPr>
          <w:sz w:val="22"/>
          <w:szCs w:val="24"/>
        </w:rPr>
      </w:pPr>
      <w:r w:rsidRPr="00AE0C57">
        <w:rPr>
          <w:sz w:val="22"/>
        </w:rPr>
        <w:t xml:space="preserve">Rammebevilgningen fra Kunnskapsdepartementet (ofte kalt grunnbevilgningen) består av en langsiktig, strategisk basisbevilgning og resultatavhengige bevilgninger innenfor utdanning og forskning. </w:t>
      </w:r>
    </w:p>
    <w:p w14:paraId="012CE231" w14:textId="77777777" w:rsidR="009F332F" w:rsidRPr="00AE0C57" w:rsidRDefault="009F332F" w:rsidP="009F332F">
      <w:pPr>
        <w:rPr>
          <w:sz w:val="22"/>
        </w:rPr>
      </w:pPr>
    </w:p>
    <w:p w14:paraId="31EE2A4C" w14:textId="77777777" w:rsidR="009F332F" w:rsidRPr="00AE0C57" w:rsidRDefault="009F332F" w:rsidP="009F332F">
      <w:pPr>
        <w:rPr>
          <w:sz w:val="22"/>
        </w:rPr>
      </w:pPr>
      <w:r w:rsidRPr="00AE0C57">
        <w:rPr>
          <w:sz w:val="22"/>
        </w:rPr>
        <w:t>I KDs finansieringssystem er basiskomponenten en videreføring av bevilgninger som har blitt tilført gjennom hele institusjonens levetid. Basiskomponenten skal sikre stabilitet og langsiktighet. De resultatbaserte bevilgningene fungerer som insentiver som skal stimulere institusjonene til å forbedre sine resultater. I tillegg til basis- og resultatbevilgning kommer direkte øremerkede bevilgninger til bestemte aktiviteter eller formål.</w:t>
      </w:r>
    </w:p>
    <w:p w14:paraId="18D97DCE" w14:textId="77777777" w:rsidR="009F332F" w:rsidRPr="00AE0C57" w:rsidRDefault="009F332F" w:rsidP="009F332F">
      <w:pPr>
        <w:rPr>
          <w:sz w:val="22"/>
        </w:rPr>
      </w:pPr>
    </w:p>
    <w:p w14:paraId="6ABBFECB" w14:textId="77777777" w:rsidR="009F332F" w:rsidRPr="00AE0C57" w:rsidRDefault="009F332F" w:rsidP="009F332F">
      <w:pPr>
        <w:pStyle w:val="Default"/>
        <w:rPr>
          <w:color w:val="auto"/>
          <w:sz w:val="22"/>
        </w:rPr>
      </w:pPr>
      <w:r w:rsidRPr="00AE0C57">
        <w:rPr>
          <w:color w:val="auto"/>
          <w:sz w:val="22"/>
        </w:rPr>
        <w:t xml:space="preserve">Beregning av inntekt fra KD er basert på hvordan fakultetene tror vi utvikler oss målt ved indikatorene i KDs finansieringsmodell. Det er utarbeidet et pessimistisk, realistisk og et optimistisk bevilgningsscenario. </w:t>
      </w:r>
    </w:p>
    <w:p w14:paraId="492AA7B8" w14:textId="77777777" w:rsidR="009F332F" w:rsidRPr="00AE0C57" w:rsidRDefault="009F332F" w:rsidP="009F332F">
      <w:pPr>
        <w:pStyle w:val="Default"/>
        <w:rPr>
          <w:color w:val="auto"/>
          <w:sz w:val="22"/>
          <w:szCs w:val="20"/>
        </w:rPr>
      </w:pPr>
    </w:p>
    <w:p w14:paraId="04712AA5" w14:textId="77777777" w:rsidR="009F332F" w:rsidRPr="00AE0C57" w:rsidRDefault="009F332F" w:rsidP="009F332F">
      <w:pPr>
        <w:pStyle w:val="Default"/>
        <w:rPr>
          <w:color w:val="auto"/>
          <w:sz w:val="22"/>
        </w:rPr>
      </w:pPr>
      <w:r w:rsidRPr="00AE0C57">
        <w:rPr>
          <w:noProof/>
          <w:sz w:val="22"/>
        </w:rPr>
        <w:drawing>
          <wp:anchor distT="0" distB="0" distL="114300" distR="114300" simplePos="0" relativeHeight="251717120" behindDoc="0" locked="0" layoutInCell="1" allowOverlap="1" wp14:anchorId="6B92B4B7" wp14:editId="762BB781">
            <wp:simplePos x="0" y="0"/>
            <wp:positionH relativeFrom="margin">
              <wp:align>right</wp:align>
            </wp:positionH>
            <wp:positionV relativeFrom="paragraph">
              <wp:posOffset>10160</wp:posOffset>
            </wp:positionV>
            <wp:extent cx="3879850" cy="1995170"/>
            <wp:effectExtent l="0" t="0" r="6350" b="5080"/>
            <wp:wrapSquare wrapText="bothSides"/>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AE0C57">
        <w:rPr>
          <w:color w:val="auto"/>
          <w:sz w:val="22"/>
        </w:rPr>
        <w:t>Figuren til høyre viser de tre scenariene for hele strategiperioden. Alle tall er i 2019-kroner. For budsjettåret 2019 kjenner vi resultatene på indikatorene som inngår i modellen, så forskjellen mellom scenariene skyldes fakultetenes prognoser på framtidig produksjon.</w:t>
      </w:r>
      <w:r w:rsidRPr="00AE0C57">
        <w:rPr>
          <w:noProof/>
          <w:sz w:val="22"/>
        </w:rPr>
        <w:t xml:space="preserve"> </w:t>
      </w:r>
    </w:p>
    <w:p w14:paraId="047DA588" w14:textId="77777777" w:rsidR="00801F7F" w:rsidRDefault="00801F7F" w:rsidP="00801F7F">
      <w:pPr>
        <w:rPr>
          <w:i/>
          <w:iCs/>
          <w:sz w:val="22"/>
        </w:rPr>
      </w:pPr>
    </w:p>
    <w:p w14:paraId="6343FE9D" w14:textId="77777777" w:rsidR="009F332F" w:rsidRDefault="009F332F" w:rsidP="00801F7F">
      <w:pPr>
        <w:rPr>
          <w:i/>
          <w:iCs/>
          <w:sz w:val="22"/>
        </w:rPr>
      </w:pPr>
    </w:p>
    <w:p w14:paraId="428BAD51" w14:textId="77777777" w:rsidR="00801F7F" w:rsidRDefault="00801F7F" w:rsidP="00801F7F">
      <w:pPr>
        <w:rPr>
          <w:i/>
          <w:iCs/>
          <w:sz w:val="22"/>
        </w:rPr>
      </w:pPr>
    </w:p>
    <w:p w14:paraId="0384E5EE" w14:textId="77777777" w:rsidR="00801F7F" w:rsidRPr="00AE0C57" w:rsidRDefault="00801F7F" w:rsidP="00801F7F">
      <w:pPr>
        <w:rPr>
          <w:i/>
          <w:iCs/>
          <w:sz w:val="22"/>
        </w:rPr>
      </w:pPr>
    </w:p>
    <w:p w14:paraId="1C758559" w14:textId="77777777" w:rsidR="00801F7F" w:rsidRDefault="00801F7F">
      <w:pPr>
        <w:rPr>
          <w:b/>
          <w:sz w:val="48"/>
        </w:rPr>
      </w:pPr>
      <w:r>
        <w:rPr>
          <w:b/>
          <w:sz w:val="48"/>
        </w:rPr>
        <w:br w:type="page"/>
      </w:r>
    </w:p>
    <w:p w14:paraId="63896F69" w14:textId="77777777" w:rsidR="00801F7F" w:rsidRPr="00801F7F" w:rsidRDefault="00BF7B9E" w:rsidP="00BF7B9E">
      <w:pPr>
        <w:pStyle w:val="Heading1"/>
      </w:pPr>
      <w:r>
        <w:t>Vedlegg C</w:t>
      </w:r>
      <w:r w:rsidR="00801F7F" w:rsidRPr="00801F7F">
        <w:t>: Detaljert rammefordeling for 2019 og langtidsperioden</w:t>
      </w:r>
    </w:p>
    <w:p w14:paraId="2A84054F" w14:textId="77777777" w:rsidR="00801F7F" w:rsidRDefault="00801F7F" w:rsidP="00801F7F">
      <w:pPr>
        <w:rPr>
          <w:sz w:val="22"/>
          <w:szCs w:val="22"/>
        </w:rPr>
      </w:pPr>
    </w:p>
    <w:p w14:paraId="25CC6C56" w14:textId="77777777" w:rsidR="005D4473" w:rsidRPr="00AE0C57" w:rsidRDefault="005D4473" w:rsidP="005D4473">
      <w:pPr>
        <w:rPr>
          <w:sz w:val="22"/>
          <w:szCs w:val="22"/>
        </w:rPr>
      </w:pPr>
      <w:r>
        <w:rPr>
          <w:sz w:val="22"/>
          <w:szCs w:val="22"/>
        </w:rPr>
        <w:t>I dette vedlegget</w:t>
      </w:r>
      <w:r w:rsidRPr="00AE0C57">
        <w:rPr>
          <w:sz w:val="22"/>
          <w:szCs w:val="22"/>
        </w:rPr>
        <w:t xml:space="preserve"> gjennomgås de ulike elementene i rammefordelingen i detalj.</w:t>
      </w:r>
    </w:p>
    <w:p w14:paraId="2E64E168" w14:textId="77777777" w:rsidR="005D4473" w:rsidRPr="00AE0C57" w:rsidRDefault="005D4473" w:rsidP="005D4473">
      <w:pPr>
        <w:rPr>
          <w:sz w:val="22"/>
          <w:szCs w:val="22"/>
        </w:rPr>
      </w:pPr>
    </w:p>
    <w:p w14:paraId="6F28152A" w14:textId="77777777" w:rsidR="005D4473" w:rsidRPr="00AE0C57" w:rsidRDefault="005D4473" w:rsidP="005D4473">
      <w:pPr>
        <w:rPr>
          <w:i/>
          <w:iCs/>
          <w:sz w:val="22"/>
          <w:szCs w:val="22"/>
        </w:rPr>
      </w:pPr>
    </w:p>
    <w:p w14:paraId="6FC0E9E9" w14:textId="77777777" w:rsidR="005D4473" w:rsidRPr="00AE0C57" w:rsidRDefault="005D4473" w:rsidP="005D4473">
      <w:pPr>
        <w:rPr>
          <w:i/>
          <w:iCs/>
          <w:sz w:val="22"/>
          <w:szCs w:val="22"/>
        </w:rPr>
      </w:pPr>
      <w:r w:rsidRPr="00AE0C57">
        <w:rPr>
          <w:i/>
          <w:iCs/>
          <w:sz w:val="22"/>
          <w:szCs w:val="22"/>
        </w:rPr>
        <w:t>Usikkerhetsmargin</w:t>
      </w:r>
    </w:p>
    <w:p w14:paraId="56DA8103" w14:textId="72B25C36" w:rsidR="005D4473" w:rsidRPr="00AE0C57" w:rsidRDefault="005D4473" w:rsidP="005D4473">
      <w:pPr>
        <w:rPr>
          <w:sz w:val="22"/>
          <w:szCs w:val="22"/>
        </w:rPr>
      </w:pPr>
      <w:r w:rsidRPr="00AE0C57">
        <w:rPr>
          <w:sz w:val="22"/>
          <w:szCs w:val="22"/>
        </w:rPr>
        <w:t xml:space="preserve">Usikkerhetsmarginen skal håndtere både risiko for annen inntektsutvikling enn forventet og usikkerhet knyttet </w:t>
      </w:r>
      <w:r>
        <w:rPr>
          <w:sz w:val="22"/>
          <w:szCs w:val="22"/>
        </w:rPr>
        <w:t xml:space="preserve">til kostnadsutviklingen, og ligger for </w:t>
      </w:r>
      <w:r w:rsidRPr="00AE0C57">
        <w:rPr>
          <w:sz w:val="22"/>
          <w:szCs w:val="22"/>
        </w:rPr>
        <w:t>2019 på 23 mill. kr. Det er et lavere nivå enn normalt. Dette skyldes at det allerede i høst er en del prioriter</w:t>
      </w:r>
      <w:r>
        <w:rPr>
          <w:sz w:val="22"/>
          <w:szCs w:val="22"/>
        </w:rPr>
        <w:t>te tiltak i 2019 planlagt finansiert</w:t>
      </w:r>
      <w:r w:rsidRPr="00AE0C57">
        <w:rPr>
          <w:sz w:val="22"/>
          <w:szCs w:val="22"/>
        </w:rPr>
        <w:t xml:space="preserve"> fra usikkerhetsmarginen</w:t>
      </w:r>
      <w:r w:rsidRPr="00634D70">
        <w:rPr>
          <w:sz w:val="22"/>
          <w:szCs w:val="22"/>
        </w:rPr>
        <w:t>. Dette gjelder eksempelvis NTNUs andel av finansiering til Vitenskapsfestival i 2019 (14 mill.kr) og investeringskostnad 20</w:t>
      </w:r>
      <w:r w:rsidR="0068411D">
        <w:rPr>
          <w:sz w:val="22"/>
          <w:szCs w:val="22"/>
        </w:rPr>
        <w:t>19 knyttet til nytt ERP-system i regi av BOTT</w:t>
      </w:r>
      <w:r w:rsidRPr="00634D70">
        <w:rPr>
          <w:sz w:val="22"/>
          <w:szCs w:val="22"/>
        </w:rPr>
        <w:t xml:space="preserve"> (11 mill.kr)</w:t>
      </w:r>
      <w:r w:rsidR="0068411D">
        <w:rPr>
          <w:sz w:val="22"/>
          <w:szCs w:val="22"/>
        </w:rPr>
        <w:t>.</w:t>
      </w:r>
    </w:p>
    <w:p w14:paraId="17942330" w14:textId="77777777" w:rsidR="005D4473" w:rsidRPr="00AE0C57" w:rsidRDefault="005D4473" w:rsidP="005D4473">
      <w:pPr>
        <w:rPr>
          <w:sz w:val="22"/>
          <w:szCs w:val="22"/>
        </w:rPr>
      </w:pPr>
    </w:p>
    <w:p w14:paraId="2916ACC6" w14:textId="77777777" w:rsidR="005D4473" w:rsidRPr="00AE0C57" w:rsidRDefault="005D4473" w:rsidP="005D4473">
      <w:pPr>
        <w:rPr>
          <w:sz w:val="22"/>
          <w:szCs w:val="22"/>
        </w:rPr>
      </w:pPr>
    </w:p>
    <w:p w14:paraId="65EEF494" w14:textId="77777777" w:rsidR="005D4473" w:rsidRPr="00AE0C57" w:rsidRDefault="005D4473" w:rsidP="005D4473">
      <w:pPr>
        <w:rPr>
          <w:i/>
          <w:iCs/>
          <w:sz w:val="22"/>
          <w:szCs w:val="22"/>
        </w:rPr>
      </w:pPr>
      <w:r w:rsidRPr="00AE0C57">
        <w:rPr>
          <w:i/>
          <w:iCs/>
          <w:sz w:val="22"/>
          <w:szCs w:val="22"/>
        </w:rPr>
        <w:t>Ramme drift (RD); Fakultetenes rammer</w:t>
      </w:r>
    </w:p>
    <w:p w14:paraId="1B29CB01" w14:textId="387C7898" w:rsidR="005D4473" w:rsidRPr="00AE0C57" w:rsidRDefault="005D4473" w:rsidP="005D4473">
      <w:pPr>
        <w:rPr>
          <w:sz w:val="22"/>
          <w:szCs w:val="22"/>
        </w:rPr>
      </w:pPr>
      <w:r w:rsidRPr="00AE0C57">
        <w:rPr>
          <w:sz w:val="22"/>
          <w:szCs w:val="22"/>
        </w:rPr>
        <w:t>I den samlede rammen til ordinær drift ved fakultetene forventes e</w:t>
      </w:r>
      <w:r w:rsidR="0068411D">
        <w:rPr>
          <w:sz w:val="22"/>
          <w:szCs w:val="22"/>
        </w:rPr>
        <w:t>n liten vekst fra 2018 til 2019</w:t>
      </w:r>
      <w:r w:rsidRPr="00AE0C57">
        <w:rPr>
          <w:sz w:val="22"/>
          <w:szCs w:val="22"/>
        </w:rPr>
        <w:t xml:space="preserve"> (0,8%)</w:t>
      </w:r>
      <w:r w:rsidR="0068411D">
        <w:rPr>
          <w:sz w:val="22"/>
          <w:szCs w:val="22"/>
        </w:rPr>
        <w:t>.</w:t>
      </w:r>
      <w:r w:rsidRPr="00AE0C57">
        <w:rPr>
          <w:sz w:val="22"/>
          <w:szCs w:val="22"/>
        </w:rPr>
        <w:t xml:space="preserve"> Inkludert i dette ligger både økninger knyttet til midler for nye studieplasser, endringer i resultatbevilgningen fra KD, trekk for økt husleie knyttet til digital vurdering samt et trekk for å øke rammen for strategi- og omstillingsbevilgning. </w:t>
      </w:r>
    </w:p>
    <w:p w14:paraId="2D5D94CB" w14:textId="77777777" w:rsidR="005D4473" w:rsidRPr="00AE0C57" w:rsidRDefault="005D4473" w:rsidP="005D4473">
      <w:pPr>
        <w:rPr>
          <w:sz w:val="22"/>
          <w:szCs w:val="22"/>
        </w:rPr>
      </w:pPr>
    </w:p>
    <w:p w14:paraId="3B16A4FE" w14:textId="53991C06" w:rsidR="005D4473" w:rsidRPr="00AE0C57" w:rsidRDefault="00F64DCB" w:rsidP="005D4473">
      <w:pPr>
        <w:rPr>
          <w:sz w:val="22"/>
          <w:szCs w:val="22"/>
        </w:rPr>
      </w:pPr>
      <w:r w:rsidRPr="00AE0C57">
        <w:rPr>
          <w:noProof/>
          <w:sz w:val="22"/>
          <w:szCs w:val="22"/>
        </w:rPr>
        <w:drawing>
          <wp:anchor distT="0" distB="0" distL="114300" distR="114300" simplePos="0" relativeHeight="251726336" behindDoc="1" locked="0" layoutInCell="1" allowOverlap="1" wp14:anchorId="00B29CD6" wp14:editId="084301FA">
            <wp:simplePos x="0" y="0"/>
            <wp:positionH relativeFrom="margin">
              <wp:posOffset>1646555</wp:posOffset>
            </wp:positionH>
            <wp:positionV relativeFrom="paragraph">
              <wp:posOffset>27940</wp:posOffset>
            </wp:positionV>
            <wp:extent cx="4514850" cy="4524375"/>
            <wp:effectExtent l="0" t="0" r="0" b="9525"/>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4850" cy="452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4473" w:rsidRPr="00AE0C57">
        <w:rPr>
          <w:sz w:val="22"/>
          <w:szCs w:val="22"/>
        </w:rPr>
        <w:t>Tabellen viser utviklingen per fakultet fra 2018 til 2019, fordelt på de ulike elementene i RFM. Alle tall er i 2019-kr, og viser dermed en realøkning på ca</w:t>
      </w:r>
      <w:r w:rsidR="006F04B1">
        <w:rPr>
          <w:sz w:val="22"/>
          <w:szCs w:val="22"/>
        </w:rPr>
        <w:t>.</w:t>
      </w:r>
      <w:r w:rsidR="005D4473" w:rsidRPr="00AE0C57">
        <w:rPr>
          <w:sz w:val="22"/>
          <w:szCs w:val="22"/>
        </w:rPr>
        <w:t xml:space="preserve"> 34 mill.kr.</w:t>
      </w:r>
    </w:p>
    <w:p w14:paraId="4DC1A79F" w14:textId="77777777" w:rsidR="00B5758F" w:rsidRDefault="00B5758F" w:rsidP="00B5758F">
      <w:pPr>
        <w:rPr>
          <w:sz w:val="22"/>
          <w:szCs w:val="22"/>
        </w:rPr>
      </w:pPr>
    </w:p>
    <w:p w14:paraId="463AF82C" w14:textId="52E8F311" w:rsidR="00B5758F" w:rsidRPr="00AE0C57" w:rsidRDefault="00B5758F" w:rsidP="00B5758F">
      <w:pPr>
        <w:rPr>
          <w:sz w:val="22"/>
          <w:szCs w:val="22"/>
        </w:rPr>
      </w:pPr>
      <w:r w:rsidRPr="00AE0C57">
        <w:rPr>
          <w:sz w:val="22"/>
          <w:szCs w:val="22"/>
        </w:rPr>
        <w:t>Fakultetenes SO-bevilgninger kommer i tillegg.</w:t>
      </w:r>
    </w:p>
    <w:p w14:paraId="6EC46D1A" w14:textId="7695E55B" w:rsidR="005D4473" w:rsidRPr="00AE0C57" w:rsidRDefault="005D4473" w:rsidP="005D4473">
      <w:pPr>
        <w:rPr>
          <w:sz w:val="22"/>
          <w:szCs w:val="22"/>
        </w:rPr>
      </w:pPr>
    </w:p>
    <w:p w14:paraId="77904580" w14:textId="77777777" w:rsidR="00F64DCB" w:rsidRPr="00AE0C57" w:rsidRDefault="00F64DCB" w:rsidP="00F64DCB">
      <w:pPr>
        <w:rPr>
          <w:sz w:val="22"/>
          <w:szCs w:val="22"/>
        </w:rPr>
      </w:pPr>
      <w:r w:rsidRPr="00AE0C57">
        <w:rPr>
          <w:sz w:val="22"/>
          <w:szCs w:val="22"/>
        </w:rPr>
        <w:t>Disse rammene er basert på forslag til statsbudsjett</w:t>
      </w:r>
      <w:r>
        <w:rPr>
          <w:sz w:val="22"/>
          <w:szCs w:val="22"/>
        </w:rPr>
        <w:t>. Regjeringens budsjettforlik med KrF vil, så langt vi kjenner, ikke medføre endringer i NTNUs rammer for 2019 i forhold til det som ble foreslått i statsbudsjettet</w:t>
      </w:r>
      <w:r w:rsidRPr="00AE0C57">
        <w:rPr>
          <w:sz w:val="22"/>
          <w:szCs w:val="22"/>
        </w:rPr>
        <w:t>.</w:t>
      </w:r>
    </w:p>
    <w:p w14:paraId="05370190" w14:textId="77777777" w:rsidR="00F64DCB" w:rsidRDefault="00F64DCB" w:rsidP="005D4473">
      <w:pPr>
        <w:rPr>
          <w:sz w:val="22"/>
          <w:szCs w:val="22"/>
        </w:rPr>
      </w:pPr>
    </w:p>
    <w:p w14:paraId="76A4A8E0" w14:textId="77777777" w:rsidR="00B5758F" w:rsidRDefault="005D4473" w:rsidP="005D4473">
      <w:pPr>
        <w:rPr>
          <w:sz w:val="22"/>
          <w:szCs w:val="22"/>
        </w:rPr>
      </w:pPr>
      <w:r w:rsidRPr="00AE0C57">
        <w:rPr>
          <w:sz w:val="22"/>
          <w:szCs w:val="22"/>
        </w:rPr>
        <w:t xml:space="preserve">Som tabellen viser kan fakultetenes bevilgning fordeles på de tre elementene basis, utdanning- og forskningsinsentiv. </w:t>
      </w:r>
    </w:p>
    <w:p w14:paraId="009A6D91" w14:textId="3EF92246" w:rsidR="005D4473" w:rsidRPr="00AE0C57" w:rsidRDefault="005D4473" w:rsidP="005D4473">
      <w:pPr>
        <w:rPr>
          <w:sz w:val="22"/>
          <w:szCs w:val="22"/>
        </w:rPr>
      </w:pPr>
      <w:r w:rsidRPr="00AE0C57">
        <w:rPr>
          <w:sz w:val="22"/>
          <w:szCs w:val="22"/>
        </w:rPr>
        <w:t xml:space="preserve">De to sistnevnte utgjør fakultetenes resultatbevilgning. Endringen i resultatbevilgning fra kan spores tilbake til endring i de underliggende produksjons-indikatorene. </w:t>
      </w:r>
    </w:p>
    <w:p w14:paraId="3F6A158A" w14:textId="77777777" w:rsidR="005D4473" w:rsidRPr="00AE0C57" w:rsidRDefault="005D4473" w:rsidP="005D4473">
      <w:pPr>
        <w:rPr>
          <w:sz w:val="22"/>
          <w:szCs w:val="22"/>
        </w:rPr>
      </w:pPr>
    </w:p>
    <w:p w14:paraId="63C91C02" w14:textId="2384CF5D" w:rsidR="005D4473" w:rsidRPr="00AE0C57" w:rsidRDefault="005D4473" w:rsidP="005D4473">
      <w:pPr>
        <w:rPr>
          <w:sz w:val="22"/>
          <w:szCs w:val="22"/>
        </w:rPr>
      </w:pPr>
      <w:r w:rsidRPr="00AE0C57">
        <w:rPr>
          <w:sz w:val="22"/>
          <w:szCs w:val="22"/>
        </w:rPr>
        <w:t xml:space="preserve">Basisbevilgningen kan hovedsakelig endre seg som følge av tre forhold: </w:t>
      </w:r>
    </w:p>
    <w:p w14:paraId="35446BF8" w14:textId="73024246" w:rsidR="005D4473" w:rsidRPr="00F64DCB" w:rsidRDefault="005D4473" w:rsidP="00F64DCB">
      <w:pPr>
        <w:pStyle w:val="ListParagraph"/>
        <w:numPr>
          <w:ilvl w:val="0"/>
          <w:numId w:val="33"/>
        </w:numPr>
        <w:rPr>
          <w:sz w:val="22"/>
          <w:szCs w:val="22"/>
        </w:rPr>
      </w:pPr>
      <w:r w:rsidRPr="00F64DCB">
        <w:rPr>
          <w:sz w:val="22"/>
          <w:szCs w:val="22"/>
        </w:rPr>
        <w:t>Nye studieplasser fra Kunnskapsdepartementet gir økt basis</w:t>
      </w:r>
    </w:p>
    <w:p w14:paraId="1CEECA82" w14:textId="227BB440" w:rsidR="005D4473" w:rsidRPr="00F64DCB" w:rsidRDefault="005D4473" w:rsidP="00F64DCB">
      <w:pPr>
        <w:pStyle w:val="ListParagraph"/>
        <w:numPr>
          <w:ilvl w:val="0"/>
          <w:numId w:val="33"/>
        </w:numPr>
        <w:rPr>
          <w:sz w:val="22"/>
          <w:szCs w:val="22"/>
        </w:rPr>
      </w:pPr>
      <w:r w:rsidRPr="00F64DCB">
        <w:rPr>
          <w:sz w:val="22"/>
          <w:szCs w:val="22"/>
        </w:rPr>
        <w:t>Opptrappingen av SO-midler reduserer basis</w:t>
      </w:r>
    </w:p>
    <w:p w14:paraId="0FDBA6A9" w14:textId="631E71F6" w:rsidR="005D4473" w:rsidRPr="00F64DCB" w:rsidRDefault="005D4473" w:rsidP="00F64DCB">
      <w:pPr>
        <w:pStyle w:val="ListParagraph"/>
        <w:numPr>
          <w:ilvl w:val="0"/>
          <w:numId w:val="33"/>
        </w:numPr>
        <w:rPr>
          <w:sz w:val="22"/>
          <w:szCs w:val="22"/>
        </w:rPr>
      </w:pPr>
      <w:r w:rsidRPr="00F64DCB">
        <w:rPr>
          <w:sz w:val="22"/>
          <w:szCs w:val="22"/>
        </w:rPr>
        <w:t>Tekniske endringer som flytting av oppgaver og ansvar fra fakultet til fellesadministrasjon reduserer basis</w:t>
      </w:r>
    </w:p>
    <w:p w14:paraId="5281CA92" w14:textId="6BCB5AA9" w:rsidR="00AD716C" w:rsidRDefault="00AD716C">
      <w:pPr>
        <w:rPr>
          <w:i/>
          <w:iCs/>
          <w:sz w:val="22"/>
          <w:szCs w:val="22"/>
        </w:rPr>
      </w:pPr>
      <w:bookmarkStart w:id="5" w:name="_Toc296694703"/>
      <w:r>
        <w:rPr>
          <w:i/>
          <w:iCs/>
          <w:sz w:val="22"/>
          <w:szCs w:val="22"/>
        </w:rPr>
        <w:br w:type="page"/>
      </w:r>
    </w:p>
    <w:p w14:paraId="506A1C82" w14:textId="6D5AE14A" w:rsidR="005D4473" w:rsidRPr="00AE0C57" w:rsidRDefault="005D4473" w:rsidP="005D4473">
      <w:pPr>
        <w:rPr>
          <w:i/>
          <w:iCs/>
          <w:sz w:val="22"/>
          <w:szCs w:val="22"/>
        </w:rPr>
      </w:pPr>
      <w:r w:rsidRPr="00AE0C57">
        <w:rPr>
          <w:i/>
          <w:iCs/>
          <w:sz w:val="22"/>
          <w:szCs w:val="22"/>
        </w:rPr>
        <w:t>Ramme drift; Fellesadministrasjonen og andre fellestiltak</w:t>
      </w:r>
      <w:bookmarkEnd w:id="5"/>
    </w:p>
    <w:p w14:paraId="11D48304" w14:textId="77777777" w:rsidR="005D4473" w:rsidRPr="00AE0C57" w:rsidRDefault="005D4473" w:rsidP="005D4473">
      <w:pPr>
        <w:rPr>
          <w:sz w:val="22"/>
          <w:szCs w:val="22"/>
        </w:rPr>
      </w:pPr>
      <w:r w:rsidRPr="00AE0C57">
        <w:rPr>
          <w:sz w:val="22"/>
          <w:szCs w:val="22"/>
        </w:rPr>
        <w:t xml:space="preserve">Denne posten i fordelingen inneholder drift av hele fellesadministrasjonen, samt en rekke fellestiltak som gjelder hele NTNU. Tabellen under viser fordelingen av planleggingsrammene til fellesadministrasjonen og andre fellestiltak. </w:t>
      </w:r>
    </w:p>
    <w:p w14:paraId="20B2F77D" w14:textId="77777777" w:rsidR="005D4473" w:rsidRPr="00AE0C57" w:rsidRDefault="005D4473" w:rsidP="005D4473">
      <w:pPr>
        <w:rPr>
          <w:sz w:val="22"/>
          <w:szCs w:val="22"/>
        </w:rPr>
      </w:pPr>
    </w:p>
    <w:p w14:paraId="0CCD3162" w14:textId="332D3F96" w:rsidR="005D4473" w:rsidRPr="00AE0C57" w:rsidRDefault="001B6FFA" w:rsidP="005D4473">
      <w:pPr>
        <w:rPr>
          <w:sz w:val="22"/>
          <w:szCs w:val="22"/>
        </w:rPr>
      </w:pPr>
      <w:r w:rsidRPr="00AE0C57">
        <w:rPr>
          <w:noProof/>
          <w:sz w:val="22"/>
          <w:szCs w:val="22"/>
        </w:rPr>
        <w:drawing>
          <wp:anchor distT="0" distB="0" distL="114300" distR="114300" simplePos="0" relativeHeight="251719168" behindDoc="1" locked="0" layoutInCell="1" allowOverlap="1" wp14:anchorId="2E6E0CA7" wp14:editId="1B9041E1">
            <wp:simplePos x="0" y="0"/>
            <wp:positionH relativeFrom="margin">
              <wp:posOffset>1675765</wp:posOffset>
            </wp:positionH>
            <wp:positionV relativeFrom="paragraph">
              <wp:posOffset>962660</wp:posOffset>
            </wp:positionV>
            <wp:extent cx="4503420" cy="2645410"/>
            <wp:effectExtent l="57150" t="0" r="49530" b="116840"/>
            <wp:wrapTight wrapText="bothSides">
              <wp:wrapPolygon edited="0">
                <wp:start x="-183" y="0"/>
                <wp:lineTo x="-274" y="0"/>
                <wp:lineTo x="-274" y="22398"/>
                <wp:lineTo x="21746" y="22398"/>
                <wp:lineTo x="21746" y="2489"/>
                <wp:lineTo x="21655" y="156"/>
                <wp:lineTo x="21655" y="0"/>
                <wp:lineTo x="-183" y="0"/>
              </wp:wrapPolygon>
            </wp:wrapTight>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3420" cy="2645410"/>
                    </a:xfrm>
                    <a:prstGeom prst="rect">
                      <a:avLst/>
                    </a:prstGeom>
                    <a:solidFill>
                      <a:schemeClr val="bg1"/>
                    </a:solidFill>
                    <a:ln>
                      <a:noFill/>
                    </a:ln>
                    <a:effectLst>
                      <a:outerShdw blurRad="50800" dist="50800" dir="5400000" algn="ctr" rotWithShape="0">
                        <a:schemeClr val="bg1">
                          <a:lumMod val="95000"/>
                        </a:schemeClr>
                      </a:outerShdw>
                    </a:effectLst>
                  </pic:spPr>
                </pic:pic>
              </a:graphicData>
            </a:graphic>
            <wp14:sizeRelH relativeFrom="margin">
              <wp14:pctWidth>0</wp14:pctWidth>
            </wp14:sizeRelH>
            <wp14:sizeRelV relativeFrom="margin">
              <wp14:pctHeight>0</wp14:pctHeight>
            </wp14:sizeRelV>
          </wp:anchor>
        </w:drawing>
      </w:r>
      <w:r w:rsidR="005D4473" w:rsidRPr="00AE0C57">
        <w:rPr>
          <w:sz w:val="22"/>
          <w:szCs w:val="22"/>
        </w:rPr>
        <w:t>Det er totalt sett en vekst i rammen til fellesadministrasjon og fellestiltak på ca. 3,4% i 2019 sammenlignet med 2018. Denne økningen kommer i hovedsak som følge av at det settes av midler til NTNUs vitenskapsfestival og investering i nytt ERP-system. Eiendomsavdelingen får økt sin ramme som følge av at det flyttes midler til finansiering av økt husleie knyttet til digital vurdering fra fakultetene. I tillegg er det fordelt ut 13 mill.kr til fellesadministrative avdelinger for å fjerne driftsmessige flaskehalser. (6 mill.kr til øko</w:t>
      </w:r>
      <w:r w:rsidR="00AD716C">
        <w:rPr>
          <w:sz w:val="22"/>
          <w:szCs w:val="22"/>
        </w:rPr>
        <w:t>nomiavdelingen, 2 mill.kr til HR</w:t>
      </w:r>
      <w:r w:rsidR="005D4473" w:rsidRPr="00AE0C57">
        <w:rPr>
          <w:sz w:val="22"/>
          <w:szCs w:val="22"/>
        </w:rPr>
        <w:t>-</w:t>
      </w:r>
      <w:r w:rsidR="00AD716C">
        <w:rPr>
          <w:sz w:val="22"/>
          <w:szCs w:val="22"/>
        </w:rPr>
        <w:t xml:space="preserve"> </w:t>
      </w:r>
      <w:r w:rsidR="005D4473" w:rsidRPr="00AE0C57">
        <w:rPr>
          <w:sz w:val="22"/>
          <w:szCs w:val="22"/>
        </w:rPr>
        <w:t>og HMS-avdelingen og 5 mill.kr til prorektor utdanning sitt område). Utover disse faktorene skyldes endringene på de enkelte områdene primært at Rektors stab fra 2019 vil deles mellom de ulike prorektører/direktører budsjettmessig. Dette er en teknisk korrigering som reduserer rammen til organisasjonsdirektør og øker rammen til prorektorene og økonomi-</w:t>
      </w:r>
      <w:r w:rsidR="005D4473">
        <w:rPr>
          <w:sz w:val="22"/>
          <w:szCs w:val="22"/>
        </w:rPr>
        <w:t xml:space="preserve"> </w:t>
      </w:r>
      <w:r w:rsidR="005D4473" w:rsidRPr="00AE0C57">
        <w:rPr>
          <w:sz w:val="22"/>
          <w:szCs w:val="22"/>
        </w:rPr>
        <w:t xml:space="preserve">og eiendomsdirektør. </w:t>
      </w:r>
    </w:p>
    <w:p w14:paraId="36EC2E34" w14:textId="77777777" w:rsidR="005D4473" w:rsidRPr="00AE0C57" w:rsidRDefault="005D4473" w:rsidP="005D4473">
      <w:pPr>
        <w:rPr>
          <w:sz w:val="22"/>
          <w:szCs w:val="22"/>
        </w:rPr>
      </w:pPr>
    </w:p>
    <w:p w14:paraId="1DB5642C" w14:textId="77777777" w:rsidR="005D4473" w:rsidRPr="00AE0C57" w:rsidRDefault="005D4473" w:rsidP="005D4473">
      <w:pPr>
        <w:rPr>
          <w:sz w:val="22"/>
          <w:szCs w:val="22"/>
        </w:rPr>
      </w:pPr>
    </w:p>
    <w:p w14:paraId="52D0B94F" w14:textId="77777777" w:rsidR="005D4473" w:rsidRPr="00AE0C57" w:rsidRDefault="005D4473" w:rsidP="005D4473">
      <w:pPr>
        <w:rPr>
          <w:i/>
          <w:iCs/>
          <w:sz w:val="22"/>
          <w:szCs w:val="22"/>
        </w:rPr>
      </w:pPr>
      <w:bookmarkStart w:id="6" w:name="_Toc296694632"/>
      <w:r w:rsidRPr="00AE0C57">
        <w:rPr>
          <w:i/>
          <w:iCs/>
          <w:sz w:val="22"/>
          <w:szCs w:val="22"/>
        </w:rPr>
        <w:t>Finansiering drift og vedlikehold (internhusleie)</w:t>
      </w:r>
      <w:bookmarkEnd w:id="6"/>
    </w:p>
    <w:p w14:paraId="2C61F6EC" w14:textId="5FC36C20" w:rsidR="005D4473" w:rsidRPr="00AE0C57" w:rsidRDefault="005D4473" w:rsidP="005D4473">
      <w:pPr>
        <w:rPr>
          <w:sz w:val="22"/>
          <w:szCs w:val="22"/>
        </w:rPr>
      </w:pPr>
      <w:r w:rsidRPr="00AE0C57">
        <w:rPr>
          <w:sz w:val="22"/>
          <w:szCs w:val="22"/>
        </w:rPr>
        <w:t xml:space="preserve">Finansieringen av drift og vedlikehold ved NTNU finansieres i hovedsak gjennom internhusleiefakturering fra Eiendomsavdelingen/Campusservice til resten av organisasjonen. Alle fakulteter og fellesadministrasjonen, gis en internhusleiebevilgning gjennom basisrammen i RFM. I praksis vil det dermed si at bevilgningen til drift og vedlikehold ligger innbakt </w:t>
      </w:r>
      <w:r w:rsidR="0068411D" w:rsidRPr="006B3CFA">
        <w:rPr>
          <w:sz w:val="22"/>
          <w:szCs w:val="22"/>
        </w:rPr>
        <w:t xml:space="preserve">i tabellen </w:t>
      </w:r>
      <w:r w:rsidRPr="00AE0C57">
        <w:rPr>
          <w:sz w:val="22"/>
          <w:szCs w:val="22"/>
        </w:rPr>
        <w:t xml:space="preserve">som viser tildeling til fakultetene og </w:t>
      </w:r>
      <w:r w:rsidRPr="006B3CFA">
        <w:rPr>
          <w:sz w:val="22"/>
          <w:szCs w:val="22"/>
        </w:rPr>
        <w:t xml:space="preserve">fellesadministrasjonen </w:t>
      </w:r>
      <w:r w:rsidR="0068411D">
        <w:rPr>
          <w:sz w:val="22"/>
          <w:szCs w:val="22"/>
        </w:rPr>
        <w:t>(</w:t>
      </w:r>
      <w:r w:rsidRPr="006B3CFA">
        <w:rPr>
          <w:sz w:val="22"/>
          <w:szCs w:val="22"/>
        </w:rPr>
        <w:t>side 11</w:t>
      </w:r>
      <w:r w:rsidR="0068411D">
        <w:rPr>
          <w:sz w:val="22"/>
          <w:szCs w:val="22"/>
        </w:rPr>
        <w:t>)</w:t>
      </w:r>
      <w:r w:rsidRPr="006B3CFA">
        <w:rPr>
          <w:sz w:val="22"/>
          <w:szCs w:val="22"/>
        </w:rPr>
        <w:t>.</w:t>
      </w:r>
      <w:r w:rsidRPr="00AE0C57">
        <w:rPr>
          <w:sz w:val="22"/>
          <w:szCs w:val="22"/>
        </w:rPr>
        <w:t xml:space="preserve"> </w:t>
      </w:r>
    </w:p>
    <w:p w14:paraId="454A92CD" w14:textId="77777777" w:rsidR="005D4473" w:rsidRPr="00AE0C57" w:rsidRDefault="005D4473" w:rsidP="005D4473">
      <w:pPr>
        <w:rPr>
          <w:sz w:val="22"/>
          <w:szCs w:val="22"/>
        </w:rPr>
      </w:pPr>
    </w:p>
    <w:p w14:paraId="58EE9EDC" w14:textId="77777777" w:rsidR="005D4473" w:rsidRPr="00AE0C57" w:rsidRDefault="005D4473" w:rsidP="005D4473">
      <w:pPr>
        <w:rPr>
          <w:sz w:val="22"/>
          <w:szCs w:val="22"/>
        </w:rPr>
      </w:pPr>
      <w:r w:rsidRPr="00AE0C57">
        <w:rPr>
          <w:sz w:val="22"/>
          <w:szCs w:val="22"/>
        </w:rPr>
        <w:t xml:space="preserve">Totalt estimeres en internhusleiefakturering mot fakultetene i 2019 på cirka 564 mill.kr (realøkning i internhusleiepris pr kvm på 1% fra 2018), og en fakturering på 318 mill.kr mot fellesadministrasjonen. Deler av faktureringen mot fakultetene vil være belastning for areal som har ekstern finansiering (BOA), og som fakultetene ikke er gitt bevilgning for i sin ramme. </w:t>
      </w:r>
    </w:p>
    <w:p w14:paraId="55513656" w14:textId="77777777" w:rsidR="005D4473" w:rsidRPr="00AE0C57" w:rsidRDefault="005D4473" w:rsidP="005D4473">
      <w:pPr>
        <w:rPr>
          <w:sz w:val="22"/>
          <w:szCs w:val="22"/>
        </w:rPr>
      </w:pPr>
    </w:p>
    <w:p w14:paraId="279E67F8" w14:textId="77777777" w:rsidR="005D4473" w:rsidRPr="00AE0C57" w:rsidRDefault="005D4473" w:rsidP="005D4473">
      <w:pPr>
        <w:rPr>
          <w:sz w:val="22"/>
          <w:szCs w:val="22"/>
        </w:rPr>
      </w:pPr>
      <w:r w:rsidRPr="00AE0C57">
        <w:rPr>
          <w:sz w:val="22"/>
          <w:szCs w:val="22"/>
        </w:rPr>
        <w:t xml:space="preserve">I tillegg til finansiering via internfaktureringen, gis Eiendomsavdelingen/Campusservice i 2018 en </w:t>
      </w:r>
      <w:r w:rsidRPr="00AE0C57">
        <w:rPr>
          <w:i/>
          <w:iCs/>
          <w:sz w:val="22"/>
          <w:szCs w:val="22"/>
        </w:rPr>
        <w:t>direktebevilgning</w:t>
      </w:r>
      <w:r w:rsidRPr="00AE0C57">
        <w:rPr>
          <w:sz w:val="22"/>
          <w:szCs w:val="22"/>
        </w:rPr>
        <w:t xml:space="preserve"> på 254 mill.kr, primært til dekking av kapitalelement på eksterne husleiekostnader. </w:t>
      </w:r>
    </w:p>
    <w:p w14:paraId="03077010" w14:textId="77777777" w:rsidR="005D4473" w:rsidRPr="00AE0C57" w:rsidRDefault="005D4473" w:rsidP="005D4473">
      <w:pPr>
        <w:rPr>
          <w:sz w:val="22"/>
          <w:szCs w:val="22"/>
        </w:rPr>
      </w:pPr>
    </w:p>
    <w:p w14:paraId="4F62B68E" w14:textId="77777777" w:rsidR="005D4473" w:rsidRPr="00AE0C57" w:rsidRDefault="005D4473" w:rsidP="005D4473">
      <w:pPr>
        <w:rPr>
          <w:sz w:val="22"/>
          <w:szCs w:val="22"/>
        </w:rPr>
      </w:pPr>
      <w:r w:rsidRPr="00AE0C57">
        <w:rPr>
          <w:sz w:val="22"/>
          <w:szCs w:val="22"/>
        </w:rPr>
        <w:t>Samlet sett forventes dermed Eiendomsavdelingen og Avdeling for campusservice å ha en total inntektsramme i 2019 på drøyt 1,13 mrd.kr. (anslagsvis 882 mill.kr fra internfakturering og 254 mill.kr i direktebevilgning)</w:t>
      </w:r>
    </w:p>
    <w:p w14:paraId="19024DE4" w14:textId="77777777" w:rsidR="005D4473" w:rsidRPr="00AE0C57" w:rsidRDefault="005D4473" w:rsidP="005D4473">
      <w:pPr>
        <w:rPr>
          <w:sz w:val="22"/>
          <w:szCs w:val="22"/>
        </w:rPr>
      </w:pPr>
    </w:p>
    <w:p w14:paraId="0872E851" w14:textId="3414F07D" w:rsidR="005D4473" w:rsidRPr="00AE0C57" w:rsidRDefault="005D4473" w:rsidP="005D4473">
      <w:pPr>
        <w:rPr>
          <w:sz w:val="22"/>
          <w:szCs w:val="22"/>
        </w:rPr>
      </w:pPr>
      <w:r w:rsidRPr="00AE0C57">
        <w:rPr>
          <w:sz w:val="22"/>
          <w:szCs w:val="22"/>
        </w:rPr>
        <w:t>Rammen til dette området vil med dette ha en realøkning på ca</w:t>
      </w:r>
      <w:r w:rsidR="00AD716C">
        <w:rPr>
          <w:sz w:val="22"/>
          <w:szCs w:val="22"/>
        </w:rPr>
        <w:t>.</w:t>
      </w:r>
      <w:r w:rsidRPr="00AE0C57">
        <w:rPr>
          <w:sz w:val="22"/>
          <w:szCs w:val="22"/>
        </w:rPr>
        <w:t xml:space="preserve"> 24 mill.kr sammenlignet med i 2018. </w:t>
      </w:r>
    </w:p>
    <w:p w14:paraId="3B471FA7" w14:textId="27403877" w:rsidR="005D0B93" w:rsidRDefault="005D0B93">
      <w:pPr>
        <w:rPr>
          <w:i/>
          <w:sz w:val="22"/>
          <w:szCs w:val="22"/>
        </w:rPr>
      </w:pPr>
      <w:r>
        <w:rPr>
          <w:i/>
          <w:sz w:val="22"/>
          <w:szCs w:val="22"/>
        </w:rPr>
        <w:br w:type="page"/>
      </w:r>
    </w:p>
    <w:p w14:paraId="65C304BF" w14:textId="77777777" w:rsidR="005D4473" w:rsidRDefault="005D4473" w:rsidP="005D4473">
      <w:pPr>
        <w:rPr>
          <w:i/>
          <w:sz w:val="22"/>
          <w:szCs w:val="22"/>
        </w:rPr>
      </w:pPr>
    </w:p>
    <w:p w14:paraId="3296144C" w14:textId="77777777" w:rsidR="005D4473" w:rsidRPr="00AE0C57" w:rsidRDefault="005D4473" w:rsidP="005D4473">
      <w:pPr>
        <w:rPr>
          <w:i/>
          <w:sz w:val="22"/>
          <w:szCs w:val="22"/>
        </w:rPr>
      </w:pPr>
      <w:r w:rsidRPr="00AE0C57">
        <w:rPr>
          <w:i/>
          <w:sz w:val="22"/>
          <w:szCs w:val="22"/>
        </w:rPr>
        <w:t>Sentral forskuttering</w:t>
      </w:r>
    </w:p>
    <w:p w14:paraId="0932E9B2" w14:textId="77777777" w:rsidR="009723CE" w:rsidRDefault="005D4473" w:rsidP="005D4473">
      <w:pPr>
        <w:rPr>
          <w:sz w:val="22"/>
          <w:szCs w:val="22"/>
        </w:rPr>
      </w:pPr>
      <w:r w:rsidRPr="00AE0C57">
        <w:rPr>
          <w:sz w:val="22"/>
          <w:szCs w:val="22"/>
        </w:rPr>
        <w:t xml:space="preserve">Vi legger opp til å fordele ut </w:t>
      </w:r>
      <w:r>
        <w:rPr>
          <w:sz w:val="22"/>
          <w:szCs w:val="22"/>
        </w:rPr>
        <w:t xml:space="preserve">57 </w:t>
      </w:r>
      <w:r w:rsidRPr="00AE0C57">
        <w:rPr>
          <w:sz w:val="22"/>
          <w:szCs w:val="22"/>
        </w:rPr>
        <w:t xml:space="preserve">mill.kr mer enn det vi får i bevilgning fra </w:t>
      </w:r>
      <w:r>
        <w:rPr>
          <w:sz w:val="22"/>
          <w:szCs w:val="22"/>
        </w:rPr>
        <w:t>K</w:t>
      </w:r>
      <w:r w:rsidRPr="00AE0C57">
        <w:rPr>
          <w:sz w:val="22"/>
          <w:szCs w:val="22"/>
        </w:rPr>
        <w:t xml:space="preserve">unnskapsdepartementet i 2019.  Dette ses i sammenheng med NTNUs ubrukte bevilgninger og at vi indirekte legger opp til bruk av disse neste år gjennom å fordele ut mer midler enn vi får. 33 mill.kr av de </w:t>
      </w:r>
      <w:r>
        <w:rPr>
          <w:sz w:val="22"/>
          <w:szCs w:val="22"/>
        </w:rPr>
        <w:t>57</w:t>
      </w:r>
      <w:r w:rsidRPr="00AE0C57">
        <w:rPr>
          <w:sz w:val="22"/>
          <w:szCs w:val="22"/>
        </w:rPr>
        <w:t xml:space="preserve"> mill er knyttet til ABE-kuttet, og at dette trekket for 2019 i</w:t>
      </w:r>
      <w:r w:rsidR="009723CE">
        <w:rPr>
          <w:sz w:val="22"/>
          <w:szCs w:val="22"/>
        </w:rPr>
        <w:t xml:space="preserve">kke tas i rammene til enhetene., </w:t>
      </w:r>
      <w:r w:rsidR="009723CE" w:rsidRPr="00AE0C57">
        <w:rPr>
          <w:sz w:val="22"/>
          <w:szCs w:val="22"/>
        </w:rPr>
        <w:t>13</w:t>
      </w:r>
      <w:r w:rsidR="009723CE">
        <w:rPr>
          <w:sz w:val="22"/>
          <w:szCs w:val="22"/>
        </w:rPr>
        <w:t xml:space="preserve"> mill.kr</w:t>
      </w:r>
      <w:r w:rsidR="009723CE" w:rsidRPr="00AE0C57">
        <w:rPr>
          <w:sz w:val="22"/>
          <w:szCs w:val="22"/>
        </w:rPr>
        <w:t xml:space="preserve"> er ekstramidler fordelt til fellesadministrative avdel</w:t>
      </w:r>
      <w:r w:rsidR="009723CE">
        <w:rPr>
          <w:sz w:val="22"/>
          <w:szCs w:val="22"/>
        </w:rPr>
        <w:t>inger for å fjerne flaskehalser,</w:t>
      </w:r>
      <w:r w:rsidR="009723CE" w:rsidRPr="009723CE">
        <w:rPr>
          <w:sz w:val="22"/>
          <w:szCs w:val="22"/>
        </w:rPr>
        <w:t xml:space="preserve"> </w:t>
      </w:r>
      <w:r w:rsidR="009723CE" w:rsidRPr="00AE0C57">
        <w:rPr>
          <w:sz w:val="22"/>
          <w:szCs w:val="22"/>
        </w:rPr>
        <w:t>(jfr avsnitt om fellesadministrasjonen)</w:t>
      </w:r>
      <w:r w:rsidR="009723CE">
        <w:rPr>
          <w:sz w:val="22"/>
          <w:szCs w:val="22"/>
        </w:rPr>
        <w:t xml:space="preserve"> mens </w:t>
      </w:r>
      <w:r>
        <w:rPr>
          <w:sz w:val="22"/>
          <w:szCs w:val="22"/>
        </w:rPr>
        <w:t>11</w:t>
      </w:r>
      <w:r w:rsidRPr="00AE0C57">
        <w:rPr>
          <w:sz w:val="22"/>
          <w:szCs w:val="22"/>
        </w:rPr>
        <w:t xml:space="preserve"> mill.kr er </w:t>
      </w:r>
      <w:r w:rsidR="009723CE">
        <w:rPr>
          <w:sz w:val="22"/>
          <w:szCs w:val="22"/>
        </w:rPr>
        <w:t xml:space="preserve">satt av til campusprosjektet. </w:t>
      </w:r>
    </w:p>
    <w:p w14:paraId="761B7342" w14:textId="77777777" w:rsidR="009723CE" w:rsidRDefault="009723CE" w:rsidP="005D4473">
      <w:pPr>
        <w:rPr>
          <w:sz w:val="22"/>
          <w:szCs w:val="22"/>
        </w:rPr>
      </w:pPr>
    </w:p>
    <w:p w14:paraId="42957E27" w14:textId="444771F5" w:rsidR="005D4473" w:rsidRDefault="009723CE" w:rsidP="005D4473">
      <w:pPr>
        <w:rPr>
          <w:sz w:val="22"/>
          <w:szCs w:val="22"/>
        </w:rPr>
      </w:pPr>
      <w:r w:rsidRPr="005D0B93">
        <w:rPr>
          <w:sz w:val="22"/>
          <w:szCs w:val="22"/>
        </w:rPr>
        <w:t xml:space="preserve">Den øremerkede bevilgningen fra Kunnskapsdepartementet til campusprosjektet er i 2019 redusert fra ca 50 mill.kr i 2018 til 14 mill.kr i 2019. For å opprettholde fremdriften i prosjektet legger vi derfor inn totalt 36 mill.kr over eget budsjett for 2019. 25 mill.kr </w:t>
      </w:r>
      <w:r w:rsidR="00915613" w:rsidRPr="005D0B93">
        <w:rPr>
          <w:sz w:val="22"/>
          <w:szCs w:val="22"/>
        </w:rPr>
        <w:t xml:space="preserve">av dette </w:t>
      </w:r>
      <w:r w:rsidRPr="005D0B93">
        <w:rPr>
          <w:sz w:val="22"/>
          <w:szCs w:val="22"/>
        </w:rPr>
        <w:t xml:space="preserve">fordeles gjennom årets RSO-pott, mens 11 mill.kr fordeles </w:t>
      </w:r>
      <w:r w:rsidR="00915613" w:rsidRPr="005D0B93">
        <w:rPr>
          <w:sz w:val="22"/>
          <w:szCs w:val="22"/>
        </w:rPr>
        <w:t>gjennom den sentrale forskutteringen nevnt i avsnittet over.</w:t>
      </w:r>
    </w:p>
    <w:p w14:paraId="5CCCD006" w14:textId="77777777" w:rsidR="009723CE" w:rsidRPr="00AE0C57" w:rsidRDefault="009723CE" w:rsidP="005D4473">
      <w:pPr>
        <w:rPr>
          <w:sz w:val="22"/>
          <w:szCs w:val="22"/>
        </w:rPr>
      </w:pPr>
    </w:p>
    <w:p w14:paraId="5D7BE3FA" w14:textId="77777777" w:rsidR="005D4473" w:rsidRPr="00AE0C57" w:rsidRDefault="005D4473" w:rsidP="005D4473">
      <w:pPr>
        <w:rPr>
          <w:i/>
          <w:sz w:val="22"/>
          <w:szCs w:val="22"/>
        </w:rPr>
      </w:pPr>
    </w:p>
    <w:p w14:paraId="74E5D1FF" w14:textId="77777777" w:rsidR="005D4473" w:rsidRPr="00AE0C57" w:rsidRDefault="005D4473" w:rsidP="005D4473">
      <w:pPr>
        <w:rPr>
          <w:i/>
          <w:iCs/>
          <w:sz w:val="22"/>
          <w:szCs w:val="22"/>
        </w:rPr>
      </w:pPr>
      <w:r w:rsidRPr="00AE0C57">
        <w:rPr>
          <w:i/>
          <w:iCs/>
          <w:sz w:val="22"/>
          <w:szCs w:val="22"/>
        </w:rPr>
        <w:t>Ramme strategi og omstilling (RSO)</w:t>
      </w:r>
    </w:p>
    <w:p w14:paraId="2FB61E39" w14:textId="77777777" w:rsidR="005D4473" w:rsidRPr="00AE0C57" w:rsidRDefault="005D4473" w:rsidP="005D4473">
      <w:pPr>
        <w:rPr>
          <w:sz w:val="22"/>
          <w:szCs w:val="22"/>
        </w:rPr>
      </w:pPr>
      <w:r w:rsidRPr="00AE0C57">
        <w:rPr>
          <w:sz w:val="22"/>
          <w:szCs w:val="22"/>
        </w:rPr>
        <w:t xml:space="preserve">SO-ramma finansierer/delfinansierer store strategiske satsinger, omstillingsaktiviteter eller andre fellestiltak på NTNU-nivå. Ca. to tredjedeler av ramma brukes til rekrutteringsstillinger, mens den siste tredjedelen brukes til andre strategiske satsninger. Eksempler på sistnevnte er vitenskapelig utstyr, støtte til større forskningssentra som SFF/SFI/FME, tematiske satsningsområder, prosjekter knyttet til innovativ utdanning, utvikling av digital eksamen etc. Satsningene som tildeles midler over RSO-ramma skal være tidsavgrensede, normalt 3-4 år. </w:t>
      </w:r>
    </w:p>
    <w:p w14:paraId="78B22A79" w14:textId="77777777" w:rsidR="005D4473" w:rsidRPr="00AE0C57" w:rsidRDefault="005D4473" w:rsidP="005D4473">
      <w:pPr>
        <w:autoSpaceDE w:val="0"/>
        <w:autoSpaceDN w:val="0"/>
        <w:adjustRightInd w:val="0"/>
        <w:rPr>
          <w:sz w:val="22"/>
          <w:szCs w:val="22"/>
        </w:rPr>
      </w:pPr>
    </w:p>
    <w:p w14:paraId="661465E1" w14:textId="77777777" w:rsidR="005D4473" w:rsidRPr="00AE0C57" w:rsidRDefault="005D4473" w:rsidP="005D4473">
      <w:pPr>
        <w:autoSpaceDE w:val="0"/>
        <w:autoSpaceDN w:val="0"/>
        <w:adjustRightInd w:val="0"/>
        <w:rPr>
          <w:sz w:val="22"/>
          <w:szCs w:val="22"/>
        </w:rPr>
      </w:pPr>
      <w:r w:rsidRPr="00AE0C57">
        <w:rPr>
          <w:sz w:val="22"/>
          <w:szCs w:val="22"/>
        </w:rPr>
        <w:t xml:space="preserve">For 2019 legger Rektor opp til en SO-ramme som utgjør 14% av NTNUs totalbevilgning fra KD (økning på 1%-poeng fra 2018), og i henhold til styrevedtaket om ny RFM legges det opp til at SO-rammen trappes opp med gradvis opp de kommende årene, inntil den utgjør 15% av NTNUs grunnbevilgning over statsbudsjettet. </w:t>
      </w:r>
    </w:p>
    <w:p w14:paraId="379567BE" w14:textId="77777777" w:rsidR="005D4473" w:rsidRPr="00AE0C57" w:rsidRDefault="005D4473" w:rsidP="005D4473">
      <w:pPr>
        <w:autoSpaceDE w:val="0"/>
        <w:autoSpaceDN w:val="0"/>
        <w:adjustRightInd w:val="0"/>
        <w:rPr>
          <w:sz w:val="22"/>
          <w:szCs w:val="22"/>
        </w:rPr>
      </w:pPr>
    </w:p>
    <w:p w14:paraId="79B9B94A" w14:textId="77777777" w:rsidR="005D4473" w:rsidRPr="00AE0C57" w:rsidRDefault="005D4473" w:rsidP="005D4473">
      <w:pPr>
        <w:autoSpaceDE w:val="0"/>
        <w:autoSpaceDN w:val="0"/>
        <w:adjustRightInd w:val="0"/>
        <w:rPr>
          <w:sz w:val="22"/>
          <w:szCs w:val="22"/>
        </w:rPr>
      </w:pPr>
      <w:r>
        <w:rPr>
          <w:noProof/>
          <w:sz w:val="22"/>
          <w:szCs w:val="22"/>
        </w:rPr>
        <w:drawing>
          <wp:anchor distT="0" distB="0" distL="114300" distR="114300" simplePos="0" relativeHeight="251721216" behindDoc="1" locked="0" layoutInCell="1" allowOverlap="1" wp14:anchorId="3AD40206" wp14:editId="60B41FCC">
            <wp:simplePos x="0" y="0"/>
            <wp:positionH relativeFrom="column">
              <wp:posOffset>2045970</wp:posOffset>
            </wp:positionH>
            <wp:positionV relativeFrom="paragraph">
              <wp:posOffset>14605</wp:posOffset>
            </wp:positionV>
            <wp:extent cx="4116070" cy="3133725"/>
            <wp:effectExtent l="0" t="0" r="0" b="9525"/>
            <wp:wrapTight wrapText="bothSides">
              <wp:wrapPolygon edited="0">
                <wp:start x="0" y="0"/>
                <wp:lineTo x="0" y="21534"/>
                <wp:lineTo x="21493" y="21534"/>
                <wp:lineTo x="21493" y="0"/>
                <wp:lineTo x="0"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6070" cy="3133725"/>
                    </a:xfrm>
                    <a:prstGeom prst="rect">
                      <a:avLst/>
                    </a:prstGeom>
                    <a:noFill/>
                  </pic:spPr>
                </pic:pic>
              </a:graphicData>
            </a:graphic>
            <wp14:sizeRelH relativeFrom="margin">
              <wp14:pctWidth>0</wp14:pctWidth>
            </wp14:sizeRelH>
            <wp14:sizeRelV relativeFrom="margin">
              <wp14:pctHeight>0</wp14:pctHeight>
            </wp14:sizeRelV>
          </wp:anchor>
        </w:drawing>
      </w:r>
      <w:r w:rsidRPr="00AE0C57">
        <w:rPr>
          <w:sz w:val="22"/>
          <w:szCs w:val="22"/>
        </w:rPr>
        <w:t xml:space="preserve">Det legges opp til at veksten i SO-ramma fra 2018 til 2019 i hovedsak vil gå med til å øke potten for rekrutteringsstillinger, samt at det settes av 50 mill.kr til digitaliseringstiltak. Begge disse postene vil være å anse som en videreføring av ekstratildelinger gitt i 2018. </w:t>
      </w:r>
    </w:p>
    <w:p w14:paraId="650640D8" w14:textId="77777777" w:rsidR="005D4473" w:rsidRPr="00AE0C57" w:rsidRDefault="005D4473" w:rsidP="005D4473">
      <w:pPr>
        <w:autoSpaceDE w:val="0"/>
        <w:autoSpaceDN w:val="0"/>
        <w:adjustRightInd w:val="0"/>
        <w:rPr>
          <w:sz w:val="22"/>
          <w:szCs w:val="22"/>
        </w:rPr>
      </w:pPr>
    </w:p>
    <w:p w14:paraId="3BF28D23" w14:textId="77777777" w:rsidR="005D4473" w:rsidRDefault="005D4473" w:rsidP="005D4473">
      <w:pPr>
        <w:autoSpaceDE w:val="0"/>
        <w:autoSpaceDN w:val="0"/>
        <w:adjustRightInd w:val="0"/>
        <w:rPr>
          <w:sz w:val="22"/>
          <w:szCs w:val="22"/>
        </w:rPr>
      </w:pPr>
      <w:r w:rsidRPr="00AE0C57">
        <w:rPr>
          <w:sz w:val="22"/>
          <w:szCs w:val="22"/>
        </w:rPr>
        <w:t xml:space="preserve"> Figuren viser en grov inndeling av SO-ramma sortert etter inndelingen i årsplanen. </w:t>
      </w:r>
    </w:p>
    <w:p w14:paraId="631D5C6B" w14:textId="77777777" w:rsidR="005D4473" w:rsidRDefault="005D4473" w:rsidP="005D4473">
      <w:pPr>
        <w:autoSpaceDE w:val="0"/>
        <w:autoSpaceDN w:val="0"/>
        <w:adjustRightInd w:val="0"/>
        <w:rPr>
          <w:sz w:val="22"/>
          <w:szCs w:val="22"/>
        </w:rPr>
      </w:pPr>
    </w:p>
    <w:p w14:paraId="786F5381" w14:textId="77777777" w:rsidR="005D4473" w:rsidRPr="00AE0C57" w:rsidRDefault="005D4473" w:rsidP="005D4473">
      <w:pPr>
        <w:autoSpaceDE w:val="0"/>
        <w:autoSpaceDN w:val="0"/>
        <w:adjustRightInd w:val="0"/>
        <w:rPr>
          <w:sz w:val="22"/>
          <w:szCs w:val="22"/>
        </w:rPr>
      </w:pPr>
      <w:r w:rsidRPr="00AE0C57">
        <w:rPr>
          <w:sz w:val="22"/>
          <w:szCs w:val="22"/>
        </w:rPr>
        <w:t xml:space="preserve">For langtidsperioden vil det gjøres en løpende vurdering av nye strategiske satsninger tiltak etter hvert som satsninger som er tildelt RSO-midler avsluttes eller går over i ordinær drift. Det legges i utgangspunktet opp til porteføljestyring innenfor de ulike virksomhetsområdene, slik at prorektorer og direktører kan tilpasse nivået knyttet de ulike virkemidlene/tiltakene innenfor en porteføljeramme til sine respektive virksomhetsområder. I løpet av langtidsperioden vil imidlertid en omfordeling mellom de ulike porteføljenivåene også tas opp til vurdering. </w:t>
      </w:r>
    </w:p>
    <w:p w14:paraId="61E36583" w14:textId="77777777" w:rsidR="005D4473" w:rsidRPr="00AE0C57" w:rsidRDefault="005D4473" w:rsidP="005D4473">
      <w:pPr>
        <w:autoSpaceDE w:val="0"/>
        <w:autoSpaceDN w:val="0"/>
        <w:adjustRightInd w:val="0"/>
        <w:rPr>
          <w:sz w:val="22"/>
          <w:szCs w:val="22"/>
        </w:rPr>
      </w:pPr>
    </w:p>
    <w:p w14:paraId="6BBA30EC" w14:textId="77777777" w:rsidR="005D4473" w:rsidRPr="00AE0C57" w:rsidRDefault="005D4473" w:rsidP="005D4473">
      <w:pPr>
        <w:rPr>
          <w:sz w:val="22"/>
          <w:szCs w:val="22"/>
        </w:rPr>
      </w:pPr>
      <w:r w:rsidRPr="00AE0C57">
        <w:rPr>
          <w:sz w:val="22"/>
          <w:szCs w:val="22"/>
        </w:rPr>
        <w:t>Handlingsrommet innenfor RSO-rammen vil øke de kommende årene som følge av opptrappingen av rammens andel til 15% av totalbevilgning. Basert på de store løftene som ligger foran oss knyttet til digitalisering, samlokalisering og campusutvikling, vil det legges opp til at mye av veksten i denne rammen de neste 2-3 årene går til strategiske tiltak innenfor disse områdene.</w:t>
      </w:r>
    </w:p>
    <w:p w14:paraId="60F3C1DF" w14:textId="77777777" w:rsidR="005D4473" w:rsidRDefault="005D4473" w:rsidP="005D4473">
      <w:pPr>
        <w:autoSpaceDE w:val="0"/>
        <w:autoSpaceDN w:val="0"/>
        <w:adjustRightInd w:val="0"/>
        <w:rPr>
          <w:sz w:val="22"/>
          <w:szCs w:val="22"/>
        </w:rPr>
      </w:pPr>
    </w:p>
    <w:p w14:paraId="026176D6" w14:textId="77777777" w:rsidR="005D4473" w:rsidRDefault="005D4473" w:rsidP="005D4473">
      <w:pPr>
        <w:autoSpaceDE w:val="0"/>
        <w:autoSpaceDN w:val="0"/>
        <w:adjustRightInd w:val="0"/>
        <w:rPr>
          <w:sz w:val="22"/>
          <w:szCs w:val="22"/>
        </w:rPr>
      </w:pPr>
    </w:p>
    <w:p w14:paraId="701895A7" w14:textId="653BC531" w:rsidR="005D4473" w:rsidRDefault="00EF595F" w:rsidP="005D4473">
      <w:pPr>
        <w:autoSpaceDE w:val="0"/>
        <w:autoSpaceDN w:val="0"/>
        <w:adjustRightInd w:val="0"/>
        <w:rPr>
          <w:sz w:val="22"/>
          <w:szCs w:val="22"/>
        </w:rPr>
      </w:pPr>
      <w:r w:rsidRPr="00E4344F">
        <w:rPr>
          <w:noProof/>
        </w:rPr>
        <w:drawing>
          <wp:anchor distT="0" distB="0" distL="114300" distR="114300" simplePos="0" relativeHeight="251720192" behindDoc="1" locked="0" layoutInCell="1" allowOverlap="1" wp14:anchorId="2E5659A9" wp14:editId="47BB5C20">
            <wp:simplePos x="0" y="0"/>
            <wp:positionH relativeFrom="margin">
              <wp:align>right</wp:align>
            </wp:positionH>
            <wp:positionV relativeFrom="paragraph">
              <wp:posOffset>0</wp:posOffset>
            </wp:positionV>
            <wp:extent cx="4295140" cy="9184005"/>
            <wp:effectExtent l="0" t="0" r="0" b="0"/>
            <wp:wrapTight wrapText="bothSides">
              <wp:wrapPolygon edited="0">
                <wp:start x="0" y="0"/>
                <wp:lineTo x="0" y="21551"/>
                <wp:lineTo x="18490" y="21551"/>
                <wp:lineTo x="20501" y="21506"/>
                <wp:lineTo x="21459" y="21282"/>
                <wp:lineTo x="21459" y="10215"/>
                <wp:lineTo x="21268" y="10036"/>
                <wp:lineTo x="21364" y="9857"/>
                <wp:lineTo x="21459" y="9140"/>
                <wp:lineTo x="2145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5140" cy="918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9859CC" w14:textId="76BF0DB0" w:rsidR="005D4473" w:rsidRDefault="005D4473" w:rsidP="005D4473">
      <w:pPr>
        <w:autoSpaceDE w:val="0"/>
        <w:autoSpaceDN w:val="0"/>
        <w:adjustRightInd w:val="0"/>
        <w:rPr>
          <w:sz w:val="22"/>
          <w:szCs w:val="22"/>
        </w:rPr>
      </w:pPr>
      <w:r>
        <w:rPr>
          <w:sz w:val="22"/>
          <w:szCs w:val="22"/>
        </w:rPr>
        <w:t>T</w:t>
      </w:r>
      <w:r w:rsidRPr="00AE0C57">
        <w:rPr>
          <w:sz w:val="22"/>
          <w:szCs w:val="22"/>
        </w:rPr>
        <w:t>abellen</w:t>
      </w:r>
      <w:r>
        <w:rPr>
          <w:sz w:val="22"/>
          <w:szCs w:val="22"/>
        </w:rPr>
        <w:t xml:space="preserve"> </w:t>
      </w:r>
      <w:r w:rsidRPr="00AE0C57">
        <w:rPr>
          <w:sz w:val="22"/>
          <w:szCs w:val="22"/>
        </w:rPr>
        <w:t xml:space="preserve">viser </w:t>
      </w:r>
      <w:r>
        <w:rPr>
          <w:sz w:val="22"/>
          <w:szCs w:val="22"/>
        </w:rPr>
        <w:t xml:space="preserve">detaljerte </w:t>
      </w:r>
      <w:r w:rsidRPr="00AE0C57">
        <w:rPr>
          <w:sz w:val="22"/>
          <w:szCs w:val="22"/>
        </w:rPr>
        <w:t>fordelinger gjort på RSO-ramma for 2019:</w:t>
      </w:r>
    </w:p>
    <w:p w14:paraId="6DB99D21" w14:textId="3DE12BD6" w:rsidR="005D4473" w:rsidRDefault="005D4473" w:rsidP="005D4473">
      <w:pPr>
        <w:autoSpaceDE w:val="0"/>
        <w:autoSpaceDN w:val="0"/>
        <w:adjustRightInd w:val="0"/>
        <w:rPr>
          <w:sz w:val="22"/>
          <w:szCs w:val="22"/>
        </w:rPr>
      </w:pPr>
      <w:r w:rsidRPr="00AE0C57">
        <w:rPr>
          <w:sz w:val="22"/>
          <w:szCs w:val="22"/>
        </w:rPr>
        <w:t xml:space="preserve"> </w:t>
      </w:r>
    </w:p>
    <w:p w14:paraId="04CDF9C5" w14:textId="58162950" w:rsidR="005D4473" w:rsidRDefault="005D4473" w:rsidP="005D4473">
      <w:pPr>
        <w:autoSpaceDE w:val="0"/>
        <w:autoSpaceDN w:val="0"/>
        <w:adjustRightInd w:val="0"/>
        <w:rPr>
          <w:sz w:val="22"/>
          <w:szCs w:val="22"/>
        </w:rPr>
      </w:pPr>
    </w:p>
    <w:p w14:paraId="6CF3BAED" w14:textId="77777777" w:rsidR="005D4473" w:rsidRDefault="005D4473" w:rsidP="005D4473">
      <w:pPr>
        <w:autoSpaceDE w:val="0"/>
        <w:autoSpaceDN w:val="0"/>
        <w:adjustRightInd w:val="0"/>
        <w:rPr>
          <w:sz w:val="22"/>
          <w:szCs w:val="22"/>
        </w:rPr>
      </w:pPr>
    </w:p>
    <w:p w14:paraId="5D57176C" w14:textId="77777777" w:rsidR="005D4473" w:rsidRPr="00AE0C57" w:rsidRDefault="005D4473" w:rsidP="005D4473">
      <w:pPr>
        <w:autoSpaceDE w:val="0"/>
        <w:autoSpaceDN w:val="0"/>
        <w:adjustRightInd w:val="0"/>
        <w:rPr>
          <w:sz w:val="22"/>
          <w:szCs w:val="22"/>
        </w:rPr>
      </w:pPr>
    </w:p>
    <w:p w14:paraId="712A77DA" w14:textId="77777777" w:rsidR="005D4473" w:rsidRPr="00FC32D9" w:rsidRDefault="005D4473" w:rsidP="005D4473">
      <w:pPr>
        <w:autoSpaceDE w:val="0"/>
        <w:autoSpaceDN w:val="0"/>
        <w:adjustRightInd w:val="0"/>
      </w:pPr>
    </w:p>
    <w:p w14:paraId="0544DC70" w14:textId="77777777" w:rsidR="005D4473" w:rsidRPr="00FC32D9" w:rsidRDefault="005D4473" w:rsidP="005D4473">
      <w:pPr>
        <w:autoSpaceDE w:val="0"/>
        <w:autoSpaceDN w:val="0"/>
        <w:adjustRightInd w:val="0"/>
      </w:pPr>
    </w:p>
    <w:p w14:paraId="3DC95A14" w14:textId="77777777" w:rsidR="005D4473" w:rsidRPr="00FC32D9" w:rsidRDefault="005D4473" w:rsidP="005D4473"/>
    <w:p w14:paraId="70917D3E" w14:textId="77777777" w:rsidR="006B7EBA" w:rsidRDefault="00801F7F" w:rsidP="006B7EBA">
      <w:pPr>
        <w:autoSpaceDE w:val="0"/>
        <w:autoSpaceDN w:val="0"/>
        <w:adjustRightInd w:val="0"/>
        <w:rPr>
          <w:sz w:val="22"/>
          <w:szCs w:val="22"/>
        </w:rPr>
      </w:pPr>
      <w:r w:rsidRPr="00FC32D9">
        <w:br w:type="page"/>
      </w:r>
    </w:p>
    <w:p w14:paraId="187E9469" w14:textId="77777777" w:rsidR="002D3CED" w:rsidRPr="00801F7F" w:rsidRDefault="00BF7B9E" w:rsidP="00BF7B9E">
      <w:pPr>
        <w:pStyle w:val="Heading1"/>
      </w:pPr>
      <w:r>
        <w:t>Vedlegg D</w:t>
      </w:r>
      <w:r w:rsidR="00AE38E5">
        <w:t>:</w:t>
      </w:r>
      <w:r w:rsidR="002D3CED" w:rsidRPr="00801F7F">
        <w:t xml:space="preserve"> </w:t>
      </w:r>
      <w:r w:rsidR="002D3CED" w:rsidRPr="002D3CED">
        <w:t>Samlet fremstilling av endringer i styrende dokumenter</w:t>
      </w:r>
    </w:p>
    <w:p w14:paraId="4B102E60" w14:textId="77777777" w:rsidR="006C1635" w:rsidRDefault="006C1635" w:rsidP="002D3CED">
      <w:pPr>
        <w:autoSpaceDE w:val="0"/>
        <w:autoSpaceDN w:val="0"/>
        <w:adjustRightInd w:val="0"/>
        <w:rPr>
          <w:sz w:val="22"/>
          <w:szCs w:val="22"/>
        </w:rPr>
      </w:pPr>
    </w:p>
    <w:p w14:paraId="46CFF57C" w14:textId="5DD0585A" w:rsidR="006B7EBA" w:rsidRDefault="006B7EBA" w:rsidP="002D3CED">
      <w:pPr>
        <w:autoSpaceDE w:val="0"/>
        <w:autoSpaceDN w:val="0"/>
        <w:adjustRightInd w:val="0"/>
        <w:rPr>
          <w:sz w:val="22"/>
          <w:szCs w:val="22"/>
        </w:rPr>
      </w:pPr>
      <w:r>
        <w:rPr>
          <w:sz w:val="22"/>
          <w:szCs w:val="22"/>
        </w:rPr>
        <w:t>I styresaken om «Planleggingsrammer</w:t>
      </w:r>
      <w:r w:rsidR="0013655E">
        <w:rPr>
          <w:sz w:val="22"/>
          <w:szCs w:val="22"/>
        </w:rPr>
        <w:t xml:space="preserve"> for 2019 og langtidsperioden</w:t>
      </w:r>
      <w:r>
        <w:rPr>
          <w:sz w:val="22"/>
          <w:szCs w:val="22"/>
        </w:rPr>
        <w:t>» ble det fremlagt en liste over de eksisterende styrende dokumentene NTNU har. Lista innehold i utgangspunktet godt over 30 dokumenter.</w:t>
      </w:r>
    </w:p>
    <w:p w14:paraId="3309835E" w14:textId="77777777" w:rsidR="006B7EBA" w:rsidRDefault="006B7EBA" w:rsidP="002D3CED">
      <w:pPr>
        <w:autoSpaceDE w:val="0"/>
        <w:autoSpaceDN w:val="0"/>
        <w:adjustRightInd w:val="0"/>
        <w:rPr>
          <w:sz w:val="22"/>
          <w:szCs w:val="22"/>
        </w:rPr>
      </w:pPr>
    </w:p>
    <w:p w14:paraId="0F018784" w14:textId="66DB191B" w:rsidR="006B7EBA" w:rsidRDefault="00A33F06" w:rsidP="002D3CED">
      <w:pPr>
        <w:autoSpaceDE w:val="0"/>
        <w:autoSpaceDN w:val="0"/>
        <w:adjustRightInd w:val="0"/>
        <w:rPr>
          <w:sz w:val="22"/>
          <w:szCs w:val="22"/>
        </w:rPr>
      </w:pPr>
      <w:r>
        <w:rPr>
          <w:sz w:val="22"/>
          <w:szCs w:val="22"/>
        </w:rPr>
        <w:t xml:space="preserve">Ei arbeidsgruppe har i høst arbeidet med </w:t>
      </w:r>
      <w:r w:rsidR="00051498">
        <w:rPr>
          <w:sz w:val="22"/>
          <w:szCs w:val="22"/>
        </w:rPr>
        <w:t xml:space="preserve">rydding i NTNUs politikker. </w:t>
      </w:r>
      <w:r w:rsidR="006B7EBA">
        <w:rPr>
          <w:sz w:val="22"/>
          <w:szCs w:val="22"/>
        </w:rPr>
        <w:t xml:space="preserve">Parallelt med arbeidsgruppens politikkgjennomgang har det vært arbeidet med hvilke utviklingsplaner og langtidsplaner vi har behov for. </w:t>
      </w:r>
    </w:p>
    <w:p w14:paraId="48B888AD" w14:textId="77777777" w:rsidR="006B7EBA" w:rsidRDefault="006B7EBA" w:rsidP="002D3CED">
      <w:pPr>
        <w:autoSpaceDE w:val="0"/>
        <w:autoSpaceDN w:val="0"/>
        <w:adjustRightInd w:val="0"/>
        <w:rPr>
          <w:sz w:val="22"/>
          <w:szCs w:val="22"/>
        </w:rPr>
      </w:pPr>
    </w:p>
    <w:p w14:paraId="6A6037C0" w14:textId="77777777" w:rsidR="002D3CED" w:rsidRDefault="00DE2B70" w:rsidP="002D3CED">
      <w:pPr>
        <w:autoSpaceDE w:val="0"/>
        <w:autoSpaceDN w:val="0"/>
        <w:adjustRightInd w:val="0"/>
        <w:rPr>
          <w:sz w:val="22"/>
          <w:szCs w:val="22"/>
        </w:rPr>
      </w:pPr>
      <w:r>
        <w:rPr>
          <w:sz w:val="22"/>
          <w:szCs w:val="22"/>
        </w:rPr>
        <w:t xml:space="preserve">Nedenfor </w:t>
      </w:r>
      <w:r w:rsidR="006B7EBA">
        <w:rPr>
          <w:sz w:val="22"/>
          <w:szCs w:val="22"/>
        </w:rPr>
        <w:t>oppsummeres resultatene av sorteringen. Sorteringsarbeidet er</w:t>
      </w:r>
      <w:r w:rsidR="002D3CED">
        <w:rPr>
          <w:sz w:val="22"/>
          <w:szCs w:val="22"/>
        </w:rPr>
        <w:t xml:space="preserve"> basert på følgende modell for sortering av styrende dokumenter:</w:t>
      </w:r>
    </w:p>
    <w:p w14:paraId="0847B7F7" w14:textId="77777777" w:rsidR="002D3CED" w:rsidRDefault="002D3CED" w:rsidP="002D3CED">
      <w:pPr>
        <w:autoSpaceDE w:val="0"/>
        <w:autoSpaceDN w:val="0"/>
        <w:adjustRightInd w:val="0"/>
        <w:rPr>
          <w:sz w:val="22"/>
          <w:szCs w:val="22"/>
        </w:rPr>
      </w:pPr>
    </w:p>
    <w:p w14:paraId="426931D5" w14:textId="77777777" w:rsidR="002D3CED" w:rsidRDefault="002D3CED" w:rsidP="002D3CED">
      <w:pPr>
        <w:autoSpaceDE w:val="0"/>
        <w:autoSpaceDN w:val="0"/>
        <w:adjustRightInd w:val="0"/>
        <w:rPr>
          <w:sz w:val="22"/>
          <w:szCs w:val="22"/>
        </w:rPr>
      </w:pPr>
    </w:p>
    <w:p w14:paraId="58A98D92" w14:textId="77777777" w:rsidR="002D3CED" w:rsidRPr="002D3CED" w:rsidRDefault="002D3CED" w:rsidP="002D3CED">
      <w:pPr>
        <w:autoSpaceDE w:val="0"/>
        <w:autoSpaceDN w:val="0"/>
        <w:adjustRightInd w:val="0"/>
        <w:rPr>
          <w:sz w:val="22"/>
          <w:szCs w:val="22"/>
        </w:rPr>
      </w:pPr>
    </w:p>
    <w:p w14:paraId="7BA90808" w14:textId="77777777" w:rsidR="002D3CED" w:rsidRDefault="002D3CED" w:rsidP="002D3CED">
      <w:pPr>
        <w:autoSpaceDE w:val="0"/>
        <w:autoSpaceDN w:val="0"/>
        <w:adjustRightInd w:val="0"/>
        <w:rPr>
          <w:sz w:val="22"/>
          <w:szCs w:val="22"/>
        </w:rPr>
      </w:pPr>
      <w:r w:rsidRPr="002D3CED">
        <w:rPr>
          <w:noProof/>
          <w:sz w:val="22"/>
          <w:szCs w:val="22"/>
        </w:rPr>
        <w:drawing>
          <wp:inline distT="0" distB="0" distL="0" distR="0" wp14:anchorId="2A2614DA" wp14:editId="11FAB39C">
            <wp:extent cx="5403215" cy="2861945"/>
            <wp:effectExtent l="0" t="0" r="698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3215" cy="2861945"/>
                    </a:xfrm>
                    <a:prstGeom prst="rect">
                      <a:avLst/>
                    </a:prstGeom>
                    <a:noFill/>
                    <a:ln>
                      <a:noFill/>
                    </a:ln>
                  </pic:spPr>
                </pic:pic>
              </a:graphicData>
            </a:graphic>
          </wp:inline>
        </w:drawing>
      </w:r>
    </w:p>
    <w:p w14:paraId="1EA60DA0" w14:textId="77777777" w:rsidR="002D3CED" w:rsidRDefault="002D3CED" w:rsidP="002D3CED">
      <w:pPr>
        <w:autoSpaceDE w:val="0"/>
        <w:autoSpaceDN w:val="0"/>
        <w:adjustRightInd w:val="0"/>
        <w:rPr>
          <w:sz w:val="22"/>
          <w:szCs w:val="22"/>
        </w:rPr>
      </w:pPr>
    </w:p>
    <w:p w14:paraId="63656A32" w14:textId="77777777" w:rsidR="00796959" w:rsidRDefault="00796959" w:rsidP="002D3CED">
      <w:pPr>
        <w:autoSpaceDE w:val="0"/>
        <w:autoSpaceDN w:val="0"/>
        <w:adjustRightInd w:val="0"/>
        <w:rPr>
          <w:sz w:val="22"/>
          <w:szCs w:val="22"/>
        </w:rPr>
      </w:pPr>
    </w:p>
    <w:p w14:paraId="44A7ED69" w14:textId="77777777" w:rsidR="00796959" w:rsidRDefault="00796959" w:rsidP="00796959">
      <w:pPr>
        <w:ind w:right="85"/>
        <w:rPr>
          <w:sz w:val="22"/>
          <w:szCs w:val="22"/>
        </w:rPr>
      </w:pPr>
      <w:r>
        <w:rPr>
          <w:sz w:val="22"/>
          <w:szCs w:val="22"/>
        </w:rPr>
        <w:t>Særlig tre typer dokumenter er viktige for gjennomføring av strategien (blå bokser i figuren) og defineres som følger:</w:t>
      </w:r>
    </w:p>
    <w:p w14:paraId="794BA889" w14:textId="77777777" w:rsidR="00796959" w:rsidRDefault="00796959" w:rsidP="00796959">
      <w:pPr>
        <w:ind w:right="85"/>
        <w:rPr>
          <w:sz w:val="22"/>
          <w:szCs w:val="22"/>
        </w:rPr>
      </w:pPr>
    </w:p>
    <w:p w14:paraId="668D9657" w14:textId="77777777" w:rsidR="00796959" w:rsidRPr="00482CCB" w:rsidRDefault="00796959" w:rsidP="00796959">
      <w:pPr>
        <w:ind w:right="85"/>
        <w:rPr>
          <w:sz w:val="22"/>
          <w:szCs w:val="22"/>
        </w:rPr>
      </w:pPr>
      <w:r w:rsidRPr="00482CCB">
        <w:rPr>
          <w:i/>
          <w:sz w:val="22"/>
          <w:szCs w:val="22"/>
        </w:rPr>
        <w:t>En politikk</w:t>
      </w:r>
      <w:r w:rsidRPr="00482CCB">
        <w:rPr>
          <w:sz w:val="22"/>
          <w:szCs w:val="22"/>
        </w:rPr>
        <w:t xml:space="preserve"> er et styrende dokument internt i virksomheten som beskriver overordnede prinsipper, krav og føringer, og myndighet, roller og ansvar knyttet til det området politikken gjelder for.</w:t>
      </w:r>
      <w:r>
        <w:rPr>
          <w:sz w:val="22"/>
          <w:szCs w:val="22"/>
        </w:rPr>
        <w:t xml:space="preserve"> </w:t>
      </w:r>
      <w:r w:rsidRPr="00482CCB">
        <w:rPr>
          <w:sz w:val="22"/>
          <w:szCs w:val="22"/>
        </w:rPr>
        <w:t>Det er vedtatt følgende kriterier for å definere et politikkområde (vedlegg B i S-sak 17/18):</w:t>
      </w:r>
    </w:p>
    <w:p w14:paraId="60CD6A22" w14:textId="77777777" w:rsidR="00796959" w:rsidRPr="00482CCB" w:rsidRDefault="00796959" w:rsidP="00796959">
      <w:pPr>
        <w:pStyle w:val="ListParagraph"/>
        <w:numPr>
          <w:ilvl w:val="0"/>
          <w:numId w:val="18"/>
        </w:numPr>
        <w:ind w:right="85"/>
        <w:rPr>
          <w:sz w:val="22"/>
          <w:szCs w:val="22"/>
        </w:rPr>
      </w:pPr>
      <w:r w:rsidRPr="00482CCB">
        <w:rPr>
          <w:sz w:val="22"/>
          <w:szCs w:val="22"/>
        </w:rPr>
        <w:t>Området er virksomhetskritisk og/eller risikoutsatt etter en risiko- og vesentlighetsvurdering.</w:t>
      </w:r>
    </w:p>
    <w:p w14:paraId="436D9516" w14:textId="77777777" w:rsidR="00796959" w:rsidRPr="00482CCB" w:rsidRDefault="00796959" w:rsidP="00796959">
      <w:pPr>
        <w:pStyle w:val="ListParagraph"/>
        <w:numPr>
          <w:ilvl w:val="0"/>
          <w:numId w:val="18"/>
        </w:numPr>
        <w:ind w:right="85"/>
        <w:rPr>
          <w:sz w:val="22"/>
          <w:szCs w:val="22"/>
        </w:rPr>
      </w:pPr>
      <w:r w:rsidRPr="00482CCB">
        <w:rPr>
          <w:sz w:val="22"/>
          <w:szCs w:val="22"/>
        </w:rPr>
        <w:t>Det er nødvendig å regulere aktiviteten på området gjennom felles standarder for gjennomføring og ansvarsfordeling.</w:t>
      </w:r>
    </w:p>
    <w:p w14:paraId="5DFD34B2" w14:textId="77777777" w:rsidR="00796959" w:rsidRPr="00482CCB" w:rsidRDefault="00796959" w:rsidP="00796959">
      <w:pPr>
        <w:pStyle w:val="ListParagraph"/>
        <w:numPr>
          <w:ilvl w:val="0"/>
          <w:numId w:val="18"/>
        </w:numPr>
        <w:ind w:right="85"/>
        <w:rPr>
          <w:sz w:val="22"/>
          <w:szCs w:val="22"/>
        </w:rPr>
      </w:pPr>
      <w:r w:rsidRPr="00482CCB">
        <w:rPr>
          <w:sz w:val="22"/>
          <w:szCs w:val="22"/>
        </w:rPr>
        <w:t>Området er underlagt overordnede føringer og krav i instruks og reglement, lover og regler, krav i tildelingsbrev eller annet sted som krever en politikk.</w:t>
      </w:r>
    </w:p>
    <w:p w14:paraId="55DB8A59" w14:textId="77777777" w:rsidR="00796959" w:rsidRDefault="00796959" w:rsidP="00796959">
      <w:pPr>
        <w:ind w:right="85"/>
        <w:rPr>
          <w:sz w:val="22"/>
          <w:szCs w:val="22"/>
        </w:rPr>
      </w:pPr>
    </w:p>
    <w:p w14:paraId="62575192" w14:textId="77777777" w:rsidR="00796959" w:rsidRDefault="00796959" w:rsidP="00796959">
      <w:pPr>
        <w:ind w:right="85"/>
        <w:rPr>
          <w:sz w:val="22"/>
          <w:szCs w:val="22"/>
        </w:rPr>
      </w:pPr>
      <w:r w:rsidRPr="00482CCB">
        <w:rPr>
          <w:i/>
          <w:sz w:val="22"/>
          <w:szCs w:val="22"/>
        </w:rPr>
        <w:t>En utviklingsplan</w:t>
      </w:r>
      <w:r w:rsidRPr="00482CCB">
        <w:rPr>
          <w:sz w:val="22"/>
          <w:szCs w:val="22"/>
        </w:rPr>
        <w:t xml:space="preserve"> med tilhørende virkemidler og tiltak er laget for å realisere et eller flere utviklingsmål i strategien. Utviklingsplaner utarbeides på områder der det er behov for å iverksette betydelig endring, og der alle nivåer forplikter seg med tiltak og ressurser. Utviklingsplanene definerer resultat- og effektmål, milepæler og ansvarsfordeling, og skal gi målbare resultater gjennom forsterket innsats i en avgrenset, tidfestet periode. Betegnelsen utviklingsplan er synonym med betegnelsen handlingsplan. Betegnelsen handlingsplan skal ikke lenger brukes, men erstattes med utviklingsplan.</w:t>
      </w:r>
    </w:p>
    <w:p w14:paraId="4AE134B1" w14:textId="77777777" w:rsidR="00796959" w:rsidRPr="00482CCB" w:rsidRDefault="00796959" w:rsidP="00796959">
      <w:pPr>
        <w:ind w:right="85"/>
        <w:rPr>
          <w:sz w:val="22"/>
          <w:szCs w:val="22"/>
        </w:rPr>
      </w:pPr>
    </w:p>
    <w:p w14:paraId="3CAF3E4C" w14:textId="77777777" w:rsidR="00796959" w:rsidRPr="00482CCB" w:rsidRDefault="00796959" w:rsidP="00796959">
      <w:pPr>
        <w:ind w:right="85"/>
        <w:rPr>
          <w:sz w:val="22"/>
          <w:szCs w:val="22"/>
        </w:rPr>
      </w:pPr>
      <w:r w:rsidRPr="00482CCB">
        <w:rPr>
          <w:i/>
          <w:sz w:val="22"/>
          <w:szCs w:val="22"/>
        </w:rPr>
        <w:t>En langtidsplan</w:t>
      </w:r>
      <w:r w:rsidRPr="00482CCB">
        <w:rPr>
          <w:sz w:val="22"/>
          <w:szCs w:val="22"/>
        </w:rPr>
        <w:t xml:space="preserve"> er en flerårig plan som rulleres årlig og som skal sikre tilstrekkelig vedlikehold, rehabilitering, reinvestering og fornyelse av tung og kostnadskrevende fysisk infrastruktur.</w:t>
      </w:r>
    </w:p>
    <w:p w14:paraId="29F5B4D7" w14:textId="77777777" w:rsidR="00796959" w:rsidRDefault="00796959" w:rsidP="002D3CED">
      <w:pPr>
        <w:autoSpaceDE w:val="0"/>
        <w:autoSpaceDN w:val="0"/>
        <w:adjustRightInd w:val="0"/>
        <w:rPr>
          <w:sz w:val="22"/>
          <w:szCs w:val="22"/>
        </w:rPr>
      </w:pPr>
    </w:p>
    <w:p w14:paraId="52275DAB" w14:textId="77777777" w:rsidR="00796959" w:rsidRDefault="00796959" w:rsidP="002D3CED">
      <w:pPr>
        <w:autoSpaceDE w:val="0"/>
        <w:autoSpaceDN w:val="0"/>
        <w:adjustRightInd w:val="0"/>
        <w:rPr>
          <w:sz w:val="22"/>
          <w:szCs w:val="22"/>
        </w:rPr>
      </w:pPr>
    </w:p>
    <w:p w14:paraId="4B41407D" w14:textId="77777777" w:rsidR="00796959" w:rsidRDefault="00796959" w:rsidP="002D3CED">
      <w:pPr>
        <w:autoSpaceDE w:val="0"/>
        <w:autoSpaceDN w:val="0"/>
        <w:adjustRightInd w:val="0"/>
        <w:rPr>
          <w:sz w:val="22"/>
          <w:szCs w:val="22"/>
        </w:rPr>
      </w:pPr>
    </w:p>
    <w:p w14:paraId="2153CD4F" w14:textId="77777777" w:rsidR="00051498" w:rsidRDefault="006B7EBA" w:rsidP="002D3CED">
      <w:pPr>
        <w:autoSpaceDE w:val="0"/>
        <w:autoSpaceDN w:val="0"/>
        <w:adjustRightInd w:val="0"/>
        <w:rPr>
          <w:sz w:val="22"/>
          <w:szCs w:val="22"/>
        </w:rPr>
      </w:pPr>
      <w:r>
        <w:rPr>
          <w:sz w:val="22"/>
          <w:szCs w:val="22"/>
        </w:rPr>
        <w:t>Det foreslås at NTNU skal ha følgende 11 politikker:</w:t>
      </w:r>
    </w:p>
    <w:p w14:paraId="26F817A2" w14:textId="77777777" w:rsidR="00051498" w:rsidRDefault="00051498" w:rsidP="002D3CED">
      <w:pPr>
        <w:autoSpaceDE w:val="0"/>
        <w:autoSpaceDN w:val="0"/>
        <w:adjustRightInd w:val="0"/>
        <w:rPr>
          <w:sz w:val="22"/>
          <w:szCs w:val="22"/>
        </w:rPr>
      </w:pPr>
    </w:p>
    <w:tbl>
      <w:tblPr>
        <w:tblStyle w:val="GridTable4-Accent3"/>
        <w:tblW w:w="0" w:type="auto"/>
        <w:tblLook w:val="0420" w:firstRow="1" w:lastRow="0" w:firstColumn="0" w:lastColumn="0" w:noHBand="0" w:noVBand="1"/>
      </w:tblPr>
      <w:tblGrid>
        <w:gridCol w:w="2634"/>
        <w:gridCol w:w="7165"/>
      </w:tblGrid>
      <w:tr w:rsidR="00051498" w14:paraId="19F8FAD6" w14:textId="77777777" w:rsidTr="00051498">
        <w:trPr>
          <w:cnfStyle w:val="100000000000" w:firstRow="1" w:lastRow="0" w:firstColumn="0" w:lastColumn="0" w:oddVBand="0" w:evenVBand="0" w:oddHBand="0" w:evenHBand="0" w:firstRowFirstColumn="0" w:firstRowLastColumn="0" w:lastRowFirstColumn="0" w:lastRowLastColumn="0"/>
        </w:trPr>
        <w:tc>
          <w:tcPr>
            <w:tcW w:w="1555" w:type="dxa"/>
          </w:tcPr>
          <w:p w14:paraId="16AF63B7" w14:textId="77777777" w:rsidR="00051498" w:rsidRDefault="00051498" w:rsidP="002D3CED">
            <w:pPr>
              <w:autoSpaceDE w:val="0"/>
              <w:autoSpaceDN w:val="0"/>
              <w:adjustRightInd w:val="0"/>
              <w:rPr>
                <w:sz w:val="22"/>
              </w:rPr>
            </w:pPr>
            <w:r>
              <w:rPr>
                <w:sz w:val="22"/>
              </w:rPr>
              <w:t>Eier</w:t>
            </w:r>
          </w:p>
        </w:tc>
        <w:tc>
          <w:tcPr>
            <w:tcW w:w="8244" w:type="dxa"/>
          </w:tcPr>
          <w:p w14:paraId="6191305B" w14:textId="77777777" w:rsidR="00051498" w:rsidRDefault="00051498" w:rsidP="00051498">
            <w:pPr>
              <w:autoSpaceDE w:val="0"/>
              <w:autoSpaceDN w:val="0"/>
              <w:adjustRightInd w:val="0"/>
              <w:rPr>
                <w:sz w:val="22"/>
              </w:rPr>
            </w:pPr>
            <w:r>
              <w:rPr>
                <w:sz w:val="22"/>
              </w:rPr>
              <w:t>Dokument</w:t>
            </w:r>
            <w:r w:rsidR="00FD5A93">
              <w:rPr>
                <w:sz w:val="22"/>
              </w:rPr>
              <w:t xml:space="preserve"> (politikker)</w:t>
            </w:r>
          </w:p>
        </w:tc>
      </w:tr>
      <w:tr w:rsidR="00051498" w14:paraId="4021D1E2" w14:textId="77777777" w:rsidTr="00051498">
        <w:trPr>
          <w:cnfStyle w:val="000000100000" w:firstRow="0" w:lastRow="0" w:firstColumn="0" w:lastColumn="0" w:oddVBand="0" w:evenVBand="0" w:oddHBand="1" w:evenHBand="0" w:firstRowFirstColumn="0" w:firstRowLastColumn="0" w:lastRowFirstColumn="0" w:lastRowLastColumn="0"/>
        </w:trPr>
        <w:tc>
          <w:tcPr>
            <w:tcW w:w="1555" w:type="dxa"/>
          </w:tcPr>
          <w:p w14:paraId="7FBBAD2B" w14:textId="77777777" w:rsidR="00051498" w:rsidRPr="00051498" w:rsidRDefault="00051498" w:rsidP="002D3CED">
            <w:pPr>
              <w:autoSpaceDE w:val="0"/>
              <w:autoSpaceDN w:val="0"/>
              <w:adjustRightInd w:val="0"/>
              <w:rPr>
                <w:sz w:val="22"/>
              </w:rPr>
            </w:pPr>
            <w:r w:rsidRPr="00051498">
              <w:rPr>
                <w:sz w:val="22"/>
              </w:rPr>
              <w:t>Rektor</w:t>
            </w:r>
          </w:p>
        </w:tc>
        <w:tc>
          <w:tcPr>
            <w:tcW w:w="8244" w:type="dxa"/>
          </w:tcPr>
          <w:p w14:paraId="5DEF4B1F" w14:textId="77777777" w:rsidR="00051498" w:rsidRDefault="00051498" w:rsidP="00051498">
            <w:pPr>
              <w:autoSpaceDE w:val="0"/>
              <w:autoSpaceDN w:val="0"/>
              <w:adjustRightInd w:val="0"/>
              <w:rPr>
                <w:sz w:val="22"/>
              </w:rPr>
            </w:pPr>
            <w:r w:rsidRPr="00051498">
              <w:rPr>
                <w:rFonts w:eastAsia="Times New Roman"/>
                <w:sz w:val="22"/>
              </w:rPr>
              <w:t>Politikk om internkontroll (ny)  </w:t>
            </w:r>
          </w:p>
        </w:tc>
      </w:tr>
      <w:tr w:rsidR="00051498" w14:paraId="417AF7B7" w14:textId="77777777" w:rsidTr="00051498">
        <w:tc>
          <w:tcPr>
            <w:tcW w:w="1555" w:type="dxa"/>
          </w:tcPr>
          <w:p w14:paraId="6C7D9AF9" w14:textId="77777777" w:rsidR="00051498" w:rsidRPr="00051498" w:rsidRDefault="00051498" w:rsidP="00FD5A93">
            <w:pPr>
              <w:autoSpaceDE w:val="0"/>
              <w:autoSpaceDN w:val="0"/>
              <w:adjustRightInd w:val="0"/>
              <w:rPr>
                <w:sz w:val="22"/>
              </w:rPr>
            </w:pPr>
            <w:r w:rsidRPr="00051498">
              <w:rPr>
                <w:rFonts w:eastAsia="Times New Roman"/>
                <w:bCs/>
                <w:sz w:val="22"/>
              </w:rPr>
              <w:t>Utdanning</w:t>
            </w:r>
          </w:p>
        </w:tc>
        <w:tc>
          <w:tcPr>
            <w:tcW w:w="8244" w:type="dxa"/>
          </w:tcPr>
          <w:p w14:paraId="29AF346D" w14:textId="5956A70D" w:rsidR="00051498" w:rsidRDefault="007B112C" w:rsidP="00051498">
            <w:pPr>
              <w:autoSpaceDE w:val="0"/>
              <w:autoSpaceDN w:val="0"/>
              <w:adjustRightInd w:val="0"/>
              <w:rPr>
                <w:sz w:val="22"/>
              </w:rPr>
            </w:pPr>
            <w:r w:rsidRPr="007B112C">
              <w:rPr>
                <w:rFonts w:eastAsia="Times New Roman"/>
                <w:sz w:val="22"/>
              </w:rPr>
              <w:t xml:space="preserve">Politikk for utvikling og kvalitet i studieporteføljen </w:t>
            </w:r>
            <w:r w:rsidR="00051498" w:rsidRPr="00051498">
              <w:rPr>
                <w:rFonts w:eastAsia="Times New Roman"/>
                <w:sz w:val="22"/>
              </w:rPr>
              <w:t>(sammenslåing/ny)</w:t>
            </w:r>
          </w:p>
        </w:tc>
      </w:tr>
      <w:tr w:rsidR="00051498" w14:paraId="45C831C4" w14:textId="77777777" w:rsidTr="00051498">
        <w:trPr>
          <w:cnfStyle w:val="000000100000" w:firstRow="0" w:lastRow="0" w:firstColumn="0" w:lastColumn="0" w:oddVBand="0" w:evenVBand="0" w:oddHBand="1" w:evenHBand="0" w:firstRowFirstColumn="0" w:firstRowLastColumn="0" w:lastRowFirstColumn="0" w:lastRowLastColumn="0"/>
        </w:trPr>
        <w:tc>
          <w:tcPr>
            <w:tcW w:w="1555" w:type="dxa"/>
          </w:tcPr>
          <w:p w14:paraId="257DF136" w14:textId="77777777" w:rsidR="00051498" w:rsidRPr="00051498" w:rsidRDefault="00051498" w:rsidP="002D3CED">
            <w:pPr>
              <w:autoSpaceDE w:val="0"/>
              <w:autoSpaceDN w:val="0"/>
              <w:adjustRightInd w:val="0"/>
              <w:rPr>
                <w:sz w:val="22"/>
              </w:rPr>
            </w:pPr>
            <w:r w:rsidRPr="00051498">
              <w:rPr>
                <w:rFonts w:eastAsia="Times New Roman"/>
                <w:bCs/>
                <w:sz w:val="22"/>
              </w:rPr>
              <w:t>Forskning</w:t>
            </w:r>
          </w:p>
        </w:tc>
        <w:tc>
          <w:tcPr>
            <w:tcW w:w="8244" w:type="dxa"/>
          </w:tcPr>
          <w:p w14:paraId="6B9B7443" w14:textId="77777777" w:rsidR="00051498" w:rsidRDefault="00051498" w:rsidP="00051498">
            <w:pPr>
              <w:autoSpaceDE w:val="0"/>
              <w:autoSpaceDN w:val="0"/>
              <w:adjustRightInd w:val="0"/>
              <w:rPr>
                <w:sz w:val="22"/>
              </w:rPr>
            </w:pPr>
            <w:r w:rsidRPr="00051498">
              <w:rPr>
                <w:rFonts w:eastAsia="Times New Roman"/>
                <w:sz w:val="22"/>
              </w:rPr>
              <w:t>Politikk for åpen tilgang til forskning  (sammenslåing)</w:t>
            </w:r>
          </w:p>
        </w:tc>
      </w:tr>
      <w:tr w:rsidR="00051498" w14:paraId="626208D0" w14:textId="77777777" w:rsidTr="00051498">
        <w:tc>
          <w:tcPr>
            <w:tcW w:w="1555" w:type="dxa"/>
          </w:tcPr>
          <w:p w14:paraId="2C29F6C2" w14:textId="77777777" w:rsidR="00051498" w:rsidRPr="00051498" w:rsidRDefault="00051498" w:rsidP="00051498">
            <w:pPr>
              <w:autoSpaceDE w:val="0"/>
              <w:autoSpaceDN w:val="0"/>
              <w:adjustRightInd w:val="0"/>
              <w:rPr>
                <w:sz w:val="22"/>
              </w:rPr>
            </w:pPr>
            <w:r w:rsidRPr="00051498">
              <w:rPr>
                <w:rFonts w:eastAsia="Times New Roman"/>
                <w:bCs/>
                <w:sz w:val="22"/>
              </w:rPr>
              <w:t>Nyskaping</w:t>
            </w:r>
          </w:p>
        </w:tc>
        <w:tc>
          <w:tcPr>
            <w:tcW w:w="8244" w:type="dxa"/>
          </w:tcPr>
          <w:p w14:paraId="60EC400C" w14:textId="77777777" w:rsidR="00051498" w:rsidRDefault="00051498" w:rsidP="00051498">
            <w:pPr>
              <w:autoSpaceDE w:val="0"/>
              <w:autoSpaceDN w:val="0"/>
              <w:adjustRightInd w:val="0"/>
              <w:rPr>
                <w:sz w:val="22"/>
              </w:rPr>
            </w:pPr>
            <w:r w:rsidRPr="00051498">
              <w:rPr>
                <w:rFonts w:eastAsia="Times New Roman"/>
                <w:sz w:val="22"/>
              </w:rPr>
              <w:t>Politikk for immaterialle rettigheter og fysisk materiale. (Revisjon)</w:t>
            </w:r>
          </w:p>
        </w:tc>
      </w:tr>
      <w:tr w:rsidR="00051498" w14:paraId="74B60737" w14:textId="77777777" w:rsidTr="00051498">
        <w:trPr>
          <w:cnfStyle w:val="000000100000" w:firstRow="0" w:lastRow="0" w:firstColumn="0" w:lastColumn="0" w:oddVBand="0" w:evenVBand="0" w:oddHBand="1" w:evenHBand="0" w:firstRowFirstColumn="0" w:firstRowLastColumn="0" w:lastRowFirstColumn="0" w:lastRowLastColumn="0"/>
        </w:trPr>
        <w:tc>
          <w:tcPr>
            <w:tcW w:w="1555" w:type="dxa"/>
          </w:tcPr>
          <w:p w14:paraId="65F90873" w14:textId="77777777" w:rsidR="00051498" w:rsidRPr="00051498" w:rsidRDefault="00051498" w:rsidP="00051498">
            <w:pPr>
              <w:autoSpaceDE w:val="0"/>
              <w:autoSpaceDN w:val="0"/>
              <w:adjustRightInd w:val="0"/>
              <w:rPr>
                <w:sz w:val="22"/>
              </w:rPr>
            </w:pPr>
            <w:r w:rsidRPr="00051498">
              <w:rPr>
                <w:rFonts w:eastAsia="Times New Roman"/>
                <w:bCs/>
                <w:sz w:val="22"/>
              </w:rPr>
              <w:t>HR/Personal/Organisasjon:</w:t>
            </w:r>
          </w:p>
          <w:p w14:paraId="1DC60B68" w14:textId="77777777" w:rsidR="00051498" w:rsidRPr="00051498" w:rsidRDefault="00051498" w:rsidP="00051498">
            <w:pPr>
              <w:autoSpaceDE w:val="0"/>
              <w:autoSpaceDN w:val="0"/>
              <w:adjustRightInd w:val="0"/>
              <w:rPr>
                <w:bCs/>
                <w:sz w:val="22"/>
              </w:rPr>
            </w:pPr>
          </w:p>
        </w:tc>
        <w:tc>
          <w:tcPr>
            <w:tcW w:w="8244" w:type="dxa"/>
          </w:tcPr>
          <w:p w14:paraId="51B05046" w14:textId="77777777" w:rsidR="00051498" w:rsidRPr="00051498" w:rsidRDefault="00051498" w:rsidP="00FD5A93">
            <w:pPr>
              <w:autoSpaceDE w:val="0"/>
              <w:autoSpaceDN w:val="0"/>
              <w:adjustRightInd w:val="0"/>
              <w:rPr>
                <w:sz w:val="22"/>
              </w:rPr>
            </w:pPr>
            <w:r w:rsidRPr="00051498">
              <w:rPr>
                <w:rFonts w:eastAsia="Times New Roman"/>
                <w:sz w:val="22"/>
              </w:rPr>
              <w:t>Personalpolitikk (ny)</w:t>
            </w:r>
          </w:p>
          <w:p w14:paraId="74046FCF" w14:textId="77777777" w:rsidR="00051498" w:rsidRPr="00051498" w:rsidRDefault="00051498" w:rsidP="00FD5A93">
            <w:pPr>
              <w:autoSpaceDE w:val="0"/>
              <w:autoSpaceDN w:val="0"/>
              <w:adjustRightInd w:val="0"/>
              <w:rPr>
                <w:sz w:val="22"/>
              </w:rPr>
            </w:pPr>
            <w:r w:rsidRPr="00051498">
              <w:rPr>
                <w:rFonts w:eastAsia="Times New Roman"/>
                <w:sz w:val="22"/>
              </w:rPr>
              <w:t>HMS-politikk (videreføres/mindre revisjon)</w:t>
            </w:r>
          </w:p>
          <w:p w14:paraId="694244FE" w14:textId="77777777" w:rsidR="00051498" w:rsidRPr="00051498" w:rsidRDefault="00051498" w:rsidP="00FD5A93">
            <w:pPr>
              <w:autoSpaceDE w:val="0"/>
              <w:autoSpaceDN w:val="0"/>
              <w:adjustRightInd w:val="0"/>
              <w:rPr>
                <w:sz w:val="22"/>
              </w:rPr>
            </w:pPr>
            <w:r w:rsidRPr="00051498">
              <w:rPr>
                <w:rFonts w:eastAsia="Times New Roman"/>
                <w:sz w:val="22"/>
              </w:rPr>
              <w:t>Politikk for beredskap (videreføres)</w:t>
            </w:r>
          </w:p>
          <w:p w14:paraId="2E5DBA96" w14:textId="77777777" w:rsidR="00051498" w:rsidRPr="00051498" w:rsidRDefault="00051498" w:rsidP="00FD5A93">
            <w:pPr>
              <w:autoSpaceDE w:val="0"/>
              <w:autoSpaceDN w:val="0"/>
              <w:adjustRightInd w:val="0"/>
              <w:rPr>
                <w:sz w:val="22"/>
              </w:rPr>
            </w:pPr>
            <w:r w:rsidRPr="00051498">
              <w:rPr>
                <w:rFonts w:eastAsia="Times New Roman"/>
                <w:sz w:val="22"/>
              </w:rPr>
              <w:t>Politikk for informasjonssikkerhet (videreføres)</w:t>
            </w:r>
          </w:p>
          <w:p w14:paraId="5CCBDF10" w14:textId="77777777" w:rsidR="00051498" w:rsidRPr="00051498" w:rsidRDefault="00051498" w:rsidP="00FD5A93">
            <w:pPr>
              <w:autoSpaceDE w:val="0"/>
              <w:autoSpaceDN w:val="0"/>
              <w:adjustRightInd w:val="0"/>
              <w:rPr>
                <w:sz w:val="22"/>
              </w:rPr>
            </w:pPr>
            <w:r w:rsidRPr="00051498">
              <w:rPr>
                <w:rFonts w:eastAsia="Times New Roman"/>
                <w:sz w:val="22"/>
              </w:rPr>
              <w:t>Politikk for digitalisering og prosessutvikling (ny)</w:t>
            </w:r>
          </w:p>
          <w:p w14:paraId="14394919" w14:textId="77777777" w:rsidR="00051498" w:rsidRPr="00051498" w:rsidRDefault="00051498" w:rsidP="00FD5A93">
            <w:pPr>
              <w:autoSpaceDE w:val="0"/>
              <w:autoSpaceDN w:val="0"/>
              <w:adjustRightInd w:val="0"/>
              <w:spacing w:after="60"/>
              <w:ind w:right="85"/>
              <w:rPr>
                <w:sz w:val="22"/>
              </w:rPr>
            </w:pPr>
            <w:r w:rsidRPr="00051498">
              <w:rPr>
                <w:rFonts w:eastAsia="Times New Roman"/>
                <w:sz w:val="22"/>
              </w:rPr>
              <w:t>Lønnspolitikk (videreføres) </w:t>
            </w:r>
          </w:p>
        </w:tc>
      </w:tr>
      <w:tr w:rsidR="00051498" w14:paraId="375023A5" w14:textId="77777777" w:rsidTr="00051498">
        <w:tc>
          <w:tcPr>
            <w:tcW w:w="1555" w:type="dxa"/>
          </w:tcPr>
          <w:p w14:paraId="063FBF99" w14:textId="77777777" w:rsidR="00051498" w:rsidRPr="00051498" w:rsidRDefault="00051498" w:rsidP="00051498">
            <w:pPr>
              <w:autoSpaceDE w:val="0"/>
              <w:autoSpaceDN w:val="0"/>
              <w:adjustRightInd w:val="0"/>
              <w:rPr>
                <w:bCs/>
                <w:sz w:val="22"/>
              </w:rPr>
            </w:pPr>
            <w:r w:rsidRPr="00051498">
              <w:rPr>
                <w:rFonts w:eastAsia="Times New Roman"/>
                <w:bCs/>
                <w:sz w:val="22"/>
              </w:rPr>
              <w:t>Økonomi/Eiendom:</w:t>
            </w:r>
          </w:p>
        </w:tc>
        <w:tc>
          <w:tcPr>
            <w:tcW w:w="8244" w:type="dxa"/>
          </w:tcPr>
          <w:p w14:paraId="56A5F260" w14:textId="77777777" w:rsidR="00051498" w:rsidRPr="00051498" w:rsidRDefault="00051498" w:rsidP="00051498">
            <w:pPr>
              <w:autoSpaceDE w:val="0"/>
              <w:autoSpaceDN w:val="0"/>
              <w:adjustRightInd w:val="0"/>
              <w:rPr>
                <w:sz w:val="22"/>
              </w:rPr>
            </w:pPr>
            <w:r w:rsidRPr="00051498">
              <w:rPr>
                <w:rFonts w:eastAsia="Times New Roman"/>
                <w:sz w:val="22"/>
              </w:rPr>
              <w:t>Kvalitetsprogram for campusutvikling (videreføres)</w:t>
            </w:r>
          </w:p>
        </w:tc>
      </w:tr>
    </w:tbl>
    <w:p w14:paraId="18743175" w14:textId="77777777" w:rsidR="002D3CED" w:rsidRDefault="002D3CED" w:rsidP="002D3CED">
      <w:pPr>
        <w:autoSpaceDE w:val="0"/>
        <w:autoSpaceDN w:val="0"/>
        <w:adjustRightInd w:val="0"/>
        <w:rPr>
          <w:sz w:val="22"/>
          <w:szCs w:val="22"/>
        </w:rPr>
      </w:pPr>
    </w:p>
    <w:p w14:paraId="3C9A180A" w14:textId="77777777" w:rsidR="006B7EBA" w:rsidRDefault="006B7EBA" w:rsidP="006B7EBA">
      <w:pPr>
        <w:autoSpaceDE w:val="0"/>
        <w:autoSpaceDN w:val="0"/>
        <w:adjustRightInd w:val="0"/>
        <w:rPr>
          <w:sz w:val="22"/>
          <w:szCs w:val="22"/>
        </w:rPr>
      </w:pPr>
      <w:r>
        <w:rPr>
          <w:sz w:val="22"/>
          <w:szCs w:val="22"/>
        </w:rPr>
        <w:t xml:space="preserve">Forankret direkte i strategien eller i politikkene nevnt over foreslås det at vi de nærmeste årene arbeider med </w:t>
      </w:r>
      <w:r w:rsidR="00796959">
        <w:rPr>
          <w:sz w:val="22"/>
          <w:szCs w:val="22"/>
        </w:rPr>
        <w:t xml:space="preserve">9 utviklingsplaner og 4 langtidsplaner. </w:t>
      </w:r>
      <w:r>
        <w:rPr>
          <w:sz w:val="22"/>
          <w:szCs w:val="22"/>
        </w:rPr>
        <w:t>De fleste av utviklingsplanene er tverrfaglige og krever samarbeid på tvers av virksomhetsområder og nivåer. De er allikevel forankret hos en av prorektorene eller direktørene.</w:t>
      </w:r>
    </w:p>
    <w:p w14:paraId="7E991CDC" w14:textId="77777777" w:rsidR="006B7EBA" w:rsidRDefault="006B7EBA" w:rsidP="006B7EBA">
      <w:pPr>
        <w:autoSpaceDE w:val="0"/>
        <w:autoSpaceDN w:val="0"/>
        <w:adjustRightInd w:val="0"/>
        <w:rPr>
          <w:sz w:val="22"/>
          <w:szCs w:val="22"/>
        </w:rPr>
      </w:pPr>
    </w:p>
    <w:p w14:paraId="52F50CF8" w14:textId="77777777" w:rsidR="00FD5A93" w:rsidRDefault="00FD5A93" w:rsidP="00FD5A93">
      <w:pPr>
        <w:autoSpaceDE w:val="0"/>
        <w:autoSpaceDN w:val="0"/>
        <w:adjustRightInd w:val="0"/>
        <w:rPr>
          <w:sz w:val="22"/>
          <w:szCs w:val="22"/>
        </w:rPr>
      </w:pPr>
    </w:p>
    <w:tbl>
      <w:tblPr>
        <w:tblStyle w:val="GridTable4-Accent3"/>
        <w:tblW w:w="0" w:type="auto"/>
        <w:tblLook w:val="0420" w:firstRow="1" w:lastRow="0" w:firstColumn="0" w:lastColumn="0" w:noHBand="0" w:noVBand="1"/>
      </w:tblPr>
      <w:tblGrid>
        <w:gridCol w:w="2634"/>
        <w:gridCol w:w="7165"/>
      </w:tblGrid>
      <w:tr w:rsidR="00FD5A93" w14:paraId="20FFF55B" w14:textId="77777777" w:rsidTr="00FD1E46">
        <w:trPr>
          <w:cnfStyle w:val="100000000000" w:firstRow="1" w:lastRow="0" w:firstColumn="0" w:lastColumn="0" w:oddVBand="0" w:evenVBand="0" w:oddHBand="0" w:evenHBand="0" w:firstRowFirstColumn="0" w:firstRowLastColumn="0" w:lastRowFirstColumn="0" w:lastRowLastColumn="0"/>
        </w:trPr>
        <w:tc>
          <w:tcPr>
            <w:tcW w:w="1555" w:type="dxa"/>
          </w:tcPr>
          <w:p w14:paraId="1DFF7969" w14:textId="77777777" w:rsidR="00FD5A93" w:rsidRDefault="00FD5A93" w:rsidP="00FD1E46">
            <w:pPr>
              <w:autoSpaceDE w:val="0"/>
              <w:autoSpaceDN w:val="0"/>
              <w:adjustRightInd w:val="0"/>
              <w:rPr>
                <w:sz w:val="22"/>
              </w:rPr>
            </w:pPr>
            <w:r>
              <w:rPr>
                <w:sz w:val="22"/>
              </w:rPr>
              <w:t>Eier</w:t>
            </w:r>
          </w:p>
        </w:tc>
        <w:tc>
          <w:tcPr>
            <w:tcW w:w="8244" w:type="dxa"/>
          </w:tcPr>
          <w:p w14:paraId="6CE17986" w14:textId="77777777" w:rsidR="00FD5A93" w:rsidRDefault="00FD5A93" w:rsidP="00FD5A93">
            <w:pPr>
              <w:autoSpaceDE w:val="0"/>
              <w:autoSpaceDN w:val="0"/>
              <w:adjustRightInd w:val="0"/>
              <w:rPr>
                <w:sz w:val="22"/>
              </w:rPr>
            </w:pPr>
            <w:r>
              <w:rPr>
                <w:sz w:val="22"/>
              </w:rPr>
              <w:t>Dokument (utviklings- og langtidsplaner)</w:t>
            </w:r>
          </w:p>
        </w:tc>
      </w:tr>
      <w:tr w:rsidR="00FD5A93" w14:paraId="26C48F59" w14:textId="77777777" w:rsidTr="00FD1E46">
        <w:trPr>
          <w:cnfStyle w:val="000000100000" w:firstRow="0" w:lastRow="0" w:firstColumn="0" w:lastColumn="0" w:oddVBand="0" w:evenVBand="0" w:oddHBand="1" w:evenHBand="0" w:firstRowFirstColumn="0" w:firstRowLastColumn="0" w:lastRowFirstColumn="0" w:lastRowLastColumn="0"/>
        </w:trPr>
        <w:tc>
          <w:tcPr>
            <w:tcW w:w="1555" w:type="dxa"/>
          </w:tcPr>
          <w:p w14:paraId="16745849" w14:textId="77777777" w:rsidR="00FD5A93" w:rsidRPr="00051498" w:rsidRDefault="00FD5A93" w:rsidP="00FD1E46">
            <w:pPr>
              <w:autoSpaceDE w:val="0"/>
              <w:autoSpaceDN w:val="0"/>
              <w:adjustRightInd w:val="0"/>
              <w:rPr>
                <w:sz w:val="22"/>
              </w:rPr>
            </w:pPr>
            <w:r w:rsidRPr="00051498">
              <w:rPr>
                <w:sz w:val="22"/>
              </w:rPr>
              <w:t>Rektor</w:t>
            </w:r>
          </w:p>
        </w:tc>
        <w:tc>
          <w:tcPr>
            <w:tcW w:w="8244" w:type="dxa"/>
          </w:tcPr>
          <w:p w14:paraId="086BB327" w14:textId="77777777" w:rsidR="00FD5A93" w:rsidRDefault="00FD5A93" w:rsidP="00FD1E46">
            <w:pPr>
              <w:autoSpaceDE w:val="0"/>
              <w:autoSpaceDN w:val="0"/>
              <w:adjustRightInd w:val="0"/>
              <w:rPr>
                <w:sz w:val="22"/>
              </w:rPr>
            </w:pPr>
          </w:p>
        </w:tc>
      </w:tr>
      <w:tr w:rsidR="00FD5A93" w14:paraId="3C9B63E0" w14:textId="77777777" w:rsidTr="00FD1E46">
        <w:tc>
          <w:tcPr>
            <w:tcW w:w="1555" w:type="dxa"/>
          </w:tcPr>
          <w:p w14:paraId="5DBC1B4D" w14:textId="77777777" w:rsidR="00FD5A93" w:rsidRPr="00051498" w:rsidRDefault="00FD5A93" w:rsidP="00FD1E46">
            <w:pPr>
              <w:autoSpaceDE w:val="0"/>
              <w:autoSpaceDN w:val="0"/>
              <w:adjustRightInd w:val="0"/>
              <w:rPr>
                <w:sz w:val="22"/>
              </w:rPr>
            </w:pPr>
            <w:r w:rsidRPr="00051498">
              <w:rPr>
                <w:rFonts w:eastAsia="Times New Roman"/>
                <w:bCs/>
                <w:sz w:val="22"/>
              </w:rPr>
              <w:t>Utdanning</w:t>
            </w:r>
          </w:p>
        </w:tc>
        <w:tc>
          <w:tcPr>
            <w:tcW w:w="8244" w:type="dxa"/>
          </w:tcPr>
          <w:p w14:paraId="14704E3D" w14:textId="77777777" w:rsidR="00AE38E5" w:rsidRPr="00AE38E5" w:rsidRDefault="00AE38E5" w:rsidP="00AE38E5">
            <w:pPr>
              <w:autoSpaceDE w:val="0"/>
              <w:autoSpaceDN w:val="0"/>
              <w:adjustRightInd w:val="0"/>
              <w:rPr>
                <w:sz w:val="22"/>
              </w:rPr>
            </w:pPr>
            <w:r w:rsidRPr="00AE38E5">
              <w:rPr>
                <w:sz w:val="22"/>
              </w:rPr>
              <w:t>Utviklingsplan for studieporteføljen</w:t>
            </w:r>
            <w:r>
              <w:rPr>
                <w:sz w:val="22"/>
              </w:rPr>
              <w:t xml:space="preserve"> (forlengelse)</w:t>
            </w:r>
          </w:p>
          <w:p w14:paraId="337637E7" w14:textId="77777777" w:rsidR="00AE38E5" w:rsidRDefault="00AE38E5" w:rsidP="00FD1E46">
            <w:pPr>
              <w:autoSpaceDE w:val="0"/>
              <w:autoSpaceDN w:val="0"/>
              <w:adjustRightInd w:val="0"/>
              <w:rPr>
                <w:sz w:val="22"/>
              </w:rPr>
            </w:pPr>
            <w:r w:rsidRPr="00AE38E5">
              <w:rPr>
                <w:sz w:val="22"/>
              </w:rPr>
              <w:t>Utviklingsplan for læringsmiljø og undervisningsstøtte</w:t>
            </w:r>
            <w:r>
              <w:rPr>
                <w:sz w:val="22"/>
              </w:rPr>
              <w:t xml:space="preserve"> (ny)</w:t>
            </w:r>
          </w:p>
          <w:p w14:paraId="594B662B" w14:textId="77777777" w:rsidR="00FD5A93" w:rsidRDefault="00AE38E5" w:rsidP="00FD1E46">
            <w:pPr>
              <w:autoSpaceDE w:val="0"/>
              <w:autoSpaceDN w:val="0"/>
              <w:adjustRightInd w:val="0"/>
              <w:rPr>
                <w:sz w:val="22"/>
              </w:rPr>
            </w:pPr>
            <w:r>
              <w:rPr>
                <w:sz w:val="22"/>
              </w:rPr>
              <w:t>Langtidsplan for undervisningsinfrastruktur (ny)</w:t>
            </w:r>
            <w:r w:rsidRPr="00AE38E5">
              <w:rPr>
                <w:sz w:val="22"/>
              </w:rPr>
              <w:t xml:space="preserve"> </w:t>
            </w:r>
          </w:p>
        </w:tc>
      </w:tr>
      <w:tr w:rsidR="00FD5A93" w14:paraId="2F3BC253" w14:textId="77777777" w:rsidTr="00FD1E46">
        <w:trPr>
          <w:cnfStyle w:val="000000100000" w:firstRow="0" w:lastRow="0" w:firstColumn="0" w:lastColumn="0" w:oddVBand="0" w:evenVBand="0" w:oddHBand="1" w:evenHBand="0" w:firstRowFirstColumn="0" w:firstRowLastColumn="0" w:lastRowFirstColumn="0" w:lastRowLastColumn="0"/>
        </w:trPr>
        <w:tc>
          <w:tcPr>
            <w:tcW w:w="1555" w:type="dxa"/>
          </w:tcPr>
          <w:p w14:paraId="30536390" w14:textId="77777777" w:rsidR="00FD5A93" w:rsidRPr="00051498" w:rsidRDefault="00FD5A93" w:rsidP="00FD1E46">
            <w:pPr>
              <w:autoSpaceDE w:val="0"/>
              <w:autoSpaceDN w:val="0"/>
              <w:adjustRightInd w:val="0"/>
              <w:rPr>
                <w:sz w:val="22"/>
              </w:rPr>
            </w:pPr>
            <w:r w:rsidRPr="00051498">
              <w:rPr>
                <w:rFonts w:eastAsia="Times New Roman"/>
                <w:bCs/>
                <w:sz w:val="22"/>
              </w:rPr>
              <w:t>Forskning</w:t>
            </w:r>
          </w:p>
        </w:tc>
        <w:tc>
          <w:tcPr>
            <w:tcW w:w="8244" w:type="dxa"/>
          </w:tcPr>
          <w:p w14:paraId="0A1F6754" w14:textId="77777777" w:rsidR="00FD5A93" w:rsidRDefault="00AE38E5" w:rsidP="00AE38E5">
            <w:pPr>
              <w:autoSpaceDE w:val="0"/>
              <w:autoSpaceDN w:val="0"/>
              <w:adjustRightInd w:val="0"/>
              <w:rPr>
                <w:sz w:val="22"/>
              </w:rPr>
            </w:pPr>
            <w:r>
              <w:rPr>
                <w:sz w:val="22"/>
              </w:rPr>
              <w:t>Utviklingsplan for internasjonalisering (</w:t>
            </w:r>
            <w:r w:rsidRPr="00AE38E5">
              <w:rPr>
                <w:sz w:val="22"/>
              </w:rPr>
              <w:t>Internasjonal handlingsplan</w:t>
            </w:r>
            <w:r>
              <w:rPr>
                <w:sz w:val="22"/>
              </w:rPr>
              <w:t>) (nylig vedtatt)</w:t>
            </w:r>
            <w:r w:rsidRPr="00AE38E5">
              <w:rPr>
                <w:sz w:val="22"/>
              </w:rPr>
              <w:t xml:space="preserve"> </w:t>
            </w:r>
          </w:p>
          <w:p w14:paraId="71CBB716" w14:textId="77777777" w:rsidR="00AE38E5" w:rsidRDefault="00AE38E5" w:rsidP="00AE38E5">
            <w:pPr>
              <w:autoSpaceDE w:val="0"/>
              <w:autoSpaceDN w:val="0"/>
              <w:adjustRightInd w:val="0"/>
              <w:rPr>
                <w:sz w:val="22"/>
              </w:rPr>
            </w:pPr>
            <w:r>
              <w:rPr>
                <w:sz w:val="22"/>
              </w:rPr>
              <w:t>Langtidsplan for forskningsinfrastruktur (ny)</w:t>
            </w:r>
          </w:p>
        </w:tc>
      </w:tr>
      <w:tr w:rsidR="00FD5A93" w14:paraId="0259A62F" w14:textId="77777777" w:rsidTr="00FD1E46">
        <w:tc>
          <w:tcPr>
            <w:tcW w:w="1555" w:type="dxa"/>
          </w:tcPr>
          <w:p w14:paraId="229AC365" w14:textId="77777777" w:rsidR="00FD5A93" w:rsidRPr="00051498" w:rsidRDefault="00FD5A93" w:rsidP="00FD1E46">
            <w:pPr>
              <w:autoSpaceDE w:val="0"/>
              <w:autoSpaceDN w:val="0"/>
              <w:adjustRightInd w:val="0"/>
              <w:rPr>
                <w:sz w:val="22"/>
              </w:rPr>
            </w:pPr>
            <w:r w:rsidRPr="00051498">
              <w:rPr>
                <w:rFonts w:eastAsia="Times New Roman"/>
                <w:bCs/>
                <w:sz w:val="22"/>
              </w:rPr>
              <w:t>Nyskaping</w:t>
            </w:r>
          </w:p>
        </w:tc>
        <w:tc>
          <w:tcPr>
            <w:tcW w:w="8244" w:type="dxa"/>
          </w:tcPr>
          <w:p w14:paraId="2646B9FB" w14:textId="77777777" w:rsidR="00FD5A93" w:rsidRDefault="00AE38E5" w:rsidP="00FD1E46">
            <w:pPr>
              <w:autoSpaceDE w:val="0"/>
              <w:autoSpaceDN w:val="0"/>
              <w:adjustRightInd w:val="0"/>
              <w:rPr>
                <w:sz w:val="22"/>
              </w:rPr>
            </w:pPr>
            <w:r w:rsidRPr="00AE38E5">
              <w:rPr>
                <w:sz w:val="22"/>
              </w:rPr>
              <w:t>Utviklingsplan for økt samspill, innovasjon og samfunnseffekt</w:t>
            </w:r>
            <w:r>
              <w:rPr>
                <w:sz w:val="22"/>
              </w:rPr>
              <w:t xml:space="preserve"> (samling av pågående initiativ)</w:t>
            </w:r>
          </w:p>
        </w:tc>
      </w:tr>
      <w:tr w:rsidR="00FD5A93" w14:paraId="468F1251" w14:textId="77777777" w:rsidTr="00FD1E46">
        <w:trPr>
          <w:cnfStyle w:val="000000100000" w:firstRow="0" w:lastRow="0" w:firstColumn="0" w:lastColumn="0" w:oddVBand="0" w:evenVBand="0" w:oddHBand="1" w:evenHBand="0" w:firstRowFirstColumn="0" w:firstRowLastColumn="0" w:lastRowFirstColumn="0" w:lastRowLastColumn="0"/>
        </w:trPr>
        <w:tc>
          <w:tcPr>
            <w:tcW w:w="1555" w:type="dxa"/>
          </w:tcPr>
          <w:p w14:paraId="4448FDF0" w14:textId="77777777" w:rsidR="00FD5A93" w:rsidRPr="00051498" w:rsidRDefault="00FD5A93" w:rsidP="00FD1E46">
            <w:pPr>
              <w:autoSpaceDE w:val="0"/>
              <w:autoSpaceDN w:val="0"/>
              <w:adjustRightInd w:val="0"/>
              <w:rPr>
                <w:sz w:val="22"/>
              </w:rPr>
            </w:pPr>
            <w:r w:rsidRPr="00051498">
              <w:rPr>
                <w:rFonts w:eastAsia="Times New Roman"/>
                <w:bCs/>
                <w:sz w:val="22"/>
              </w:rPr>
              <w:t>HR/Personal/Organisasjon:</w:t>
            </w:r>
          </w:p>
          <w:p w14:paraId="3F42C81E" w14:textId="77777777" w:rsidR="00FD5A93" w:rsidRPr="00051498" w:rsidRDefault="00FD5A93" w:rsidP="00FD1E46">
            <w:pPr>
              <w:autoSpaceDE w:val="0"/>
              <w:autoSpaceDN w:val="0"/>
              <w:adjustRightInd w:val="0"/>
              <w:rPr>
                <w:bCs/>
                <w:sz w:val="22"/>
              </w:rPr>
            </w:pPr>
          </w:p>
        </w:tc>
        <w:tc>
          <w:tcPr>
            <w:tcW w:w="8244" w:type="dxa"/>
          </w:tcPr>
          <w:p w14:paraId="0003EEE9" w14:textId="77777777" w:rsidR="00AE38E5" w:rsidRPr="00AE38E5" w:rsidRDefault="00AE38E5" w:rsidP="00AE38E5">
            <w:pPr>
              <w:autoSpaceDE w:val="0"/>
              <w:autoSpaceDN w:val="0"/>
              <w:adjustRightInd w:val="0"/>
              <w:rPr>
                <w:sz w:val="22"/>
              </w:rPr>
            </w:pPr>
            <w:r w:rsidRPr="00AE38E5">
              <w:rPr>
                <w:sz w:val="22"/>
              </w:rPr>
              <w:t>Utviklingsplan for digitalisering og prosessutvikling</w:t>
            </w:r>
            <w:r>
              <w:rPr>
                <w:sz w:val="22"/>
              </w:rPr>
              <w:t xml:space="preserve"> (ny)</w:t>
            </w:r>
          </w:p>
          <w:p w14:paraId="31F1031D" w14:textId="77777777" w:rsidR="00AE38E5" w:rsidRPr="00AE38E5" w:rsidRDefault="00AE38E5" w:rsidP="00AE38E5">
            <w:pPr>
              <w:autoSpaceDE w:val="0"/>
              <w:autoSpaceDN w:val="0"/>
              <w:adjustRightInd w:val="0"/>
              <w:rPr>
                <w:sz w:val="22"/>
              </w:rPr>
            </w:pPr>
            <w:r w:rsidRPr="00AE38E5">
              <w:rPr>
                <w:sz w:val="22"/>
              </w:rPr>
              <w:t>Utviklingsplan for ledelses- og kompetanseutvikling</w:t>
            </w:r>
            <w:r>
              <w:rPr>
                <w:sz w:val="22"/>
              </w:rPr>
              <w:t xml:space="preserve"> (ny)</w:t>
            </w:r>
          </w:p>
          <w:p w14:paraId="0611384C" w14:textId="77777777" w:rsidR="00FD5A93" w:rsidRDefault="00AE38E5" w:rsidP="00AE38E5">
            <w:pPr>
              <w:autoSpaceDE w:val="0"/>
              <w:autoSpaceDN w:val="0"/>
              <w:adjustRightInd w:val="0"/>
              <w:rPr>
                <w:sz w:val="22"/>
              </w:rPr>
            </w:pPr>
            <w:r w:rsidRPr="00AE38E5">
              <w:rPr>
                <w:sz w:val="22"/>
              </w:rPr>
              <w:t xml:space="preserve">Handlingsplan for likestilling og mangfold </w:t>
            </w:r>
            <w:r>
              <w:rPr>
                <w:sz w:val="22"/>
              </w:rPr>
              <w:t>(videreføring)</w:t>
            </w:r>
          </w:p>
          <w:p w14:paraId="5DA964DB" w14:textId="77777777" w:rsidR="00AE38E5" w:rsidRPr="00051498" w:rsidRDefault="00AE38E5" w:rsidP="00AE38E5">
            <w:pPr>
              <w:autoSpaceDE w:val="0"/>
              <w:autoSpaceDN w:val="0"/>
              <w:adjustRightInd w:val="0"/>
              <w:rPr>
                <w:sz w:val="22"/>
              </w:rPr>
            </w:pPr>
            <w:r>
              <w:rPr>
                <w:sz w:val="22"/>
              </w:rPr>
              <w:t>Langtidsplan for IKT-infrastruktur (ny)</w:t>
            </w:r>
          </w:p>
        </w:tc>
      </w:tr>
      <w:tr w:rsidR="00FD5A93" w14:paraId="04744A86" w14:textId="77777777" w:rsidTr="00FD1E46">
        <w:tc>
          <w:tcPr>
            <w:tcW w:w="1555" w:type="dxa"/>
          </w:tcPr>
          <w:p w14:paraId="79BE8D08" w14:textId="77777777" w:rsidR="00FD5A93" w:rsidRPr="00051498" w:rsidRDefault="00FD5A93" w:rsidP="00FD1E46">
            <w:pPr>
              <w:autoSpaceDE w:val="0"/>
              <w:autoSpaceDN w:val="0"/>
              <w:adjustRightInd w:val="0"/>
              <w:rPr>
                <w:bCs/>
                <w:sz w:val="22"/>
              </w:rPr>
            </w:pPr>
            <w:r w:rsidRPr="00051498">
              <w:rPr>
                <w:rFonts w:eastAsia="Times New Roman"/>
                <w:bCs/>
                <w:sz w:val="22"/>
              </w:rPr>
              <w:t>Økonomi/Eiendom:</w:t>
            </w:r>
          </w:p>
        </w:tc>
        <w:tc>
          <w:tcPr>
            <w:tcW w:w="8244" w:type="dxa"/>
          </w:tcPr>
          <w:p w14:paraId="1E35636B" w14:textId="77777777" w:rsidR="00AE38E5" w:rsidRDefault="00AE38E5" w:rsidP="00AE38E5">
            <w:pPr>
              <w:autoSpaceDE w:val="0"/>
              <w:autoSpaceDN w:val="0"/>
              <w:adjustRightInd w:val="0"/>
              <w:rPr>
                <w:sz w:val="22"/>
              </w:rPr>
            </w:pPr>
            <w:r w:rsidRPr="00AE38E5">
              <w:rPr>
                <w:sz w:val="22"/>
              </w:rPr>
              <w:t>Utviklingsplan for systematisk beslutningsstøtte</w:t>
            </w:r>
            <w:r>
              <w:rPr>
                <w:sz w:val="22"/>
              </w:rPr>
              <w:t xml:space="preserve"> (samling av pågående initiativ)</w:t>
            </w:r>
          </w:p>
          <w:p w14:paraId="0133CEED" w14:textId="77777777" w:rsidR="00FD5A93" w:rsidRDefault="00AE38E5" w:rsidP="00FD1E46">
            <w:pPr>
              <w:autoSpaceDE w:val="0"/>
              <w:autoSpaceDN w:val="0"/>
              <w:adjustRightInd w:val="0"/>
              <w:rPr>
                <w:sz w:val="22"/>
              </w:rPr>
            </w:pPr>
            <w:r>
              <w:rPr>
                <w:sz w:val="22"/>
              </w:rPr>
              <w:t>Utviklingsplan for NTNUs miljøambisjon (under revisjon</w:t>
            </w:r>
            <w:r w:rsidRPr="00AE38E5">
              <w:rPr>
                <w:sz w:val="22"/>
              </w:rPr>
              <w:t>)</w:t>
            </w:r>
          </w:p>
          <w:p w14:paraId="3B95FF6A" w14:textId="77777777" w:rsidR="00AE38E5" w:rsidRPr="00051498" w:rsidRDefault="00AE38E5" w:rsidP="00FD1E46">
            <w:pPr>
              <w:autoSpaceDE w:val="0"/>
              <w:autoSpaceDN w:val="0"/>
              <w:adjustRightInd w:val="0"/>
              <w:rPr>
                <w:sz w:val="22"/>
              </w:rPr>
            </w:pPr>
            <w:r>
              <w:rPr>
                <w:sz w:val="22"/>
              </w:rPr>
              <w:t>Langtidsplan for bygg (etablert, årlig revisjon)</w:t>
            </w:r>
          </w:p>
        </w:tc>
      </w:tr>
    </w:tbl>
    <w:p w14:paraId="7C5B9A6B" w14:textId="77777777" w:rsidR="00FD5A93" w:rsidRDefault="00FD5A93" w:rsidP="00FD5A93">
      <w:pPr>
        <w:autoSpaceDE w:val="0"/>
        <w:autoSpaceDN w:val="0"/>
        <w:adjustRightInd w:val="0"/>
        <w:rPr>
          <w:sz w:val="22"/>
          <w:szCs w:val="22"/>
        </w:rPr>
      </w:pPr>
    </w:p>
    <w:p w14:paraId="17D220DF" w14:textId="77777777" w:rsidR="00796959" w:rsidRDefault="00796959" w:rsidP="00796959">
      <w:pPr>
        <w:autoSpaceDE w:val="0"/>
        <w:autoSpaceDN w:val="0"/>
        <w:adjustRightInd w:val="0"/>
        <w:rPr>
          <w:sz w:val="22"/>
          <w:szCs w:val="22"/>
        </w:rPr>
      </w:pPr>
    </w:p>
    <w:p w14:paraId="7343D20A" w14:textId="77777777" w:rsidR="00796959" w:rsidRDefault="00796959" w:rsidP="002F2A43">
      <w:pPr>
        <w:rPr>
          <w:sz w:val="22"/>
          <w:szCs w:val="22"/>
        </w:rPr>
      </w:pPr>
    </w:p>
    <w:sectPr w:rsidR="00796959" w:rsidSect="00050B96">
      <w:headerReference w:type="even" r:id="rId21"/>
      <w:headerReference w:type="default" r:id="rId22"/>
      <w:footerReference w:type="even" r:id="rId23"/>
      <w:footerReference w:type="default" r:id="rId24"/>
      <w:pgSz w:w="11907" w:h="16840" w:code="9"/>
      <w:pgMar w:top="284" w:right="851" w:bottom="992" w:left="1247" w:header="624"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B681" w14:textId="77777777" w:rsidR="0068411D" w:rsidRDefault="0068411D" w:rsidP="00303C81">
      <w:r>
        <w:separator/>
      </w:r>
    </w:p>
    <w:p w14:paraId="50C24968" w14:textId="77777777" w:rsidR="0068411D" w:rsidRDefault="0068411D" w:rsidP="00303C81"/>
    <w:p w14:paraId="4886ECC1" w14:textId="77777777" w:rsidR="0068411D" w:rsidRDefault="0068411D" w:rsidP="00303C81"/>
    <w:p w14:paraId="7B357702" w14:textId="77777777" w:rsidR="0068411D" w:rsidRDefault="0068411D" w:rsidP="00303C81"/>
    <w:p w14:paraId="4D239232" w14:textId="77777777" w:rsidR="0068411D" w:rsidRDefault="0068411D" w:rsidP="00303C81"/>
    <w:p w14:paraId="68AC556A" w14:textId="77777777" w:rsidR="0068411D" w:rsidRDefault="0068411D" w:rsidP="00303C81"/>
    <w:p w14:paraId="3655A7C3" w14:textId="77777777" w:rsidR="0068411D" w:rsidRDefault="0068411D" w:rsidP="00303C81"/>
    <w:p w14:paraId="0F11BF08" w14:textId="77777777" w:rsidR="0068411D" w:rsidRDefault="0068411D" w:rsidP="00303C81"/>
    <w:p w14:paraId="36DA4B8E" w14:textId="77777777" w:rsidR="0068411D" w:rsidRDefault="0068411D" w:rsidP="00303C81"/>
  </w:endnote>
  <w:endnote w:type="continuationSeparator" w:id="0">
    <w:p w14:paraId="377D83A6" w14:textId="77777777" w:rsidR="0068411D" w:rsidRDefault="0068411D" w:rsidP="00303C81">
      <w:r>
        <w:continuationSeparator/>
      </w:r>
    </w:p>
    <w:p w14:paraId="6530508B" w14:textId="77777777" w:rsidR="0068411D" w:rsidRDefault="0068411D" w:rsidP="00303C81"/>
    <w:p w14:paraId="098ECB27" w14:textId="77777777" w:rsidR="0068411D" w:rsidRDefault="0068411D" w:rsidP="00303C81"/>
    <w:p w14:paraId="461444CD" w14:textId="77777777" w:rsidR="0068411D" w:rsidRDefault="0068411D" w:rsidP="00303C81"/>
    <w:p w14:paraId="12A037B4" w14:textId="77777777" w:rsidR="0068411D" w:rsidRDefault="0068411D" w:rsidP="00303C81"/>
    <w:p w14:paraId="2785B5F4" w14:textId="77777777" w:rsidR="0068411D" w:rsidRDefault="0068411D" w:rsidP="00303C81"/>
    <w:p w14:paraId="4FA22902" w14:textId="77777777" w:rsidR="0068411D" w:rsidRDefault="0068411D" w:rsidP="00303C81"/>
    <w:p w14:paraId="1B0C03A0" w14:textId="77777777" w:rsidR="0068411D" w:rsidRDefault="0068411D" w:rsidP="00303C81"/>
    <w:p w14:paraId="36F3D90F" w14:textId="77777777" w:rsidR="0068411D" w:rsidRDefault="0068411D" w:rsidP="00303C81"/>
  </w:endnote>
  <w:endnote w:type="continuationNotice" w:id="1">
    <w:p w14:paraId="3D5C87F0" w14:textId="77777777" w:rsidR="0068411D" w:rsidRDefault="0068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4685" w14:textId="77777777" w:rsidR="0068411D" w:rsidRDefault="0068411D" w:rsidP="00E06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5041B" w14:textId="77777777" w:rsidR="0068411D" w:rsidRDefault="0068411D" w:rsidP="00C117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4B51" w14:textId="46B8CCB8" w:rsidR="0068411D" w:rsidRDefault="0068411D" w:rsidP="77A404A7">
    <w:pPr>
      <w:pStyle w:val="Footer"/>
      <w:framePr w:wrap="around" w:vAnchor="text" w:hAnchor="margin" w:xAlign="right" w:y="1"/>
      <w:rPr>
        <w:rStyle w:val="PageNumber"/>
      </w:rPr>
    </w:pPr>
    <w:r w:rsidRPr="77A404A7">
      <w:rPr>
        <w:rStyle w:val="PageNumber"/>
        <w:noProof/>
      </w:rPr>
      <w:fldChar w:fldCharType="begin"/>
    </w:r>
    <w:r w:rsidRPr="77A404A7">
      <w:rPr>
        <w:rStyle w:val="PageNumber"/>
        <w:noProof/>
      </w:rPr>
      <w:instrText xml:space="preserve">PAGE  </w:instrText>
    </w:r>
    <w:r w:rsidRPr="77A404A7">
      <w:rPr>
        <w:rStyle w:val="PageNumber"/>
        <w:noProof/>
      </w:rPr>
      <w:fldChar w:fldCharType="separate"/>
    </w:r>
    <w:r w:rsidR="0013655E">
      <w:rPr>
        <w:rStyle w:val="PageNumber"/>
        <w:noProof/>
      </w:rPr>
      <w:t>24</w:t>
    </w:r>
    <w:r w:rsidRPr="77A404A7">
      <w:rPr>
        <w:rStyle w:val="PageNumber"/>
        <w:noProof/>
      </w:rPr>
      <w:fldChar w:fldCharType="end"/>
    </w:r>
    <w:r w:rsidRPr="77A404A7">
      <w:rPr>
        <w:rStyle w:val="PageNumber"/>
      </w:rPr>
      <w:t xml:space="preserve"> av </w:t>
    </w:r>
    <w:r w:rsidRPr="77A404A7">
      <w:rPr>
        <w:rStyle w:val="PageNumber"/>
        <w:noProof/>
      </w:rPr>
      <w:fldChar w:fldCharType="begin"/>
    </w:r>
    <w:r w:rsidRPr="77A404A7">
      <w:rPr>
        <w:rStyle w:val="PageNumber"/>
        <w:noProof/>
      </w:rPr>
      <w:instrText xml:space="preserve"> NUMPAGES </w:instrText>
    </w:r>
    <w:r w:rsidRPr="77A404A7">
      <w:rPr>
        <w:rStyle w:val="PageNumber"/>
        <w:noProof/>
      </w:rPr>
      <w:fldChar w:fldCharType="separate"/>
    </w:r>
    <w:r w:rsidR="0013655E">
      <w:rPr>
        <w:rStyle w:val="PageNumber"/>
        <w:noProof/>
      </w:rPr>
      <w:t>24</w:t>
    </w:r>
    <w:r w:rsidRPr="77A404A7">
      <w:rPr>
        <w:rStyle w:val="PageNumber"/>
        <w:noProof/>
      </w:rPr>
      <w:fldChar w:fldCharType="end"/>
    </w:r>
  </w:p>
  <w:p w14:paraId="706D4301" w14:textId="77777777" w:rsidR="0068411D" w:rsidRPr="00380F3B" w:rsidRDefault="0068411D" w:rsidP="00C117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399DA" w14:textId="77777777" w:rsidR="0068411D" w:rsidRDefault="0068411D" w:rsidP="00303C81">
      <w:r>
        <w:separator/>
      </w:r>
    </w:p>
    <w:p w14:paraId="63520761" w14:textId="77777777" w:rsidR="0068411D" w:rsidRDefault="0068411D" w:rsidP="00303C81"/>
    <w:p w14:paraId="5CF1F425" w14:textId="77777777" w:rsidR="0068411D" w:rsidRDefault="0068411D" w:rsidP="00303C81"/>
    <w:p w14:paraId="49301C76" w14:textId="77777777" w:rsidR="0068411D" w:rsidRDefault="0068411D" w:rsidP="00303C81"/>
    <w:p w14:paraId="55C0BFB8" w14:textId="77777777" w:rsidR="0068411D" w:rsidRDefault="0068411D" w:rsidP="00303C81"/>
    <w:p w14:paraId="5E87E26A" w14:textId="77777777" w:rsidR="0068411D" w:rsidRDefault="0068411D" w:rsidP="00303C81"/>
    <w:p w14:paraId="1E05DDEB" w14:textId="77777777" w:rsidR="0068411D" w:rsidRDefault="0068411D" w:rsidP="00303C81"/>
    <w:p w14:paraId="621F38F1" w14:textId="77777777" w:rsidR="0068411D" w:rsidRDefault="0068411D" w:rsidP="00303C81"/>
    <w:p w14:paraId="62D854B5" w14:textId="77777777" w:rsidR="0068411D" w:rsidRDefault="0068411D" w:rsidP="00303C81"/>
  </w:footnote>
  <w:footnote w:type="continuationSeparator" w:id="0">
    <w:p w14:paraId="696B14A0" w14:textId="77777777" w:rsidR="0068411D" w:rsidRDefault="0068411D" w:rsidP="00303C81">
      <w:r>
        <w:continuationSeparator/>
      </w:r>
    </w:p>
    <w:p w14:paraId="4C0326F3" w14:textId="77777777" w:rsidR="0068411D" w:rsidRDefault="0068411D" w:rsidP="00303C81"/>
    <w:p w14:paraId="2FFA168A" w14:textId="77777777" w:rsidR="0068411D" w:rsidRDefault="0068411D" w:rsidP="00303C81"/>
    <w:p w14:paraId="283F72F1" w14:textId="77777777" w:rsidR="0068411D" w:rsidRDefault="0068411D" w:rsidP="00303C81"/>
    <w:p w14:paraId="252953FB" w14:textId="77777777" w:rsidR="0068411D" w:rsidRDefault="0068411D" w:rsidP="00303C81"/>
    <w:p w14:paraId="3D878226" w14:textId="77777777" w:rsidR="0068411D" w:rsidRDefault="0068411D" w:rsidP="00303C81"/>
    <w:p w14:paraId="1298CDF7" w14:textId="77777777" w:rsidR="0068411D" w:rsidRDefault="0068411D" w:rsidP="00303C81"/>
    <w:p w14:paraId="0B222E43" w14:textId="77777777" w:rsidR="0068411D" w:rsidRDefault="0068411D" w:rsidP="00303C81"/>
    <w:p w14:paraId="3955764A" w14:textId="77777777" w:rsidR="0068411D" w:rsidRDefault="0068411D" w:rsidP="00303C81"/>
  </w:footnote>
  <w:footnote w:type="continuationNotice" w:id="1">
    <w:p w14:paraId="25706F5E" w14:textId="77777777" w:rsidR="0068411D" w:rsidRDefault="006841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7228" w14:textId="77777777" w:rsidR="0068411D" w:rsidRDefault="0068411D" w:rsidP="00303C81"/>
  <w:p w14:paraId="31236909" w14:textId="77777777" w:rsidR="0068411D" w:rsidRDefault="0068411D" w:rsidP="00303C81"/>
  <w:p w14:paraId="36814587" w14:textId="77777777" w:rsidR="0068411D" w:rsidRDefault="0068411D" w:rsidP="00303C81"/>
  <w:p w14:paraId="18551BEB" w14:textId="77777777" w:rsidR="0068411D" w:rsidRDefault="0068411D" w:rsidP="00303C81"/>
  <w:p w14:paraId="141CD1FA" w14:textId="77777777" w:rsidR="0068411D" w:rsidRDefault="0068411D" w:rsidP="00303C81"/>
  <w:p w14:paraId="30B021DD" w14:textId="77777777" w:rsidR="0068411D" w:rsidRDefault="0068411D" w:rsidP="00303C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4621" w14:textId="77777777" w:rsidR="0068411D" w:rsidRDefault="0068411D" w:rsidP="00303C8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C37"/>
    <w:multiLevelType w:val="hybridMultilevel"/>
    <w:tmpl w:val="5ACCA78E"/>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7F49A5"/>
    <w:multiLevelType w:val="hybridMultilevel"/>
    <w:tmpl w:val="24D8DC92"/>
    <w:lvl w:ilvl="0" w:tplc="73808A60">
      <w:start w:val="1"/>
      <w:numFmt w:val="bullet"/>
      <w:lvlText w:val="•"/>
      <w:lvlJc w:val="left"/>
      <w:pPr>
        <w:tabs>
          <w:tab w:val="num" w:pos="720"/>
        </w:tabs>
        <w:ind w:left="720" w:hanging="360"/>
      </w:pPr>
      <w:rPr>
        <w:rFonts w:ascii="Arial" w:hAnsi="Arial" w:hint="default"/>
      </w:rPr>
    </w:lvl>
    <w:lvl w:ilvl="1" w:tplc="F1F0201C" w:tentative="1">
      <w:start w:val="1"/>
      <w:numFmt w:val="bullet"/>
      <w:lvlText w:val="•"/>
      <w:lvlJc w:val="left"/>
      <w:pPr>
        <w:tabs>
          <w:tab w:val="num" w:pos="1440"/>
        </w:tabs>
        <w:ind w:left="1440" w:hanging="360"/>
      </w:pPr>
      <w:rPr>
        <w:rFonts w:ascii="Arial" w:hAnsi="Arial" w:hint="default"/>
      </w:rPr>
    </w:lvl>
    <w:lvl w:ilvl="2" w:tplc="34062542" w:tentative="1">
      <w:start w:val="1"/>
      <w:numFmt w:val="bullet"/>
      <w:lvlText w:val="•"/>
      <w:lvlJc w:val="left"/>
      <w:pPr>
        <w:tabs>
          <w:tab w:val="num" w:pos="2160"/>
        </w:tabs>
        <w:ind w:left="2160" w:hanging="360"/>
      </w:pPr>
      <w:rPr>
        <w:rFonts w:ascii="Arial" w:hAnsi="Arial" w:hint="default"/>
      </w:rPr>
    </w:lvl>
    <w:lvl w:ilvl="3" w:tplc="AE2695D0" w:tentative="1">
      <w:start w:val="1"/>
      <w:numFmt w:val="bullet"/>
      <w:lvlText w:val="•"/>
      <w:lvlJc w:val="left"/>
      <w:pPr>
        <w:tabs>
          <w:tab w:val="num" w:pos="2880"/>
        </w:tabs>
        <w:ind w:left="2880" w:hanging="360"/>
      </w:pPr>
      <w:rPr>
        <w:rFonts w:ascii="Arial" w:hAnsi="Arial" w:hint="default"/>
      </w:rPr>
    </w:lvl>
    <w:lvl w:ilvl="4" w:tplc="C96E0922" w:tentative="1">
      <w:start w:val="1"/>
      <w:numFmt w:val="bullet"/>
      <w:lvlText w:val="•"/>
      <w:lvlJc w:val="left"/>
      <w:pPr>
        <w:tabs>
          <w:tab w:val="num" w:pos="3600"/>
        </w:tabs>
        <w:ind w:left="3600" w:hanging="360"/>
      </w:pPr>
      <w:rPr>
        <w:rFonts w:ascii="Arial" w:hAnsi="Arial" w:hint="default"/>
      </w:rPr>
    </w:lvl>
    <w:lvl w:ilvl="5" w:tplc="B60C9D68" w:tentative="1">
      <w:start w:val="1"/>
      <w:numFmt w:val="bullet"/>
      <w:lvlText w:val="•"/>
      <w:lvlJc w:val="left"/>
      <w:pPr>
        <w:tabs>
          <w:tab w:val="num" w:pos="4320"/>
        </w:tabs>
        <w:ind w:left="4320" w:hanging="360"/>
      </w:pPr>
      <w:rPr>
        <w:rFonts w:ascii="Arial" w:hAnsi="Arial" w:hint="default"/>
      </w:rPr>
    </w:lvl>
    <w:lvl w:ilvl="6" w:tplc="4F3AF1D0" w:tentative="1">
      <w:start w:val="1"/>
      <w:numFmt w:val="bullet"/>
      <w:lvlText w:val="•"/>
      <w:lvlJc w:val="left"/>
      <w:pPr>
        <w:tabs>
          <w:tab w:val="num" w:pos="5040"/>
        </w:tabs>
        <w:ind w:left="5040" w:hanging="360"/>
      </w:pPr>
      <w:rPr>
        <w:rFonts w:ascii="Arial" w:hAnsi="Arial" w:hint="default"/>
      </w:rPr>
    </w:lvl>
    <w:lvl w:ilvl="7" w:tplc="791A6964" w:tentative="1">
      <w:start w:val="1"/>
      <w:numFmt w:val="bullet"/>
      <w:lvlText w:val="•"/>
      <w:lvlJc w:val="left"/>
      <w:pPr>
        <w:tabs>
          <w:tab w:val="num" w:pos="5760"/>
        </w:tabs>
        <w:ind w:left="5760" w:hanging="360"/>
      </w:pPr>
      <w:rPr>
        <w:rFonts w:ascii="Arial" w:hAnsi="Arial" w:hint="default"/>
      </w:rPr>
    </w:lvl>
    <w:lvl w:ilvl="8" w:tplc="A26A5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5679CA"/>
    <w:multiLevelType w:val="hybridMultilevel"/>
    <w:tmpl w:val="39584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4B0E7D"/>
    <w:multiLevelType w:val="multilevel"/>
    <w:tmpl w:val="42A2978C"/>
    <w:styleLink w:val="Sti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D4A96"/>
    <w:multiLevelType w:val="hybridMultilevel"/>
    <w:tmpl w:val="4BD0B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4A45674"/>
    <w:multiLevelType w:val="hybridMultilevel"/>
    <w:tmpl w:val="E40C5A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5B95D07"/>
    <w:multiLevelType w:val="hybridMultilevel"/>
    <w:tmpl w:val="4DA4E8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5F70F8"/>
    <w:multiLevelType w:val="multilevel"/>
    <w:tmpl w:val="81820122"/>
    <w:lvl w:ilvl="0">
      <w:start w:val="1"/>
      <w:numFmt w:val="decimal"/>
      <w:lvlText w:val="%1"/>
      <w:lvlJc w:val="left"/>
      <w:pPr>
        <w:tabs>
          <w:tab w:val="num" w:pos="432"/>
        </w:tabs>
        <w:ind w:left="432" w:hanging="432"/>
      </w:pPr>
      <w:rPr>
        <w:rFonts w:hint="default"/>
        <w:b/>
        <w:sz w:val="28"/>
      </w:rPr>
    </w:lvl>
    <w:lvl w:ilvl="1">
      <w:start w:val="1"/>
      <w:numFmt w:val="decimal"/>
      <w:pStyle w:val="Heading2"/>
      <w:lvlText w:val="%1.%2"/>
      <w:lvlJc w:val="left"/>
      <w:pPr>
        <w:tabs>
          <w:tab w:val="num" w:pos="576"/>
        </w:tabs>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CD64EAD"/>
    <w:multiLevelType w:val="hybridMultilevel"/>
    <w:tmpl w:val="2640C2E6"/>
    <w:lvl w:ilvl="0" w:tplc="6F767236">
      <w:start w:val="1"/>
      <w:numFmt w:val="bullet"/>
      <w:lvlText w:val="•"/>
      <w:lvlJc w:val="left"/>
      <w:pPr>
        <w:tabs>
          <w:tab w:val="num" w:pos="720"/>
        </w:tabs>
        <w:ind w:left="720" w:hanging="360"/>
      </w:pPr>
      <w:rPr>
        <w:rFonts w:ascii="Arial" w:hAnsi="Arial" w:hint="default"/>
      </w:rPr>
    </w:lvl>
    <w:lvl w:ilvl="1" w:tplc="08A064C4" w:tentative="1">
      <w:start w:val="1"/>
      <w:numFmt w:val="bullet"/>
      <w:lvlText w:val="•"/>
      <w:lvlJc w:val="left"/>
      <w:pPr>
        <w:tabs>
          <w:tab w:val="num" w:pos="1440"/>
        </w:tabs>
        <w:ind w:left="1440" w:hanging="360"/>
      </w:pPr>
      <w:rPr>
        <w:rFonts w:ascii="Arial" w:hAnsi="Arial" w:hint="default"/>
      </w:rPr>
    </w:lvl>
    <w:lvl w:ilvl="2" w:tplc="17FEB382" w:tentative="1">
      <w:start w:val="1"/>
      <w:numFmt w:val="bullet"/>
      <w:lvlText w:val="•"/>
      <w:lvlJc w:val="left"/>
      <w:pPr>
        <w:tabs>
          <w:tab w:val="num" w:pos="2160"/>
        </w:tabs>
        <w:ind w:left="2160" w:hanging="360"/>
      </w:pPr>
      <w:rPr>
        <w:rFonts w:ascii="Arial" w:hAnsi="Arial" w:hint="default"/>
      </w:rPr>
    </w:lvl>
    <w:lvl w:ilvl="3" w:tplc="2DD8353A" w:tentative="1">
      <w:start w:val="1"/>
      <w:numFmt w:val="bullet"/>
      <w:lvlText w:val="•"/>
      <w:lvlJc w:val="left"/>
      <w:pPr>
        <w:tabs>
          <w:tab w:val="num" w:pos="2880"/>
        </w:tabs>
        <w:ind w:left="2880" w:hanging="360"/>
      </w:pPr>
      <w:rPr>
        <w:rFonts w:ascii="Arial" w:hAnsi="Arial" w:hint="default"/>
      </w:rPr>
    </w:lvl>
    <w:lvl w:ilvl="4" w:tplc="848EE158" w:tentative="1">
      <w:start w:val="1"/>
      <w:numFmt w:val="bullet"/>
      <w:lvlText w:val="•"/>
      <w:lvlJc w:val="left"/>
      <w:pPr>
        <w:tabs>
          <w:tab w:val="num" w:pos="3600"/>
        </w:tabs>
        <w:ind w:left="3600" w:hanging="360"/>
      </w:pPr>
      <w:rPr>
        <w:rFonts w:ascii="Arial" w:hAnsi="Arial" w:hint="default"/>
      </w:rPr>
    </w:lvl>
    <w:lvl w:ilvl="5" w:tplc="9C62019C" w:tentative="1">
      <w:start w:val="1"/>
      <w:numFmt w:val="bullet"/>
      <w:lvlText w:val="•"/>
      <w:lvlJc w:val="left"/>
      <w:pPr>
        <w:tabs>
          <w:tab w:val="num" w:pos="4320"/>
        </w:tabs>
        <w:ind w:left="4320" w:hanging="360"/>
      </w:pPr>
      <w:rPr>
        <w:rFonts w:ascii="Arial" w:hAnsi="Arial" w:hint="default"/>
      </w:rPr>
    </w:lvl>
    <w:lvl w:ilvl="6" w:tplc="3DDC9392" w:tentative="1">
      <w:start w:val="1"/>
      <w:numFmt w:val="bullet"/>
      <w:lvlText w:val="•"/>
      <w:lvlJc w:val="left"/>
      <w:pPr>
        <w:tabs>
          <w:tab w:val="num" w:pos="5040"/>
        </w:tabs>
        <w:ind w:left="5040" w:hanging="360"/>
      </w:pPr>
      <w:rPr>
        <w:rFonts w:ascii="Arial" w:hAnsi="Arial" w:hint="default"/>
      </w:rPr>
    </w:lvl>
    <w:lvl w:ilvl="7" w:tplc="DEF640F2" w:tentative="1">
      <w:start w:val="1"/>
      <w:numFmt w:val="bullet"/>
      <w:lvlText w:val="•"/>
      <w:lvlJc w:val="left"/>
      <w:pPr>
        <w:tabs>
          <w:tab w:val="num" w:pos="5760"/>
        </w:tabs>
        <w:ind w:left="5760" w:hanging="360"/>
      </w:pPr>
      <w:rPr>
        <w:rFonts w:ascii="Arial" w:hAnsi="Arial" w:hint="default"/>
      </w:rPr>
    </w:lvl>
    <w:lvl w:ilvl="8" w:tplc="062AD8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3A3244"/>
    <w:multiLevelType w:val="multilevel"/>
    <w:tmpl w:val="9050E458"/>
    <w:lvl w:ilvl="0">
      <w:start w:val="1"/>
      <w:numFmt w:val="decimal"/>
      <w:lvlText w:val="%1."/>
      <w:lvlJc w:val="left"/>
      <w:pPr>
        <w:ind w:left="445" w:hanging="360"/>
      </w:pPr>
    </w:lvl>
    <w:lvl w:ilvl="1">
      <w:start w:val="4"/>
      <w:numFmt w:val="decimal"/>
      <w:isLgl/>
      <w:lvlText w:val="%1.%2"/>
      <w:lvlJc w:val="left"/>
      <w:pPr>
        <w:ind w:left="1156" w:hanging="855"/>
      </w:pPr>
      <w:rPr>
        <w:rFonts w:hint="default"/>
      </w:rPr>
    </w:lvl>
    <w:lvl w:ilvl="2">
      <w:start w:val="1"/>
      <w:numFmt w:val="decimal"/>
      <w:isLgl/>
      <w:lvlText w:val="%1.%2.%3"/>
      <w:lvlJc w:val="left"/>
      <w:pPr>
        <w:ind w:left="1372" w:hanging="855"/>
      </w:pPr>
      <w:rPr>
        <w:rFonts w:hint="default"/>
      </w:rPr>
    </w:lvl>
    <w:lvl w:ilvl="3">
      <w:start w:val="1"/>
      <w:numFmt w:val="decimal"/>
      <w:isLgl/>
      <w:lvlText w:val="%1.%2.%3.%4"/>
      <w:lvlJc w:val="left"/>
      <w:pPr>
        <w:ind w:left="1588" w:hanging="855"/>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3037" w:hanging="1440"/>
      </w:pPr>
      <w:rPr>
        <w:rFonts w:hint="default"/>
      </w:rPr>
    </w:lvl>
    <w:lvl w:ilvl="8">
      <w:start w:val="1"/>
      <w:numFmt w:val="decimal"/>
      <w:isLgl/>
      <w:lvlText w:val="%1.%2.%3.%4.%5.%6.%7.%8.%9"/>
      <w:lvlJc w:val="left"/>
      <w:pPr>
        <w:ind w:left="3613" w:hanging="1800"/>
      </w:pPr>
      <w:rPr>
        <w:rFonts w:hint="default"/>
      </w:rPr>
    </w:lvl>
  </w:abstractNum>
  <w:abstractNum w:abstractNumId="10" w15:restartNumberingAfterBreak="0">
    <w:nsid w:val="358B4128"/>
    <w:multiLevelType w:val="hybridMultilevel"/>
    <w:tmpl w:val="C3402A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7E86DD5"/>
    <w:multiLevelType w:val="hybridMultilevel"/>
    <w:tmpl w:val="BA223D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7F90519"/>
    <w:multiLevelType w:val="hybridMultilevel"/>
    <w:tmpl w:val="6DB080D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3B422549"/>
    <w:multiLevelType w:val="hybridMultilevel"/>
    <w:tmpl w:val="2A9C2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0EF5C79"/>
    <w:multiLevelType w:val="hybridMultilevel"/>
    <w:tmpl w:val="A4C2178E"/>
    <w:lvl w:ilvl="0" w:tplc="0090CE6A">
      <w:start w:val="1"/>
      <w:numFmt w:val="bullet"/>
      <w:lvlText w:val="•"/>
      <w:lvlJc w:val="left"/>
      <w:pPr>
        <w:tabs>
          <w:tab w:val="num" w:pos="720"/>
        </w:tabs>
        <w:ind w:left="720" w:hanging="360"/>
      </w:pPr>
      <w:rPr>
        <w:rFonts w:ascii="Arial" w:hAnsi="Arial" w:hint="default"/>
      </w:rPr>
    </w:lvl>
    <w:lvl w:ilvl="1" w:tplc="3E9A07F4" w:tentative="1">
      <w:start w:val="1"/>
      <w:numFmt w:val="bullet"/>
      <w:lvlText w:val="•"/>
      <w:lvlJc w:val="left"/>
      <w:pPr>
        <w:tabs>
          <w:tab w:val="num" w:pos="1440"/>
        </w:tabs>
        <w:ind w:left="1440" w:hanging="360"/>
      </w:pPr>
      <w:rPr>
        <w:rFonts w:ascii="Arial" w:hAnsi="Arial" w:hint="default"/>
      </w:rPr>
    </w:lvl>
    <w:lvl w:ilvl="2" w:tplc="8716B876" w:tentative="1">
      <w:start w:val="1"/>
      <w:numFmt w:val="bullet"/>
      <w:lvlText w:val="•"/>
      <w:lvlJc w:val="left"/>
      <w:pPr>
        <w:tabs>
          <w:tab w:val="num" w:pos="2160"/>
        </w:tabs>
        <w:ind w:left="2160" w:hanging="360"/>
      </w:pPr>
      <w:rPr>
        <w:rFonts w:ascii="Arial" w:hAnsi="Arial" w:hint="default"/>
      </w:rPr>
    </w:lvl>
    <w:lvl w:ilvl="3" w:tplc="0CD838C2" w:tentative="1">
      <w:start w:val="1"/>
      <w:numFmt w:val="bullet"/>
      <w:lvlText w:val="•"/>
      <w:lvlJc w:val="left"/>
      <w:pPr>
        <w:tabs>
          <w:tab w:val="num" w:pos="2880"/>
        </w:tabs>
        <w:ind w:left="2880" w:hanging="360"/>
      </w:pPr>
      <w:rPr>
        <w:rFonts w:ascii="Arial" w:hAnsi="Arial" w:hint="default"/>
      </w:rPr>
    </w:lvl>
    <w:lvl w:ilvl="4" w:tplc="D36C645A" w:tentative="1">
      <w:start w:val="1"/>
      <w:numFmt w:val="bullet"/>
      <w:lvlText w:val="•"/>
      <w:lvlJc w:val="left"/>
      <w:pPr>
        <w:tabs>
          <w:tab w:val="num" w:pos="3600"/>
        </w:tabs>
        <w:ind w:left="3600" w:hanging="360"/>
      </w:pPr>
      <w:rPr>
        <w:rFonts w:ascii="Arial" w:hAnsi="Arial" w:hint="default"/>
      </w:rPr>
    </w:lvl>
    <w:lvl w:ilvl="5" w:tplc="486A7632" w:tentative="1">
      <w:start w:val="1"/>
      <w:numFmt w:val="bullet"/>
      <w:lvlText w:val="•"/>
      <w:lvlJc w:val="left"/>
      <w:pPr>
        <w:tabs>
          <w:tab w:val="num" w:pos="4320"/>
        </w:tabs>
        <w:ind w:left="4320" w:hanging="360"/>
      </w:pPr>
      <w:rPr>
        <w:rFonts w:ascii="Arial" w:hAnsi="Arial" w:hint="default"/>
      </w:rPr>
    </w:lvl>
    <w:lvl w:ilvl="6" w:tplc="BA5C035E" w:tentative="1">
      <w:start w:val="1"/>
      <w:numFmt w:val="bullet"/>
      <w:lvlText w:val="•"/>
      <w:lvlJc w:val="left"/>
      <w:pPr>
        <w:tabs>
          <w:tab w:val="num" w:pos="5040"/>
        </w:tabs>
        <w:ind w:left="5040" w:hanging="360"/>
      </w:pPr>
      <w:rPr>
        <w:rFonts w:ascii="Arial" w:hAnsi="Arial" w:hint="default"/>
      </w:rPr>
    </w:lvl>
    <w:lvl w:ilvl="7" w:tplc="9C503F16" w:tentative="1">
      <w:start w:val="1"/>
      <w:numFmt w:val="bullet"/>
      <w:lvlText w:val="•"/>
      <w:lvlJc w:val="left"/>
      <w:pPr>
        <w:tabs>
          <w:tab w:val="num" w:pos="5760"/>
        </w:tabs>
        <w:ind w:left="5760" w:hanging="360"/>
      </w:pPr>
      <w:rPr>
        <w:rFonts w:ascii="Arial" w:hAnsi="Arial" w:hint="default"/>
      </w:rPr>
    </w:lvl>
    <w:lvl w:ilvl="8" w:tplc="B48263A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7206DF"/>
    <w:multiLevelType w:val="hybridMultilevel"/>
    <w:tmpl w:val="A680ED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517BFD"/>
    <w:multiLevelType w:val="hybridMultilevel"/>
    <w:tmpl w:val="E78CA424"/>
    <w:lvl w:ilvl="0" w:tplc="04140001">
      <w:start w:val="1"/>
      <w:numFmt w:val="bullet"/>
      <w:lvlText w:val=""/>
      <w:lvlJc w:val="left"/>
      <w:pPr>
        <w:ind w:left="445" w:hanging="360"/>
      </w:pPr>
      <w:rPr>
        <w:rFonts w:ascii="Symbol" w:hAnsi="Symbol"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17" w15:restartNumberingAfterBreak="0">
    <w:nsid w:val="458C3EEC"/>
    <w:multiLevelType w:val="multilevel"/>
    <w:tmpl w:val="47C0113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8A5707"/>
    <w:multiLevelType w:val="hybridMultilevel"/>
    <w:tmpl w:val="C1C8A6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B425607"/>
    <w:multiLevelType w:val="hybridMultilevel"/>
    <w:tmpl w:val="1A8604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5A266DF"/>
    <w:multiLevelType w:val="hybridMultilevel"/>
    <w:tmpl w:val="9ABA7684"/>
    <w:lvl w:ilvl="0" w:tplc="2850E940">
      <w:start w:val="1"/>
      <w:numFmt w:val="bullet"/>
      <w:lvlText w:val="•"/>
      <w:lvlJc w:val="left"/>
      <w:pPr>
        <w:tabs>
          <w:tab w:val="num" w:pos="720"/>
        </w:tabs>
        <w:ind w:left="720" w:hanging="360"/>
      </w:pPr>
      <w:rPr>
        <w:rFonts w:ascii="Arial" w:hAnsi="Arial" w:hint="default"/>
      </w:rPr>
    </w:lvl>
    <w:lvl w:ilvl="1" w:tplc="DCA8BE5E" w:tentative="1">
      <w:start w:val="1"/>
      <w:numFmt w:val="bullet"/>
      <w:lvlText w:val="•"/>
      <w:lvlJc w:val="left"/>
      <w:pPr>
        <w:tabs>
          <w:tab w:val="num" w:pos="1440"/>
        </w:tabs>
        <w:ind w:left="1440" w:hanging="360"/>
      </w:pPr>
      <w:rPr>
        <w:rFonts w:ascii="Arial" w:hAnsi="Arial" w:hint="default"/>
      </w:rPr>
    </w:lvl>
    <w:lvl w:ilvl="2" w:tplc="C4C06E74" w:tentative="1">
      <w:start w:val="1"/>
      <w:numFmt w:val="bullet"/>
      <w:lvlText w:val="•"/>
      <w:lvlJc w:val="left"/>
      <w:pPr>
        <w:tabs>
          <w:tab w:val="num" w:pos="2160"/>
        </w:tabs>
        <w:ind w:left="2160" w:hanging="360"/>
      </w:pPr>
      <w:rPr>
        <w:rFonts w:ascii="Arial" w:hAnsi="Arial" w:hint="default"/>
      </w:rPr>
    </w:lvl>
    <w:lvl w:ilvl="3" w:tplc="DC46F288" w:tentative="1">
      <w:start w:val="1"/>
      <w:numFmt w:val="bullet"/>
      <w:lvlText w:val="•"/>
      <w:lvlJc w:val="left"/>
      <w:pPr>
        <w:tabs>
          <w:tab w:val="num" w:pos="2880"/>
        </w:tabs>
        <w:ind w:left="2880" w:hanging="360"/>
      </w:pPr>
      <w:rPr>
        <w:rFonts w:ascii="Arial" w:hAnsi="Arial" w:hint="default"/>
      </w:rPr>
    </w:lvl>
    <w:lvl w:ilvl="4" w:tplc="E1BCAD3C" w:tentative="1">
      <w:start w:val="1"/>
      <w:numFmt w:val="bullet"/>
      <w:lvlText w:val="•"/>
      <w:lvlJc w:val="left"/>
      <w:pPr>
        <w:tabs>
          <w:tab w:val="num" w:pos="3600"/>
        </w:tabs>
        <w:ind w:left="3600" w:hanging="360"/>
      </w:pPr>
      <w:rPr>
        <w:rFonts w:ascii="Arial" w:hAnsi="Arial" w:hint="default"/>
      </w:rPr>
    </w:lvl>
    <w:lvl w:ilvl="5" w:tplc="4D32E4A2" w:tentative="1">
      <w:start w:val="1"/>
      <w:numFmt w:val="bullet"/>
      <w:lvlText w:val="•"/>
      <w:lvlJc w:val="left"/>
      <w:pPr>
        <w:tabs>
          <w:tab w:val="num" w:pos="4320"/>
        </w:tabs>
        <w:ind w:left="4320" w:hanging="360"/>
      </w:pPr>
      <w:rPr>
        <w:rFonts w:ascii="Arial" w:hAnsi="Arial" w:hint="default"/>
      </w:rPr>
    </w:lvl>
    <w:lvl w:ilvl="6" w:tplc="97FAD580" w:tentative="1">
      <w:start w:val="1"/>
      <w:numFmt w:val="bullet"/>
      <w:lvlText w:val="•"/>
      <w:lvlJc w:val="left"/>
      <w:pPr>
        <w:tabs>
          <w:tab w:val="num" w:pos="5040"/>
        </w:tabs>
        <w:ind w:left="5040" w:hanging="360"/>
      </w:pPr>
      <w:rPr>
        <w:rFonts w:ascii="Arial" w:hAnsi="Arial" w:hint="default"/>
      </w:rPr>
    </w:lvl>
    <w:lvl w:ilvl="7" w:tplc="19924642" w:tentative="1">
      <w:start w:val="1"/>
      <w:numFmt w:val="bullet"/>
      <w:lvlText w:val="•"/>
      <w:lvlJc w:val="left"/>
      <w:pPr>
        <w:tabs>
          <w:tab w:val="num" w:pos="5760"/>
        </w:tabs>
        <w:ind w:left="5760" w:hanging="360"/>
      </w:pPr>
      <w:rPr>
        <w:rFonts w:ascii="Arial" w:hAnsi="Arial" w:hint="default"/>
      </w:rPr>
    </w:lvl>
    <w:lvl w:ilvl="8" w:tplc="A6F6CE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D0426B"/>
    <w:multiLevelType w:val="hybridMultilevel"/>
    <w:tmpl w:val="A2783D82"/>
    <w:lvl w:ilvl="0" w:tplc="2C3EB23E">
      <w:start w:val="1"/>
      <w:numFmt w:val="bullet"/>
      <w:lvlText w:val="•"/>
      <w:lvlJc w:val="left"/>
      <w:pPr>
        <w:tabs>
          <w:tab w:val="num" w:pos="360"/>
        </w:tabs>
        <w:ind w:left="360" w:hanging="360"/>
      </w:pPr>
      <w:rPr>
        <w:rFonts w:ascii="Arial" w:hAnsi="Arial" w:hint="default"/>
      </w:rPr>
    </w:lvl>
    <w:lvl w:ilvl="1" w:tplc="91DC472A" w:tentative="1">
      <w:start w:val="1"/>
      <w:numFmt w:val="bullet"/>
      <w:lvlText w:val="•"/>
      <w:lvlJc w:val="left"/>
      <w:pPr>
        <w:tabs>
          <w:tab w:val="num" w:pos="1080"/>
        </w:tabs>
        <w:ind w:left="1080" w:hanging="360"/>
      </w:pPr>
      <w:rPr>
        <w:rFonts w:ascii="Arial" w:hAnsi="Arial" w:hint="default"/>
      </w:rPr>
    </w:lvl>
    <w:lvl w:ilvl="2" w:tplc="7C8A2428" w:tentative="1">
      <w:start w:val="1"/>
      <w:numFmt w:val="bullet"/>
      <w:lvlText w:val="•"/>
      <w:lvlJc w:val="left"/>
      <w:pPr>
        <w:tabs>
          <w:tab w:val="num" w:pos="1800"/>
        </w:tabs>
        <w:ind w:left="1800" w:hanging="360"/>
      </w:pPr>
      <w:rPr>
        <w:rFonts w:ascii="Arial" w:hAnsi="Arial" w:hint="default"/>
      </w:rPr>
    </w:lvl>
    <w:lvl w:ilvl="3" w:tplc="80C43C72" w:tentative="1">
      <w:start w:val="1"/>
      <w:numFmt w:val="bullet"/>
      <w:lvlText w:val="•"/>
      <w:lvlJc w:val="left"/>
      <w:pPr>
        <w:tabs>
          <w:tab w:val="num" w:pos="2520"/>
        </w:tabs>
        <w:ind w:left="2520" w:hanging="360"/>
      </w:pPr>
      <w:rPr>
        <w:rFonts w:ascii="Arial" w:hAnsi="Arial" w:hint="default"/>
      </w:rPr>
    </w:lvl>
    <w:lvl w:ilvl="4" w:tplc="4DAC44D4" w:tentative="1">
      <w:start w:val="1"/>
      <w:numFmt w:val="bullet"/>
      <w:lvlText w:val="•"/>
      <w:lvlJc w:val="left"/>
      <w:pPr>
        <w:tabs>
          <w:tab w:val="num" w:pos="3240"/>
        </w:tabs>
        <w:ind w:left="3240" w:hanging="360"/>
      </w:pPr>
      <w:rPr>
        <w:rFonts w:ascii="Arial" w:hAnsi="Arial" w:hint="default"/>
      </w:rPr>
    </w:lvl>
    <w:lvl w:ilvl="5" w:tplc="0D886ADA" w:tentative="1">
      <w:start w:val="1"/>
      <w:numFmt w:val="bullet"/>
      <w:lvlText w:val="•"/>
      <w:lvlJc w:val="left"/>
      <w:pPr>
        <w:tabs>
          <w:tab w:val="num" w:pos="3960"/>
        </w:tabs>
        <w:ind w:left="3960" w:hanging="360"/>
      </w:pPr>
      <w:rPr>
        <w:rFonts w:ascii="Arial" w:hAnsi="Arial" w:hint="default"/>
      </w:rPr>
    </w:lvl>
    <w:lvl w:ilvl="6" w:tplc="B8F8853E" w:tentative="1">
      <w:start w:val="1"/>
      <w:numFmt w:val="bullet"/>
      <w:lvlText w:val="•"/>
      <w:lvlJc w:val="left"/>
      <w:pPr>
        <w:tabs>
          <w:tab w:val="num" w:pos="4680"/>
        </w:tabs>
        <w:ind w:left="4680" w:hanging="360"/>
      </w:pPr>
      <w:rPr>
        <w:rFonts w:ascii="Arial" w:hAnsi="Arial" w:hint="default"/>
      </w:rPr>
    </w:lvl>
    <w:lvl w:ilvl="7" w:tplc="2728B006" w:tentative="1">
      <w:start w:val="1"/>
      <w:numFmt w:val="bullet"/>
      <w:lvlText w:val="•"/>
      <w:lvlJc w:val="left"/>
      <w:pPr>
        <w:tabs>
          <w:tab w:val="num" w:pos="5400"/>
        </w:tabs>
        <w:ind w:left="5400" w:hanging="360"/>
      </w:pPr>
      <w:rPr>
        <w:rFonts w:ascii="Arial" w:hAnsi="Arial" w:hint="default"/>
      </w:rPr>
    </w:lvl>
    <w:lvl w:ilvl="8" w:tplc="4E14B2F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9E90CC6"/>
    <w:multiLevelType w:val="hybridMultilevel"/>
    <w:tmpl w:val="6A907378"/>
    <w:lvl w:ilvl="0" w:tplc="04140001">
      <w:start w:val="1"/>
      <w:numFmt w:val="bullet"/>
      <w:lvlText w:val=""/>
      <w:lvlJc w:val="left"/>
      <w:pPr>
        <w:ind w:left="445" w:hanging="360"/>
      </w:pPr>
      <w:rPr>
        <w:rFonts w:ascii="Symbol" w:hAnsi="Symbol"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23" w15:restartNumberingAfterBreak="0">
    <w:nsid w:val="5A3B4412"/>
    <w:multiLevelType w:val="hybridMultilevel"/>
    <w:tmpl w:val="74FE9C94"/>
    <w:lvl w:ilvl="0" w:tplc="4DE82AB8">
      <w:start w:val="1"/>
      <w:numFmt w:val="bullet"/>
      <w:lvlText w:val="•"/>
      <w:lvlJc w:val="left"/>
      <w:pPr>
        <w:tabs>
          <w:tab w:val="num" w:pos="720"/>
        </w:tabs>
        <w:ind w:left="720" w:hanging="360"/>
      </w:pPr>
      <w:rPr>
        <w:rFonts w:ascii="Arial" w:hAnsi="Arial" w:hint="default"/>
      </w:rPr>
    </w:lvl>
    <w:lvl w:ilvl="1" w:tplc="3A10ED6E" w:tentative="1">
      <w:start w:val="1"/>
      <w:numFmt w:val="bullet"/>
      <w:lvlText w:val="•"/>
      <w:lvlJc w:val="left"/>
      <w:pPr>
        <w:tabs>
          <w:tab w:val="num" w:pos="1440"/>
        </w:tabs>
        <w:ind w:left="1440" w:hanging="360"/>
      </w:pPr>
      <w:rPr>
        <w:rFonts w:ascii="Arial" w:hAnsi="Arial" w:hint="default"/>
      </w:rPr>
    </w:lvl>
    <w:lvl w:ilvl="2" w:tplc="578CE7A0" w:tentative="1">
      <w:start w:val="1"/>
      <w:numFmt w:val="bullet"/>
      <w:lvlText w:val="•"/>
      <w:lvlJc w:val="left"/>
      <w:pPr>
        <w:tabs>
          <w:tab w:val="num" w:pos="2160"/>
        </w:tabs>
        <w:ind w:left="2160" w:hanging="360"/>
      </w:pPr>
      <w:rPr>
        <w:rFonts w:ascii="Arial" w:hAnsi="Arial" w:hint="default"/>
      </w:rPr>
    </w:lvl>
    <w:lvl w:ilvl="3" w:tplc="694C13A6" w:tentative="1">
      <w:start w:val="1"/>
      <w:numFmt w:val="bullet"/>
      <w:lvlText w:val="•"/>
      <w:lvlJc w:val="left"/>
      <w:pPr>
        <w:tabs>
          <w:tab w:val="num" w:pos="2880"/>
        </w:tabs>
        <w:ind w:left="2880" w:hanging="360"/>
      </w:pPr>
      <w:rPr>
        <w:rFonts w:ascii="Arial" w:hAnsi="Arial" w:hint="default"/>
      </w:rPr>
    </w:lvl>
    <w:lvl w:ilvl="4" w:tplc="206E6960" w:tentative="1">
      <w:start w:val="1"/>
      <w:numFmt w:val="bullet"/>
      <w:lvlText w:val="•"/>
      <w:lvlJc w:val="left"/>
      <w:pPr>
        <w:tabs>
          <w:tab w:val="num" w:pos="3600"/>
        </w:tabs>
        <w:ind w:left="3600" w:hanging="360"/>
      </w:pPr>
      <w:rPr>
        <w:rFonts w:ascii="Arial" w:hAnsi="Arial" w:hint="default"/>
      </w:rPr>
    </w:lvl>
    <w:lvl w:ilvl="5" w:tplc="EA30DC78" w:tentative="1">
      <w:start w:val="1"/>
      <w:numFmt w:val="bullet"/>
      <w:lvlText w:val="•"/>
      <w:lvlJc w:val="left"/>
      <w:pPr>
        <w:tabs>
          <w:tab w:val="num" w:pos="4320"/>
        </w:tabs>
        <w:ind w:left="4320" w:hanging="360"/>
      </w:pPr>
      <w:rPr>
        <w:rFonts w:ascii="Arial" w:hAnsi="Arial" w:hint="default"/>
      </w:rPr>
    </w:lvl>
    <w:lvl w:ilvl="6" w:tplc="90602F44" w:tentative="1">
      <w:start w:val="1"/>
      <w:numFmt w:val="bullet"/>
      <w:lvlText w:val="•"/>
      <w:lvlJc w:val="left"/>
      <w:pPr>
        <w:tabs>
          <w:tab w:val="num" w:pos="5040"/>
        </w:tabs>
        <w:ind w:left="5040" w:hanging="360"/>
      </w:pPr>
      <w:rPr>
        <w:rFonts w:ascii="Arial" w:hAnsi="Arial" w:hint="default"/>
      </w:rPr>
    </w:lvl>
    <w:lvl w:ilvl="7" w:tplc="AB6A6E9C" w:tentative="1">
      <w:start w:val="1"/>
      <w:numFmt w:val="bullet"/>
      <w:lvlText w:val="•"/>
      <w:lvlJc w:val="left"/>
      <w:pPr>
        <w:tabs>
          <w:tab w:val="num" w:pos="5760"/>
        </w:tabs>
        <w:ind w:left="5760" w:hanging="360"/>
      </w:pPr>
      <w:rPr>
        <w:rFonts w:ascii="Arial" w:hAnsi="Arial" w:hint="default"/>
      </w:rPr>
    </w:lvl>
    <w:lvl w:ilvl="8" w:tplc="D422D8B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4D2840"/>
    <w:multiLevelType w:val="hybridMultilevel"/>
    <w:tmpl w:val="A30CAF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B1F5F96"/>
    <w:multiLevelType w:val="hybridMultilevel"/>
    <w:tmpl w:val="99967466"/>
    <w:lvl w:ilvl="0" w:tplc="D4C0810E">
      <w:start w:val="1"/>
      <w:numFmt w:val="decimal"/>
      <w:lvlText w:val="%1."/>
      <w:lvlJc w:val="left"/>
      <w:pPr>
        <w:tabs>
          <w:tab w:val="num" w:pos="720"/>
        </w:tabs>
        <w:ind w:left="720" w:hanging="360"/>
      </w:pPr>
    </w:lvl>
    <w:lvl w:ilvl="1" w:tplc="6C7A0986" w:tentative="1">
      <w:start w:val="1"/>
      <w:numFmt w:val="decimal"/>
      <w:lvlText w:val="%2."/>
      <w:lvlJc w:val="left"/>
      <w:pPr>
        <w:tabs>
          <w:tab w:val="num" w:pos="1440"/>
        </w:tabs>
        <w:ind w:left="1440" w:hanging="360"/>
      </w:pPr>
    </w:lvl>
    <w:lvl w:ilvl="2" w:tplc="98D472EC" w:tentative="1">
      <w:start w:val="1"/>
      <w:numFmt w:val="decimal"/>
      <w:lvlText w:val="%3."/>
      <w:lvlJc w:val="left"/>
      <w:pPr>
        <w:tabs>
          <w:tab w:val="num" w:pos="2160"/>
        </w:tabs>
        <w:ind w:left="2160" w:hanging="360"/>
      </w:pPr>
    </w:lvl>
    <w:lvl w:ilvl="3" w:tplc="3572DBC4" w:tentative="1">
      <w:start w:val="1"/>
      <w:numFmt w:val="decimal"/>
      <w:lvlText w:val="%4."/>
      <w:lvlJc w:val="left"/>
      <w:pPr>
        <w:tabs>
          <w:tab w:val="num" w:pos="2880"/>
        </w:tabs>
        <w:ind w:left="2880" w:hanging="360"/>
      </w:pPr>
    </w:lvl>
    <w:lvl w:ilvl="4" w:tplc="800236E0" w:tentative="1">
      <w:start w:val="1"/>
      <w:numFmt w:val="decimal"/>
      <w:lvlText w:val="%5."/>
      <w:lvlJc w:val="left"/>
      <w:pPr>
        <w:tabs>
          <w:tab w:val="num" w:pos="3600"/>
        </w:tabs>
        <w:ind w:left="3600" w:hanging="360"/>
      </w:pPr>
    </w:lvl>
    <w:lvl w:ilvl="5" w:tplc="88B409C4" w:tentative="1">
      <w:start w:val="1"/>
      <w:numFmt w:val="decimal"/>
      <w:lvlText w:val="%6."/>
      <w:lvlJc w:val="left"/>
      <w:pPr>
        <w:tabs>
          <w:tab w:val="num" w:pos="4320"/>
        </w:tabs>
        <w:ind w:left="4320" w:hanging="360"/>
      </w:pPr>
    </w:lvl>
    <w:lvl w:ilvl="6" w:tplc="F95030DA" w:tentative="1">
      <w:start w:val="1"/>
      <w:numFmt w:val="decimal"/>
      <w:lvlText w:val="%7."/>
      <w:lvlJc w:val="left"/>
      <w:pPr>
        <w:tabs>
          <w:tab w:val="num" w:pos="5040"/>
        </w:tabs>
        <w:ind w:left="5040" w:hanging="360"/>
      </w:pPr>
    </w:lvl>
    <w:lvl w:ilvl="7" w:tplc="860ABCEA" w:tentative="1">
      <w:start w:val="1"/>
      <w:numFmt w:val="decimal"/>
      <w:lvlText w:val="%8."/>
      <w:lvlJc w:val="left"/>
      <w:pPr>
        <w:tabs>
          <w:tab w:val="num" w:pos="5760"/>
        </w:tabs>
        <w:ind w:left="5760" w:hanging="360"/>
      </w:pPr>
    </w:lvl>
    <w:lvl w:ilvl="8" w:tplc="12A2244E" w:tentative="1">
      <w:start w:val="1"/>
      <w:numFmt w:val="decimal"/>
      <w:lvlText w:val="%9."/>
      <w:lvlJc w:val="left"/>
      <w:pPr>
        <w:tabs>
          <w:tab w:val="num" w:pos="6480"/>
        </w:tabs>
        <w:ind w:left="6480" w:hanging="360"/>
      </w:pPr>
    </w:lvl>
  </w:abstractNum>
  <w:abstractNum w:abstractNumId="26" w15:restartNumberingAfterBreak="0">
    <w:nsid w:val="6F0A0F52"/>
    <w:multiLevelType w:val="hybridMultilevel"/>
    <w:tmpl w:val="CE2ADE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7070C21"/>
    <w:multiLevelType w:val="hybridMultilevel"/>
    <w:tmpl w:val="05142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25154C"/>
    <w:multiLevelType w:val="hybridMultilevel"/>
    <w:tmpl w:val="766439BC"/>
    <w:lvl w:ilvl="0" w:tplc="611CD2FE">
      <w:start w:val="1"/>
      <w:numFmt w:val="bullet"/>
      <w:pStyle w:val="punktliste"/>
      <w:lvlText w:val=""/>
      <w:lvlJc w:val="left"/>
      <w:pPr>
        <w:tabs>
          <w:tab w:val="num" w:pos="805"/>
        </w:tabs>
        <w:ind w:left="805" w:hanging="360"/>
      </w:pPr>
      <w:rPr>
        <w:rFonts w:ascii="Symbol" w:hAnsi="Symbol" w:hint="default"/>
      </w:rPr>
    </w:lvl>
    <w:lvl w:ilvl="1" w:tplc="04140003">
      <w:start w:val="1"/>
      <w:numFmt w:val="bullet"/>
      <w:lvlText w:val="o"/>
      <w:lvlJc w:val="left"/>
      <w:pPr>
        <w:tabs>
          <w:tab w:val="num" w:pos="1525"/>
        </w:tabs>
        <w:ind w:left="1525" w:hanging="360"/>
      </w:pPr>
      <w:rPr>
        <w:rFonts w:ascii="Courier New" w:hAnsi="Courier New" w:cs="Courier New" w:hint="default"/>
      </w:rPr>
    </w:lvl>
    <w:lvl w:ilvl="2" w:tplc="04140005" w:tentative="1">
      <w:start w:val="1"/>
      <w:numFmt w:val="bullet"/>
      <w:lvlText w:val=""/>
      <w:lvlJc w:val="left"/>
      <w:pPr>
        <w:tabs>
          <w:tab w:val="num" w:pos="2245"/>
        </w:tabs>
        <w:ind w:left="2245" w:hanging="360"/>
      </w:pPr>
      <w:rPr>
        <w:rFonts w:ascii="Wingdings" w:hAnsi="Wingdings" w:hint="default"/>
      </w:rPr>
    </w:lvl>
    <w:lvl w:ilvl="3" w:tplc="04140001" w:tentative="1">
      <w:start w:val="1"/>
      <w:numFmt w:val="bullet"/>
      <w:lvlText w:val=""/>
      <w:lvlJc w:val="left"/>
      <w:pPr>
        <w:tabs>
          <w:tab w:val="num" w:pos="2965"/>
        </w:tabs>
        <w:ind w:left="2965" w:hanging="360"/>
      </w:pPr>
      <w:rPr>
        <w:rFonts w:ascii="Symbol" w:hAnsi="Symbol" w:hint="default"/>
      </w:rPr>
    </w:lvl>
    <w:lvl w:ilvl="4" w:tplc="04140003" w:tentative="1">
      <w:start w:val="1"/>
      <w:numFmt w:val="bullet"/>
      <w:lvlText w:val="o"/>
      <w:lvlJc w:val="left"/>
      <w:pPr>
        <w:tabs>
          <w:tab w:val="num" w:pos="3685"/>
        </w:tabs>
        <w:ind w:left="3685" w:hanging="360"/>
      </w:pPr>
      <w:rPr>
        <w:rFonts w:ascii="Courier New" w:hAnsi="Courier New" w:cs="Courier New" w:hint="default"/>
      </w:rPr>
    </w:lvl>
    <w:lvl w:ilvl="5" w:tplc="04140005" w:tentative="1">
      <w:start w:val="1"/>
      <w:numFmt w:val="bullet"/>
      <w:lvlText w:val=""/>
      <w:lvlJc w:val="left"/>
      <w:pPr>
        <w:tabs>
          <w:tab w:val="num" w:pos="4405"/>
        </w:tabs>
        <w:ind w:left="4405" w:hanging="360"/>
      </w:pPr>
      <w:rPr>
        <w:rFonts w:ascii="Wingdings" w:hAnsi="Wingdings" w:hint="default"/>
      </w:rPr>
    </w:lvl>
    <w:lvl w:ilvl="6" w:tplc="04140001" w:tentative="1">
      <w:start w:val="1"/>
      <w:numFmt w:val="bullet"/>
      <w:lvlText w:val=""/>
      <w:lvlJc w:val="left"/>
      <w:pPr>
        <w:tabs>
          <w:tab w:val="num" w:pos="5125"/>
        </w:tabs>
        <w:ind w:left="5125" w:hanging="360"/>
      </w:pPr>
      <w:rPr>
        <w:rFonts w:ascii="Symbol" w:hAnsi="Symbol" w:hint="default"/>
      </w:rPr>
    </w:lvl>
    <w:lvl w:ilvl="7" w:tplc="04140003" w:tentative="1">
      <w:start w:val="1"/>
      <w:numFmt w:val="bullet"/>
      <w:lvlText w:val="o"/>
      <w:lvlJc w:val="left"/>
      <w:pPr>
        <w:tabs>
          <w:tab w:val="num" w:pos="5845"/>
        </w:tabs>
        <w:ind w:left="5845" w:hanging="360"/>
      </w:pPr>
      <w:rPr>
        <w:rFonts w:ascii="Courier New" w:hAnsi="Courier New" w:cs="Courier New" w:hint="default"/>
      </w:rPr>
    </w:lvl>
    <w:lvl w:ilvl="8" w:tplc="04140005" w:tentative="1">
      <w:start w:val="1"/>
      <w:numFmt w:val="bullet"/>
      <w:lvlText w:val=""/>
      <w:lvlJc w:val="left"/>
      <w:pPr>
        <w:tabs>
          <w:tab w:val="num" w:pos="6565"/>
        </w:tabs>
        <w:ind w:left="6565" w:hanging="360"/>
      </w:pPr>
      <w:rPr>
        <w:rFonts w:ascii="Wingdings" w:hAnsi="Wingdings" w:hint="default"/>
      </w:rPr>
    </w:lvl>
  </w:abstractNum>
  <w:abstractNum w:abstractNumId="29" w15:restartNumberingAfterBreak="0">
    <w:nsid w:val="7DEC1B8C"/>
    <w:multiLevelType w:val="hybridMultilevel"/>
    <w:tmpl w:val="05C264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FFE7E07"/>
    <w:multiLevelType w:val="multilevel"/>
    <w:tmpl w:val="6E343F9E"/>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0"/>
  </w:num>
  <w:num w:numId="2">
    <w:abstractNumId w:val="28"/>
  </w:num>
  <w:num w:numId="3">
    <w:abstractNumId w:val="7"/>
  </w:num>
  <w:num w:numId="4">
    <w:abstractNumId w:val="3"/>
  </w:num>
  <w:num w:numId="5">
    <w:abstractNumId w:val="9"/>
  </w:num>
  <w:num w:numId="6">
    <w:abstractNumId w:val="0"/>
  </w:num>
  <w:num w:numId="7">
    <w:abstractNumId w:val="22"/>
  </w:num>
  <w:num w:numId="8">
    <w:abstractNumId w:val="18"/>
  </w:num>
  <w:num w:numId="9">
    <w:abstractNumId w:val="24"/>
  </w:num>
  <w:num w:numId="10">
    <w:abstractNumId w:val="16"/>
  </w:num>
  <w:num w:numId="11">
    <w:abstractNumId w:val="11"/>
  </w:num>
  <w:num w:numId="12">
    <w:abstractNumId w:val="13"/>
  </w:num>
  <w:num w:numId="13">
    <w:abstractNumId w:val="17"/>
  </w:num>
  <w:num w:numId="14">
    <w:abstractNumId w:val="15"/>
  </w:num>
  <w:num w:numId="15">
    <w:abstractNumId w:val="10"/>
  </w:num>
  <w:num w:numId="16">
    <w:abstractNumId w:val="27"/>
  </w:num>
  <w:num w:numId="17">
    <w:abstractNumId w:val="12"/>
  </w:num>
  <w:num w:numId="18">
    <w:abstractNumId w:val="1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20"/>
  </w:num>
  <w:num w:numId="23">
    <w:abstractNumId w:val="14"/>
  </w:num>
  <w:num w:numId="24">
    <w:abstractNumId w:val="1"/>
  </w:num>
  <w:num w:numId="25">
    <w:abstractNumId w:val="21"/>
  </w:num>
  <w:num w:numId="26">
    <w:abstractNumId w:val="23"/>
  </w:num>
  <w:num w:numId="27">
    <w:abstractNumId w:val="26"/>
  </w:num>
  <w:num w:numId="28">
    <w:abstractNumId w:val="2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36"/>
    <w:rsid w:val="000003CF"/>
    <w:rsid w:val="00000C16"/>
    <w:rsid w:val="000011EF"/>
    <w:rsid w:val="000013A2"/>
    <w:rsid w:val="00001A21"/>
    <w:rsid w:val="0000216C"/>
    <w:rsid w:val="00002710"/>
    <w:rsid w:val="00002C25"/>
    <w:rsid w:val="00003199"/>
    <w:rsid w:val="0000421B"/>
    <w:rsid w:val="0000490C"/>
    <w:rsid w:val="00005623"/>
    <w:rsid w:val="00006421"/>
    <w:rsid w:val="00006C51"/>
    <w:rsid w:val="0000738B"/>
    <w:rsid w:val="00007602"/>
    <w:rsid w:val="00010CDC"/>
    <w:rsid w:val="000116CF"/>
    <w:rsid w:val="00011895"/>
    <w:rsid w:val="00012AF9"/>
    <w:rsid w:val="00013F5D"/>
    <w:rsid w:val="00014AB9"/>
    <w:rsid w:val="000151A4"/>
    <w:rsid w:val="000161C1"/>
    <w:rsid w:val="0001697C"/>
    <w:rsid w:val="00016BAA"/>
    <w:rsid w:val="00017392"/>
    <w:rsid w:val="000173BD"/>
    <w:rsid w:val="000214BE"/>
    <w:rsid w:val="00021554"/>
    <w:rsid w:val="000227F2"/>
    <w:rsid w:val="00022DB7"/>
    <w:rsid w:val="000243A0"/>
    <w:rsid w:val="000247BB"/>
    <w:rsid w:val="00024CBB"/>
    <w:rsid w:val="00024E91"/>
    <w:rsid w:val="00024F5E"/>
    <w:rsid w:val="0002544D"/>
    <w:rsid w:val="00025A47"/>
    <w:rsid w:val="00025D71"/>
    <w:rsid w:val="00025FC3"/>
    <w:rsid w:val="00026C13"/>
    <w:rsid w:val="000270D5"/>
    <w:rsid w:val="00027583"/>
    <w:rsid w:val="0002759E"/>
    <w:rsid w:val="00027EF6"/>
    <w:rsid w:val="00031FA5"/>
    <w:rsid w:val="00032588"/>
    <w:rsid w:val="000325FD"/>
    <w:rsid w:val="00032D51"/>
    <w:rsid w:val="00032FCC"/>
    <w:rsid w:val="0003319C"/>
    <w:rsid w:val="00033BD1"/>
    <w:rsid w:val="00033C88"/>
    <w:rsid w:val="00035319"/>
    <w:rsid w:val="00035744"/>
    <w:rsid w:val="00036C79"/>
    <w:rsid w:val="00036D2C"/>
    <w:rsid w:val="000374AE"/>
    <w:rsid w:val="000377FF"/>
    <w:rsid w:val="0003783F"/>
    <w:rsid w:val="0004002D"/>
    <w:rsid w:val="00041EA1"/>
    <w:rsid w:val="00041F44"/>
    <w:rsid w:val="0004223E"/>
    <w:rsid w:val="000447B8"/>
    <w:rsid w:val="00044AC4"/>
    <w:rsid w:val="000453F1"/>
    <w:rsid w:val="000457A1"/>
    <w:rsid w:val="00045C60"/>
    <w:rsid w:val="000468E3"/>
    <w:rsid w:val="000471A0"/>
    <w:rsid w:val="00047367"/>
    <w:rsid w:val="00047B1F"/>
    <w:rsid w:val="00047EBD"/>
    <w:rsid w:val="00050780"/>
    <w:rsid w:val="00050B96"/>
    <w:rsid w:val="00050CB1"/>
    <w:rsid w:val="00051498"/>
    <w:rsid w:val="000514C7"/>
    <w:rsid w:val="000516F6"/>
    <w:rsid w:val="00052024"/>
    <w:rsid w:val="0005219D"/>
    <w:rsid w:val="0005338A"/>
    <w:rsid w:val="00053C02"/>
    <w:rsid w:val="000543C2"/>
    <w:rsid w:val="00054A50"/>
    <w:rsid w:val="00054F2E"/>
    <w:rsid w:val="00055D74"/>
    <w:rsid w:val="0005613C"/>
    <w:rsid w:val="000565B6"/>
    <w:rsid w:val="000566AA"/>
    <w:rsid w:val="00056DCC"/>
    <w:rsid w:val="00056E7B"/>
    <w:rsid w:val="0005758D"/>
    <w:rsid w:val="000576B3"/>
    <w:rsid w:val="00057B14"/>
    <w:rsid w:val="00057F01"/>
    <w:rsid w:val="00060378"/>
    <w:rsid w:val="000604B3"/>
    <w:rsid w:val="00060539"/>
    <w:rsid w:val="0006109F"/>
    <w:rsid w:val="00061434"/>
    <w:rsid w:val="000614FD"/>
    <w:rsid w:val="000615C9"/>
    <w:rsid w:val="00061C92"/>
    <w:rsid w:val="00061E47"/>
    <w:rsid w:val="0006259D"/>
    <w:rsid w:val="0006276E"/>
    <w:rsid w:val="00063906"/>
    <w:rsid w:val="00063C0F"/>
    <w:rsid w:val="00063FAD"/>
    <w:rsid w:val="000649C1"/>
    <w:rsid w:val="00064A46"/>
    <w:rsid w:val="00065AAD"/>
    <w:rsid w:val="00065D47"/>
    <w:rsid w:val="000663EE"/>
    <w:rsid w:val="00067794"/>
    <w:rsid w:val="000710AC"/>
    <w:rsid w:val="00072949"/>
    <w:rsid w:val="00072995"/>
    <w:rsid w:val="00072A24"/>
    <w:rsid w:val="00072DDB"/>
    <w:rsid w:val="000735AC"/>
    <w:rsid w:val="0007462A"/>
    <w:rsid w:val="00074BE2"/>
    <w:rsid w:val="00074F15"/>
    <w:rsid w:val="00075C2A"/>
    <w:rsid w:val="0007668D"/>
    <w:rsid w:val="00076C62"/>
    <w:rsid w:val="00076CD9"/>
    <w:rsid w:val="00076E7A"/>
    <w:rsid w:val="000774CA"/>
    <w:rsid w:val="00077A21"/>
    <w:rsid w:val="000802BC"/>
    <w:rsid w:val="000819E5"/>
    <w:rsid w:val="00082B57"/>
    <w:rsid w:val="00083240"/>
    <w:rsid w:val="00083493"/>
    <w:rsid w:val="00084230"/>
    <w:rsid w:val="0008564C"/>
    <w:rsid w:val="00085680"/>
    <w:rsid w:val="00086708"/>
    <w:rsid w:val="0009088F"/>
    <w:rsid w:val="00090C28"/>
    <w:rsid w:val="00090EE9"/>
    <w:rsid w:val="000914B0"/>
    <w:rsid w:val="00092073"/>
    <w:rsid w:val="000920D0"/>
    <w:rsid w:val="00092542"/>
    <w:rsid w:val="000948E6"/>
    <w:rsid w:val="000949AC"/>
    <w:rsid w:val="00094A84"/>
    <w:rsid w:val="00094FD6"/>
    <w:rsid w:val="000954B1"/>
    <w:rsid w:val="00095985"/>
    <w:rsid w:val="00095A3B"/>
    <w:rsid w:val="0009607B"/>
    <w:rsid w:val="00096FFB"/>
    <w:rsid w:val="0009704E"/>
    <w:rsid w:val="000A1EEE"/>
    <w:rsid w:val="000A30D4"/>
    <w:rsid w:val="000A3779"/>
    <w:rsid w:val="000A39A0"/>
    <w:rsid w:val="000A3CFC"/>
    <w:rsid w:val="000A425B"/>
    <w:rsid w:val="000A4341"/>
    <w:rsid w:val="000A44F9"/>
    <w:rsid w:val="000A4A18"/>
    <w:rsid w:val="000A4EAC"/>
    <w:rsid w:val="000A66CD"/>
    <w:rsid w:val="000A6D24"/>
    <w:rsid w:val="000A6EB6"/>
    <w:rsid w:val="000B0048"/>
    <w:rsid w:val="000B0051"/>
    <w:rsid w:val="000B1610"/>
    <w:rsid w:val="000B1BD7"/>
    <w:rsid w:val="000B1CF4"/>
    <w:rsid w:val="000B1E82"/>
    <w:rsid w:val="000B1F29"/>
    <w:rsid w:val="000B3C48"/>
    <w:rsid w:val="000B4066"/>
    <w:rsid w:val="000B4BC0"/>
    <w:rsid w:val="000B585D"/>
    <w:rsid w:val="000B598D"/>
    <w:rsid w:val="000B5B2A"/>
    <w:rsid w:val="000B5E4E"/>
    <w:rsid w:val="000B63B4"/>
    <w:rsid w:val="000B67A0"/>
    <w:rsid w:val="000B67B2"/>
    <w:rsid w:val="000B6CEC"/>
    <w:rsid w:val="000B6DD5"/>
    <w:rsid w:val="000B7037"/>
    <w:rsid w:val="000B7074"/>
    <w:rsid w:val="000C0378"/>
    <w:rsid w:val="000C03E6"/>
    <w:rsid w:val="000C049A"/>
    <w:rsid w:val="000C1870"/>
    <w:rsid w:val="000C1DA1"/>
    <w:rsid w:val="000C20F6"/>
    <w:rsid w:val="000C2CA5"/>
    <w:rsid w:val="000C31C9"/>
    <w:rsid w:val="000C3380"/>
    <w:rsid w:val="000C3B0F"/>
    <w:rsid w:val="000C40FE"/>
    <w:rsid w:val="000C457D"/>
    <w:rsid w:val="000C5539"/>
    <w:rsid w:val="000C5595"/>
    <w:rsid w:val="000C55A8"/>
    <w:rsid w:val="000C5C1D"/>
    <w:rsid w:val="000C60B0"/>
    <w:rsid w:val="000C613D"/>
    <w:rsid w:val="000C62B7"/>
    <w:rsid w:val="000C6871"/>
    <w:rsid w:val="000D0125"/>
    <w:rsid w:val="000D1C33"/>
    <w:rsid w:val="000D21B2"/>
    <w:rsid w:val="000D2C40"/>
    <w:rsid w:val="000D40DB"/>
    <w:rsid w:val="000D421F"/>
    <w:rsid w:val="000D43CE"/>
    <w:rsid w:val="000D4755"/>
    <w:rsid w:val="000D4BF5"/>
    <w:rsid w:val="000D5138"/>
    <w:rsid w:val="000D53CD"/>
    <w:rsid w:val="000D5B63"/>
    <w:rsid w:val="000D60FA"/>
    <w:rsid w:val="000D6287"/>
    <w:rsid w:val="000D7271"/>
    <w:rsid w:val="000D7651"/>
    <w:rsid w:val="000D7F04"/>
    <w:rsid w:val="000E0D55"/>
    <w:rsid w:val="000E0F9E"/>
    <w:rsid w:val="000E0FBB"/>
    <w:rsid w:val="000E0FCC"/>
    <w:rsid w:val="000E134C"/>
    <w:rsid w:val="000E182A"/>
    <w:rsid w:val="000E1B55"/>
    <w:rsid w:val="000E2072"/>
    <w:rsid w:val="000E2221"/>
    <w:rsid w:val="000E30AF"/>
    <w:rsid w:val="000E3BAA"/>
    <w:rsid w:val="000E47A7"/>
    <w:rsid w:val="000E496A"/>
    <w:rsid w:val="000E4FB1"/>
    <w:rsid w:val="000E7AD9"/>
    <w:rsid w:val="000E7ED1"/>
    <w:rsid w:val="000F0D96"/>
    <w:rsid w:val="000F103B"/>
    <w:rsid w:val="000F128A"/>
    <w:rsid w:val="000F200A"/>
    <w:rsid w:val="000F24D4"/>
    <w:rsid w:val="000F2BF1"/>
    <w:rsid w:val="000F2DD0"/>
    <w:rsid w:val="000F34DF"/>
    <w:rsid w:val="000F4A44"/>
    <w:rsid w:val="000F55DB"/>
    <w:rsid w:val="000F5884"/>
    <w:rsid w:val="000F5CBE"/>
    <w:rsid w:val="000F6375"/>
    <w:rsid w:val="000F673C"/>
    <w:rsid w:val="000F6C95"/>
    <w:rsid w:val="000F6D85"/>
    <w:rsid w:val="000F6DC9"/>
    <w:rsid w:val="000F7D59"/>
    <w:rsid w:val="000F7D5F"/>
    <w:rsid w:val="000F7E96"/>
    <w:rsid w:val="001000A7"/>
    <w:rsid w:val="001003C0"/>
    <w:rsid w:val="00101301"/>
    <w:rsid w:val="00102397"/>
    <w:rsid w:val="00102B07"/>
    <w:rsid w:val="00103070"/>
    <w:rsid w:val="001031B2"/>
    <w:rsid w:val="0010329B"/>
    <w:rsid w:val="00103A6D"/>
    <w:rsid w:val="00104284"/>
    <w:rsid w:val="00105318"/>
    <w:rsid w:val="00105330"/>
    <w:rsid w:val="0010561F"/>
    <w:rsid w:val="00105CF0"/>
    <w:rsid w:val="001067DD"/>
    <w:rsid w:val="00107651"/>
    <w:rsid w:val="00107ABD"/>
    <w:rsid w:val="00107E0C"/>
    <w:rsid w:val="001101B4"/>
    <w:rsid w:val="001102BF"/>
    <w:rsid w:val="00110864"/>
    <w:rsid w:val="001109A9"/>
    <w:rsid w:val="0011172A"/>
    <w:rsid w:val="00111D00"/>
    <w:rsid w:val="001123B1"/>
    <w:rsid w:val="00112993"/>
    <w:rsid w:val="00112B2D"/>
    <w:rsid w:val="00112C11"/>
    <w:rsid w:val="001133B0"/>
    <w:rsid w:val="00113BD0"/>
    <w:rsid w:val="001140A3"/>
    <w:rsid w:val="0011428D"/>
    <w:rsid w:val="001146AD"/>
    <w:rsid w:val="001146CB"/>
    <w:rsid w:val="00115389"/>
    <w:rsid w:val="00115675"/>
    <w:rsid w:val="00115CEE"/>
    <w:rsid w:val="001163DA"/>
    <w:rsid w:val="00117878"/>
    <w:rsid w:val="001179E3"/>
    <w:rsid w:val="00117A9F"/>
    <w:rsid w:val="0012018B"/>
    <w:rsid w:val="00120C18"/>
    <w:rsid w:val="00120F06"/>
    <w:rsid w:val="00122B17"/>
    <w:rsid w:val="00122C45"/>
    <w:rsid w:val="00122FA6"/>
    <w:rsid w:val="00123327"/>
    <w:rsid w:val="00123DF0"/>
    <w:rsid w:val="001241ED"/>
    <w:rsid w:val="001246D9"/>
    <w:rsid w:val="00124CE1"/>
    <w:rsid w:val="00124D68"/>
    <w:rsid w:val="00125067"/>
    <w:rsid w:val="001250B3"/>
    <w:rsid w:val="00125260"/>
    <w:rsid w:val="00125962"/>
    <w:rsid w:val="0012635B"/>
    <w:rsid w:val="00126A56"/>
    <w:rsid w:val="00127071"/>
    <w:rsid w:val="001270B7"/>
    <w:rsid w:val="00127FE2"/>
    <w:rsid w:val="00130506"/>
    <w:rsid w:val="00132DAB"/>
    <w:rsid w:val="00132EAB"/>
    <w:rsid w:val="00133165"/>
    <w:rsid w:val="001338B9"/>
    <w:rsid w:val="00133BDA"/>
    <w:rsid w:val="00134722"/>
    <w:rsid w:val="00134C4A"/>
    <w:rsid w:val="00135371"/>
    <w:rsid w:val="00135915"/>
    <w:rsid w:val="00135951"/>
    <w:rsid w:val="0013655E"/>
    <w:rsid w:val="00136562"/>
    <w:rsid w:val="00136867"/>
    <w:rsid w:val="00137D5F"/>
    <w:rsid w:val="00137D7E"/>
    <w:rsid w:val="00137F2E"/>
    <w:rsid w:val="001403B7"/>
    <w:rsid w:val="001409ED"/>
    <w:rsid w:val="00140D10"/>
    <w:rsid w:val="00141B75"/>
    <w:rsid w:val="001426A1"/>
    <w:rsid w:val="0014303E"/>
    <w:rsid w:val="00143A0B"/>
    <w:rsid w:val="00143CB4"/>
    <w:rsid w:val="00143EB9"/>
    <w:rsid w:val="00144B89"/>
    <w:rsid w:val="00145190"/>
    <w:rsid w:val="001457D3"/>
    <w:rsid w:val="00145C64"/>
    <w:rsid w:val="00146362"/>
    <w:rsid w:val="001469CD"/>
    <w:rsid w:val="001471D0"/>
    <w:rsid w:val="00147599"/>
    <w:rsid w:val="00147852"/>
    <w:rsid w:val="00147FE5"/>
    <w:rsid w:val="00150C6F"/>
    <w:rsid w:val="00151238"/>
    <w:rsid w:val="001514E7"/>
    <w:rsid w:val="001516FB"/>
    <w:rsid w:val="001525FF"/>
    <w:rsid w:val="0015280B"/>
    <w:rsid w:val="001539CA"/>
    <w:rsid w:val="00153E85"/>
    <w:rsid w:val="00154000"/>
    <w:rsid w:val="00154396"/>
    <w:rsid w:val="00154453"/>
    <w:rsid w:val="00154D17"/>
    <w:rsid w:val="0015523F"/>
    <w:rsid w:val="00155787"/>
    <w:rsid w:val="00155996"/>
    <w:rsid w:val="00155D1B"/>
    <w:rsid w:val="001568AB"/>
    <w:rsid w:val="00156BD3"/>
    <w:rsid w:val="00160704"/>
    <w:rsid w:val="001607C0"/>
    <w:rsid w:val="00160CA7"/>
    <w:rsid w:val="001616DA"/>
    <w:rsid w:val="00161934"/>
    <w:rsid w:val="00161A0A"/>
    <w:rsid w:val="001637A4"/>
    <w:rsid w:val="00163D21"/>
    <w:rsid w:val="0016437E"/>
    <w:rsid w:val="00164809"/>
    <w:rsid w:val="00165212"/>
    <w:rsid w:val="0016524C"/>
    <w:rsid w:val="001653B1"/>
    <w:rsid w:val="00165AA6"/>
    <w:rsid w:val="0016600F"/>
    <w:rsid w:val="0016686C"/>
    <w:rsid w:val="00166A89"/>
    <w:rsid w:val="00167031"/>
    <w:rsid w:val="001671D1"/>
    <w:rsid w:val="001675B2"/>
    <w:rsid w:val="001677A2"/>
    <w:rsid w:val="00167E83"/>
    <w:rsid w:val="00170039"/>
    <w:rsid w:val="00172E6C"/>
    <w:rsid w:val="00173994"/>
    <w:rsid w:val="001741C5"/>
    <w:rsid w:val="00174820"/>
    <w:rsid w:val="001749F5"/>
    <w:rsid w:val="001751D8"/>
    <w:rsid w:val="00175835"/>
    <w:rsid w:val="00175851"/>
    <w:rsid w:val="00175F1B"/>
    <w:rsid w:val="0017620B"/>
    <w:rsid w:val="001772ED"/>
    <w:rsid w:val="001779E9"/>
    <w:rsid w:val="001803D7"/>
    <w:rsid w:val="001807EB"/>
    <w:rsid w:val="00180D36"/>
    <w:rsid w:val="00182065"/>
    <w:rsid w:val="00182457"/>
    <w:rsid w:val="00182749"/>
    <w:rsid w:val="00183380"/>
    <w:rsid w:val="00183B4E"/>
    <w:rsid w:val="00183E16"/>
    <w:rsid w:val="00184BC3"/>
    <w:rsid w:val="00185123"/>
    <w:rsid w:val="00185593"/>
    <w:rsid w:val="00186879"/>
    <w:rsid w:val="00187005"/>
    <w:rsid w:val="001900B6"/>
    <w:rsid w:val="001902F4"/>
    <w:rsid w:val="00190350"/>
    <w:rsid w:val="00191299"/>
    <w:rsid w:val="001912D6"/>
    <w:rsid w:val="001914D7"/>
    <w:rsid w:val="00192264"/>
    <w:rsid w:val="001922A9"/>
    <w:rsid w:val="001927A3"/>
    <w:rsid w:val="0019307E"/>
    <w:rsid w:val="001935A5"/>
    <w:rsid w:val="0019467A"/>
    <w:rsid w:val="00195352"/>
    <w:rsid w:val="00196080"/>
    <w:rsid w:val="00196958"/>
    <w:rsid w:val="00196B5C"/>
    <w:rsid w:val="00196D2A"/>
    <w:rsid w:val="001978BA"/>
    <w:rsid w:val="001979D0"/>
    <w:rsid w:val="001A28B6"/>
    <w:rsid w:val="001A35A8"/>
    <w:rsid w:val="001A444A"/>
    <w:rsid w:val="001A4522"/>
    <w:rsid w:val="001A4ACF"/>
    <w:rsid w:val="001A4B74"/>
    <w:rsid w:val="001A4BD7"/>
    <w:rsid w:val="001A4D43"/>
    <w:rsid w:val="001A5A9C"/>
    <w:rsid w:val="001A5BA5"/>
    <w:rsid w:val="001A6407"/>
    <w:rsid w:val="001A643A"/>
    <w:rsid w:val="001A6C31"/>
    <w:rsid w:val="001A77F9"/>
    <w:rsid w:val="001A7EA9"/>
    <w:rsid w:val="001B0A8D"/>
    <w:rsid w:val="001B1DEB"/>
    <w:rsid w:val="001B1F2A"/>
    <w:rsid w:val="001B233B"/>
    <w:rsid w:val="001B32F5"/>
    <w:rsid w:val="001B33A4"/>
    <w:rsid w:val="001B48D9"/>
    <w:rsid w:val="001B4B57"/>
    <w:rsid w:val="001B4E57"/>
    <w:rsid w:val="001B5109"/>
    <w:rsid w:val="001B5480"/>
    <w:rsid w:val="001B5BDB"/>
    <w:rsid w:val="001B6B8B"/>
    <w:rsid w:val="001B6CFC"/>
    <w:rsid w:val="001B6E94"/>
    <w:rsid w:val="001B6FFA"/>
    <w:rsid w:val="001B71A0"/>
    <w:rsid w:val="001B748A"/>
    <w:rsid w:val="001B7949"/>
    <w:rsid w:val="001C0856"/>
    <w:rsid w:val="001C0E62"/>
    <w:rsid w:val="001C122C"/>
    <w:rsid w:val="001C2862"/>
    <w:rsid w:val="001C29A1"/>
    <w:rsid w:val="001C328C"/>
    <w:rsid w:val="001C33B0"/>
    <w:rsid w:val="001C34AC"/>
    <w:rsid w:val="001C3F28"/>
    <w:rsid w:val="001C518D"/>
    <w:rsid w:val="001C5326"/>
    <w:rsid w:val="001C534D"/>
    <w:rsid w:val="001C5419"/>
    <w:rsid w:val="001C67CD"/>
    <w:rsid w:val="001C6A87"/>
    <w:rsid w:val="001C714D"/>
    <w:rsid w:val="001C7DFB"/>
    <w:rsid w:val="001C7EE7"/>
    <w:rsid w:val="001D0CD7"/>
    <w:rsid w:val="001D0ED1"/>
    <w:rsid w:val="001D1678"/>
    <w:rsid w:val="001D1CAB"/>
    <w:rsid w:val="001D1D36"/>
    <w:rsid w:val="001D2591"/>
    <w:rsid w:val="001D2884"/>
    <w:rsid w:val="001D2FB0"/>
    <w:rsid w:val="001D4B64"/>
    <w:rsid w:val="001D4BC2"/>
    <w:rsid w:val="001D4C4C"/>
    <w:rsid w:val="001D5404"/>
    <w:rsid w:val="001D5695"/>
    <w:rsid w:val="001D5B7B"/>
    <w:rsid w:val="001D5CAA"/>
    <w:rsid w:val="001D6A0F"/>
    <w:rsid w:val="001D73F5"/>
    <w:rsid w:val="001D7F0F"/>
    <w:rsid w:val="001E0889"/>
    <w:rsid w:val="001E1119"/>
    <w:rsid w:val="001E18B5"/>
    <w:rsid w:val="001E1D49"/>
    <w:rsid w:val="001E25E4"/>
    <w:rsid w:val="001E2CE5"/>
    <w:rsid w:val="001E2EBB"/>
    <w:rsid w:val="001E3038"/>
    <w:rsid w:val="001E3FCC"/>
    <w:rsid w:val="001E4325"/>
    <w:rsid w:val="001E4427"/>
    <w:rsid w:val="001E4B7C"/>
    <w:rsid w:val="001E66B1"/>
    <w:rsid w:val="001E67B0"/>
    <w:rsid w:val="001E70A8"/>
    <w:rsid w:val="001E73A9"/>
    <w:rsid w:val="001F124B"/>
    <w:rsid w:val="001F1416"/>
    <w:rsid w:val="001F17CA"/>
    <w:rsid w:val="001F183A"/>
    <w:rsid w:val="001F1857"/>
    <w:rsid w:val="001F1EE6"/>
    <w:rsid w:val="001F2F9A"/>
    <w:rsid w:val="001F3515"/>
    <w:rsid w:val="001F3566"/>
    <w:rsid w:val="001F3C9E"/>
    <w:rsid w:val="001F5A3E"/>
    <w:rsid w:val="001F5E06"/>
    <w:rsid w:val="001F5FAE"/>
    <w:rsid w:val="001F6155"/>
    <w:rsid w:val="001F7573"/>
    <w:rsid w:val="002003E8"/>
    <w:rsid w:val="00200A44"/>
    <w:rsid w:val="0020192D"/>
    <w:rsid w:val="00201999"/>
    <w:rsid w:val="00202197"/>
    <w:rsid w:val="00203941"/>
    <w:rsid w:val="00203A30"/>
    <w:rsid w:val="00203C30"/>
    <w:rsid w:val="00203DA5"/>
    <w:rsid w:val="002040C6"/>
    <w:rsid w:val="00204933"/>
    <w:rsid w:val="00205907"/>
    <w:rsid w:val="00205A02"/>
    <w:rsid w:val="00206AC5"/>
    <w:rsid w:val="00206C13"/>
    <w:rsid w:val="00206DC3"/>
    <w:rsid w:val="00206F48"/>
    <w:rsid w:val="0020749F"/>
    <w:rsid w:val="00207CD0"/>
    <w:rsid w:val="00211102"/>
    <w:rsid w:val="0021160B"/>
    <w:rsid w:val="0021175B"/>
    <w:rsid w:val="00211C69"/>
    <w:rsid w:val="00211D33"/>
    <w:rsid w:val="0021252C"/>
    <w:rsid w:val="00212577"/>
    <w:rsid w:val="0021419A"/>
    <w:rsid w:val="0021445E"/>
    <w:rsid w:val="0021451C"/>
    <w:rsid w:val="00214C4A"/>
    <w:rsid w:val="00214E57"/>
    <w:rsid w:val="0021514E"/>
    <w:rsid w:val="00215616"/>
    <w:rsid w:val="00215BD9"/>
    <w:rsid w:val="0022062A"/>
    <w:rsid w:val="00220FCC"/>
    <w:rsid w:val="00221356"/>
    <w:rsid w:val="00221D45"/>
    <w:rsid w:val="00222312"/>
    <w:rsid w:val="0022362A"/>
    <w:rsid w:val="00224E28"/>
    <w:rsid w:val="00224EF3"/>
    <w:rsid w:val="00225339"/>
    <w:rsid w:val="00225FD7"/>
    <w:rsid w:val="00227A7F"/>
    <w:rsid w:val="00227E5B"/>
    <w:rsid w:val="00230286"/>
    <w:rsid w:val="0023139E"/>
    <w:rsid w:val="00231889"/>
    <w:rsid w:val="00231A7F"/>
    <w:rsid w:val="00231BE5"/>
    <w:rsid w:val="00231F75"/>
    <w:rsid w:val="0023257C"/>
    <w:rsid w:val="00232E16"/>
    <w:rsid w:val="0023330A"/>
    <w:rsid w:val="0023398B"/>
    <w:rsid w:val="002347A1"/>
    <w:rsid w:val="00236896"/>
    <w:rsid w:val="00240228"/>
    <w:rsid w:val="0024051A"/>
    <w:rsid w:val="00240A9D"/>
    <w:rsid w:val="00241006"/>
    <w:rsid w:val="00241545"/>
    <w:rsid w:val="00242964"/>
    <w:rsid w:val="002431F1"/>
    <w:rsid w:val="002434B8"/>
    <w:rsid w:val="00243818"/>
    <w:rsid w:val="002439AF"/>
    <w:rsid w:val="00243CC5"/>
    <w:rsid w:val="00243E3A"/>
    <w:rsid w:val="0024470E"/>
    <w:rsid w:val="002448D9"/>
    <w:rsid w:val="0024494F"/>
    <w:rsid w:val="0024636A"/>
    <w:rsid w:val="00246C00"/>
    <w:rsid w:val="002502BA"/>
    <w:rsid w:val="00251625"/>
    <w:rsid w:val="0025213F"/>
    <w:rsid w:val="00252917"/>
    <w:rsid w:val="00252B36"/>
    <w:rsid w:val="00252C80"/>
    <w:rsid w:val="002534E8"/>
    <w:rsid w:val="00253C8B"/>
    <w:rsid w:val="00254EB2"/>
    <w:rsid w:val="00255F44"/>
    <w:rsid w:val="00255FE0"/>
    <w:rsid w:val="002566CD"/>
    <w:rsid w:val="00256B62"/>
    <w:rsid w:val="00256FCD"/>
    <w:rsid w:val="0025723B"/>
    <w:rsid w:val="0026013E"/>
    <w:rsid w:val="002601E3"/>
    <w:rsid w:val="0026069D"/>
    <w:rsid w:val="00260DCD"/>
    <w:rsid w:val="00261A4A"/>
    <w:rsid w:val="00261D4D"/>
    <w:rsid w:val="002623ED"/>
    <w:rsid w:val="00264A06"/>
    <w:rsid w:val="00264A6F"/>
    <w:rsid w:val="00264B1D"/>
    <w:rsid w:val="00264E74"/>
    <w:rsid w:val="00264FE5"/>
    <w:rsid w:val="0026527B"/>
    <w:rsid w:val="002652F4"/>
    <w:rsid w:val="00265704"/>
    <w:rsid w:val="00265BEE"/>
    <w:rsid w:val="00266E55"/>
    <w:rsid w:val="0026715C"/>
    <w:rsid w:val="00270B70"/>
    <w:rsid w:val="00270B73"/>
    <w:rsid w:val="00271605"/>
    <w:rsid w:val="0027197D"/>
    <w:rsid w:val="0027295E"/>
    <w:rsid w:val="00272D99"/>
    <w:rsid w:val="00272E33"/>
    <w:rsid w:val="002732E4"/>
    <w:rsid w:val="0027348B"/>
    <w:rsid w:val="0027371C"/>
    <w:rsid w:val="002738BA"/>
    <w:rsid w:val="00273A8B"/>
    <w:rsid w:val="00274F2C"/>
    <w:rsid w:val="0027521B"/>
    <w:rsid w:val="00275542"/>
    <w:rsid w:val="002755C6"/>
    <w:rsid w:val="00276751"/>
    <w:rsid w:val="00276855"/>
    <w:rsid w:val="00277872"/>
    <w:rsid w:val="00277BB1"/>
    <w:rsid w:val="002807DE"/>
    <w:rsid w:val="00280A48"/>
    <w:rsid w:val="0028119F"/>
    <w:rsid w:val="00281871"/>
    <w:rsid w:val="00281E4B"/>
    <w:rsid w:val="00281F84"/>
    <w:rsid w:val="00283106"/>
    <w:rsid w:val="00283342"/>
    <w:rsid w:val="002834C5"/>
    <w:rsid w:val="00283D3B"/>
    <w:rsid w:val="00284C5F"/>
    <w:rsid w:val="00285493"/>
    <w:rsid w:val="00285638"/>
    <w:rsid w:val="00285B66"/>
    <w:rsid w:val="0028648A"/>
    <w:rsid w:val="0028706E"/>
    <w:rsid w:val="00287322"/>
    <w:rsid w:val="00287515"/>
    <w:rsid w:val="0029016E"/>
    <w:rsid w:val="00290395"/>
    <w:rsid w:val="002903DE"/>
    <w:rsid w:val="0029049A"/>
    <w:rsid w:val="00291128"/>
    <w:rsid w:val="00291A8D"/>
    <w:rsid w:val="00291ACD"/>
    <w:rsid w:val="00291D62"/>
    <w:rsid w:val="00292086"/>
    <w:rsid w:val="00292139"/>
    <w:rsid w:val="002921C4"/>
    <w:rsid w:val="00292FBD"/>
    <w:rsid w:val="00294A25"/>
    <w:rsid w:val="00294D45"/>
    <w:rsid w:val="002950F7"/>
    <w:rsid w:val="0029525D"/>
    <w:rsid w:val="00296605"/>
    <w:rsid w:val="00297562"/>
    <w:rsid w:val="002A0A49"/>
    <w:rsid w:val="002A0C4C"/>
    <w:rsid w:val="002A0C91"/>
    <w:rsid w:val="002A0E92"/>
    <w:rsid w:val="002A1530"/>
    <w:rsid w:val="002A1A22"/>
    <w:rsid w:val="002A1A82"/>
    <w:rsid w:val="002A39B9"/>
    <w:rsid w:val="002A39E3"/>
    <w:rsid w:val="002A3FE8"/>
    <w:rsid w:val="002A45E4"/>
    <w:rsid w:val="002A5533"/>
    <w:rsid w:val="002A65E6"/>
    <w:rsid w:val="002A67B0"/>
    <w:rsid w:val="002A720C"/>
    <w:rsid w:val="002A752F"/>
    <w:rsid w:val="002A79F6"/>
    <w:rsid w:val="002B0E19"/>
    <w:rsid w:val="002B0F75"/>
    <w:rsid w:val="002B0F9C"/>
    <w:rsid w:val="002B11C5"/>
    <w:rsid w:val="002B2099"/>
    <w:rsid w:val="002B2681"/>
    <w:rsid w:val="002B2D65"/>
    <w:rsid w:val="002B3517"/>
    <w:rsid w:val="002B4141"/>
    <w:rsid w:val="002B499C"/>
    <w:rsid w:val="002B5995"/>
    <w:rsid w:val="002B664A"/>
    <w:rsid w:val="002B745A"/>
    <w:rsid w:val="002B767B"/>
    <w:rsid w:val="002B7958"/>
    <w:rsid w:val="002B7A2A"/>
    <w:rsid w:val="002B7EF0"/>
    <w:rsid w:val="002C00F9"/>
    <w:rsid w:val="002C0C00"/>
    <w:rsid w:val="002C11ED"/>
    <w:rsid w:val="002C14E7"/>
    <w:rsid w:val="002C1ABA"/>
    <w:rsid w:val="002C1C1F"/>
    <w:rsid w:val="002C2232"/>
    <w:rsid w:val="002C362C"/>
    <w:rsid w:val="002C3A63"/>
    <w:rsid w:val="002C4118"/>
    <w:rsid w:val="002C494D"/>
    <w:rsid w:val="002C54C2"/>
    <w:rsid w:val="002C5D39"/>
    <w:rsid w:val="002C5FBA"/>
    <w:rsid w:val="002C62C0"/>
    <w:rsid w:val="002C66F9"/>
    <w:rsid w:val="002C68C7"/>
    <w:rsid w:val="002C6B56"/>
    <w:rsid w:val="002D1095"/>
    <w:rsid w:val="002D12B8"/>
    <w:rsid w:val="002D1E3C"/>
    <w:rsid w:val="002D2A11"/>
    <w:rsid w:val="002D2BDB"/>
    <w:rsid w:val="002D3CED"/>
    <w:rsid w:val="002D418B"/>
    <w:rsid w:val="002D584A"/>
    <w:rsid w:val="002D6875"/>
    <w:rsid w:val="002D6CD2"/>
    <w:rsid w:val="002D703A"/>
    <w:rsid w:val="002D7BFC"/>
    <w:rsid w:val="002E0A6D"/>
    <w:rsid w:val="002E0B19"/>
    <w:rsid w:val="002E0E16"/>
    <w:rsid w:val="002E1907"/>
    <w:rsid w:val="002E1B9B"/>
    <w:rsid w:val="002E1D50"/>
    <w:rsid w:val="002E2634"/>
    <w:rsid w:val="002E2723"/>
    <w:rsid w:val="002E2AB2"/>
    <w:rsid w:val="002E3011"/>
    <w:rsid w:val="002E3CDF"/>
    <w:rsid w:val="002E4F8C"/>
    <w:rsid w:val="002E51EB"/>
    <w:rsid w:val="002E5201"/>
    <w:rsid w:val="002E652B"/>
    <w:rsid w:val="002E6968"/>
    <w:rsid w:val="002E6C55"/>
    <w:rsid w:val="002E6E1E"/>
    <w:rsid w:val="002E6EC7"/>
    <w:rsid w:val="002E6F1D"/>
    <w:rsid w:val="002E7822"/>
    <w:rsid w:val="002E79DF"/>
    <w:rsid w:val="002E7DB5"/>
    <w:rsid w:val="002F0037"/>
    <w:rsid w:val="002F0564"/>
    <w:rsid w:val="002F0662"/>
    <w:rsid w:val="002F1044"/>
    <w:rsid w:val="002F16EA"/>
    <w:rsid w:val="002F2A43"/>
    <w:rsid w:val="002F5AF7"/>
    <w:rsid w:val="002F652D"/>
    <w:rsid w:val="002F6B2F"/>
    <w:rsid w:val="002F6BF0"/>
    <w:rsid w:val="002F7648"/>
    <w:rsid w:val="002F7D7F"/>
    <w:rsid w:val="003003B7"/>
    <w:rsid w:val="0030086B"/>
    <w:rsid w:val="0030098A"/>
    <w:rsid w:val="00300B68"/>
    <w:rsid w:val="00300D00"/>
    <w:rsid w:val="00300F8B"/>
    <w:rsid w:val="00301256"/>
    <w:rsid w:val="00303A27"/>
    <w:rsid w:val="00303C64"/>
    <w:rsid w:val="00303C81"/>
    <w:rsid w:val="00304C59"/>
    <w:rsid w:val="00304E79"/>
    <w:rsid w:val="00304EC1"/>
    <w:rsid w:val="00305266"/>
    <w:rsid w:val="00305480"/>
    <w:rsid w:val="00305D92"/>
    <w:rsid w:val="0030606C"/>
    <w:rsid w:val="00306750"/>
    <w:rsid w:val="00306E69"/>
    <w:rsid w:val="003108A8"/>
    <w:rsid w:val="00311EC2"/>
    <w:rsid w:val="00311F12"/>
    <w:rsid w:val="00312A1D"/>
    <w:rsid w:val="00313512"/>
    <w:rsid w:val="00313B4E"/>
    <w:rsid w:val="003140DE"/>
    <w:rsid w:val="003151BE"/>
    <w:rsid w:val="003153A2"/>
    <w:rsid w:val="003157FD"/>
    <w:rsid w:val="00315A57"/>
    <w:rsid w:val="00315E23"/>
    <w:rsid w:val="00315EB1"/>
    <w:rsid w:val="00315FE4"/>
    <w:rsid w:val="00316168"/>
    <w:rsid w:val="0031628F"/>
    <w:rsid w:val="0031699B"/>
    <w:rsid w:val="00316C62"/>
    <w:rsid w:val="00316CB3"/>
    <w:rsid w:val="00316DAB"/>
    <w:rsid w:val="003177F8"/>
    <w:rsid w:val="00317BE8"/>
    <w:rsid w:val="00317D90"/>
    <w:rsid w:val="00320575"/>
    <w:rsid w:val="003221E7"/>
    <w:rsid w:val="00322D97"/>
    <w:rsid w:val="003233AD"/>
    <w:rsid w:val="00323842"/>
    <w:rsid w:val="00323F4E"/>
    <w:rsid w:val="00323FCD"/>
    <w:rsid w:val="0032431D"/>
    <w:rsid w:val="00324442"/>
    <w:rsid w:val="0032478A"/>
    <w:rsid w:val="00325023"/>
    <w:rsid w:val="00325EDF"/>
    <w:rsid w:val="003268B9"/>
    <w:rsid w:val="0032703F"/>
    <w:rsid w:val="003301C0"/>
    <w:rsid w:val="00330EE3"/>
    <w:rsid w:val="00331450"/>
    <w:rsid w:val="00331BD5"/>
    <w:rsid w:val="00331F51"/>
    <w:rsid w:val="0033225F"/>
    <w:rsid w:val="00333AB8"/>
    <w:rsid w:val="003344AA"/>
    <w:rsid w:val="00334BB3"/>
    <w:rsid w:val="00334D8A"/>
    <w:rsid w:val="00335409"/>
    <w:rsid w:val="003355F3"/>
    <w:rsid w:val="0033631B"/>
    <w:rsid w:val="0033698D"/>
    <w:rsid w:val="00336AA8"/>
    <w:rsid w:val="00337602"/>
    <w:rsid w:val="0033783D"/>
    <w:rsid w:val="00337AB6"/>
    <w:rsid w:val="0034027B"/>
    <w:rsid w:val="0034031F"/>
    <w:rsid w:val="00340F6B"/>
    <w:rsid w:val="003412A5"/>
    <w:rsid w:val="003414A2"/>
    <w:rsid w:val="00341AEE"/>
    <w:rsid w:val="00342ECF"/>
    <w:rsid w:val="00342F5B"/>
    <w:rsid w:val="00343098"/>
    <w:rsid w:val="0034384F"/>
    <w:rsid w:val="00343975"/>
    <w:rsid w:val="003449CB"/>
    <w:rsid w:val="00345A5A"/>
    <w:rsid w:val="00345B8B"/>
    <w:rsid w:val="00345CD2"/>
    <w:rsid w:val="00345DF2"/>
    <w:rsid w:val="00346613"/>
    <w:rsid w:val="00346DAF"/>
    <w:rsid w:val="00346E42"/>
    <w:rsid w:val="0034736D"/>
    <w:rsid w:val="00347A8C"/>
    <w:rsid w:val="00347ADC"/>
    <w:rsid w:val="0035050B"/>
    <w:rsid w:val="00350FA0"/>
    <w:rsid w:val="003516CF"/>
    <w:rsid w:val="00351802"/>
    <w:rsid w:val="003522BB"/>
    <w:rsid w:val="0035270A"/>
    <w:rsid w:val="00353528"/>
    <w:rsid w:val="00354169"/>
    <w:rsid w:val="003566B6"/>
    <w:rsid w:val="003574CE"/>
    <w:rsid w:val="003576CB"/>
    <w:rsid w:val="00357D0E"/>
    <w:rsid w:val="00357F53"/>
    <w:rsid w:val="003617B8"/>
    <w:rsid w:val="00362FB8"/>
    <w:rsid w:val="0036324B"/>
    <w:rsid w:val="00364584"/>
    <w:rsid w:val="00364AC4"/>
    <w:rsid w:val="00364B1D"/>
    <w:rsid w:val="00365339"/>
    <w:rsid w:val="003658CF"/>
    <w:rsid w:val="00365A6D"/>
    <w:rsid w:val="00366ACB"/>
    <w:rsid w:val="00366BC0"/>
    <w:rsid w:val="00366F46"/>
    <w:rsid w:val="003670F9"/>
    <w:rsid w:val="00367397"/>
    <w:rsid w:val="00367678"/>
    <w:rsid w:val="00367863"/>
    <w:rsid w:val="00367B15"/>
    <w:rsid w:val="00367B95"/>
    <w:rsid w:val="00367C5D"/>
    <w:rsid w:val="00370E41"/>
    <w:rsid w:val="00370F7A"/>
    <w:rsid w:val="003713AE"/>
    <w:rsid w:val="00371E01"/>
    <w:rsid w:val="003722D2"/>
    <w:rsid w:val="00372A5A"/>
    <w:rsid w:val="00372EDA"/>
    <w:rsid w:val="00372FDA"/>
    <w:rsid w:val="003736FB"/>
    <w:rsid w:val="00373EDC"/>
    <w:rsid w:val="003748BE"/>
    <w:rsid w:val="00374FD7"/>
    <w:rsid w:val="00375627"/>
    <w:rsid w:val="003757CC"/>
    <w:rsid w:val="00375EC6"/>
    <w:rsid w:val="003768F4"/>
    <w:rsid w:val="00376952"/>
    <w:rsid w:val="0038084C"/>
    <w:rsid w:val="00380F3B"/>
    <w:rsid w:val="0038196E"/>
    <w:rsid w:val="00381EF5"/>
    <w:rsid w:val="0038225A"/>
    <w:rsid w:val="0038256D"/>
    <w:rsid w:val="00383FAB"/>
    <w:rsid w:val="00383FCF"/>
    <w:rsid w:val="00384046"/>
    <w:rsid w:val="003841A9"/>
    <w:rsid w:val="00384511"/>
    <w:rsid w:val="0038486F"/>
    <w:rsid w:val="003854D5"/>
    <w:rsid w:val="0038651F"/>
    <w:rsid w:val="00387469"/>
    <w:rsid w:val="003902F5"/>
    <w:rsid w:val="00390825"/>
    <w:rsid w:val="00390C6A"/>
    <w:rsid w:val="00390E70"/>
    <w:rsid w:val="003921E8"/>
    <w:rsid w:val="00392A53"/>
    <w:rsid w:val="00393762"/>
    <w:rsid w:val="003949E8"/>
    <w:rsid w:val="00394C2C"/>
    <w:rsid w:val="003950B9"/>
    <w:rsid w:val="00395847"/>
    <w:rsid w:val="003959E4"/>
    <w:rsid w:val="003963FE"/>
    <w:rsid w:val="0039750C"/>
    <w:rsid w:val="0039772E"/>
    <w:rsid w:val="0039789E"/>
    <w:rsid w:val="003979C9"/>
    <w:rsid w:val="00397BBB"/>
    <w:rsid w:val="003A025B"/>
    <w:rsid w:val="003A042E"/>
    <w:rsid w:val="003A0CAA"/>
    <w:rsid w:val="003A0CD7"/>
    <w:rsid w:val="003A0DFB"/>
    <w:rsid w:val="003A19C5"/>
    <w:rsid w:val="003A1A29"/>
    <w:rsid w:val="003A2259"/>
    <w:rsid w:val="003A2F67"/>
    <w:rsid w:val="003A3024"/>
    <w:rsid w:val="003A316B"/>
    <w:rsid w:val="003A3343"/>
    <w:rsid w:val="003A33DF"/>
    <w:rsid w:val="003A4A53"/>
    <w:rsid w:val="003A52A2"/>
    <w:rsid w:val="003A5654"/>
    <w:rsid w:val="003A59EC"/>
    <w:rsid w:val="003A5B99"/>
    <w:rsid w:val="003A60F5"/>
    <w:rsid w:val="003A66A7"/>
    <w:rsid w:val="003B0117"/>
    <w:rsid w:val="003B079A"/>
    <w:rsid w:val="003B09D3"/>
    <w:rsid w:val="003B0E54"/>
    <w:rsid w:val="003B0E5D"/>
    <w:rsid w:val="003B128D"/>
    <w:rsid w:val="003B1662"/>
    <w:rsid w:val="003B228F"/>
    <w:rsid w:val="003B3580"/>
    <w:rsid w:val="003B45B1"/>
    <w:rsid w:val="003B519D"/>
    <w:rsid w:val="003B72A5"/>
    <w:rsid w:val="003C04C1"/>
    <w:rsid w:val="003C08AF"/>
    <w:rsid w:val="003C10CB"/>
    <w:rsid w:val="003C1112"/>
    <w:rsid w:val="003C150A"/>
    <w:rsid w:val="003C175D"/>
    <w:rsid w:val="003C1B78"/>
    <w:rsid w:val="003C1BA3"/>
    <w:rsid w:val="003C1F9E"/>
    <w:rsid w:val="003C2BA4"/>
    <w:rsid w:val="003C2C35"/>
    <w:rsid w:val="003C4EAF"/>
    <w:rsid w:val="003C56AF"/>
    <w:rsid w:val="003C5940"/>
    <w:rsid w:val="003C5A28"/>
    <w:rsid w:val="003C5DAE"/>
    <w:rsid w:val="003C64A7"/>
    <w:rsid w:val="003C66C9"/>
    <w:rsid w:val="003C6FB1"/>
    <w:rsid w:val="003C75E6"/>
    <w:rsid w:val="003D007B"/>
    <w:rsid w:val="003D0E28"/>
    <w:rsid w:val="003D0E84"/>
    <w:rsid w:val="003D17EA"/>
    <w:rsid w:val="003D18F2"/>
    <w:rsid w:val="003D1BEE"/>
    <w:rsid w:val="003D216E"/>
    <w:rsid w:val="003D24D4"/>
    <w:rsid w:val="003D25CA"/>
    <w:rsid w:val="003D32C6"/>
    <w:rsid w:val="003D3A1B"/>
    <w:rsid w:val="003D3D67"/>
    <w:rsid w:val="003D472B"/>
    <w:rsid w:val="003D49BC"/>
    <w:rsid w:val="003D5ADA"/>
    <w:rsid w:val="003D6A8D"/>
    <w:rsid w:val="003D6F38"/>
    <w:rsid w:val="003D6F8B"/>
    <w:rsid w:val="003D70A8"/>
    <w:rsid w:val="003D72C9"/>
    <w:rsid w:val="003D783B"/>
    <w:rsid w:val="003D7930"/>
    <w:rsid w:val="003D7AD7"/>
    <w:rsid w:val="003E0F01"/>
    <w:rsid w:val="003E1D71"/>
    <w:rsid w:val="003E2993"/>
    <w:rsid w:val="003E2BD0"/>
    <w:rsid w:val="003E2D46"/>
    <w:rsid w:val="003E3AE9"/>
    <w:rsid w:val="003E3B6E"/>
    <w:rsid w:val="003E4BF9"/>
    <w:rsid w:val="003E5903"/>
    <w:rsid w:val="003E75A3"/>
    <w:rsid w:val="003E7740"/>
    <w:rsid w:val="003E7CE5"/>
    <w:rsid w:val="003E7E33"/>
    <w:rsid w:val="003E7FE6"/>
    <w:rsid w:val="003F014E"/>
    <w:rsid w:val="003F05F3"/>
    <w:rsid w:val="003F0F2B"/>
    <w:rsid w:val="003F1018"/>
    <w:rsid w:val="003F1816"/>
    <w:rsid w:val="003F1EC3"/>
    <w:rsid w:val="003F216B"/>
    <w:rsid w:val="003F3244"/>
    <w:rsid w:val="003F377D"/>
    <w:rsid w:val="003F37AE"/>
    <w:rsid w:val="003F3981"/>
    <w:rsid w:val="003F3D61"/>
    <w:rsid w:val="003F456B"/>
    <w:rsid w:val="003F4F3A"/>
    <w:rsid w:val="003F5524"/>
    <w:rsid w:val="003F55A5"/>
    <w:rsid w:val="003F6F87"/>
    <w:rsid w:val="003F7F51"/>
    <w:rsid w:val="003F7F59"/>
    <w:rsid w:val="00400951"/>
    <w:rsid w:val="00401289"/>
    <w:rsid w:val="0040155B"/>
    <w:rsid w:val="00401B3B"/>
    <w:rsid w:val="004024F0"/>
    <w:rsid w:val="00402A1E"/>
    <w:rsid w:val="00402D33"/>
    <w:rsid w:val="004031BE"/>
    <w:rsid w:val="00403212"/>
    <w:rsid w:val="00403E60"/>
    <w:rsid w:val="00404302"/>
    <w:rsid w:val="00404844"/>
    <w:rsid w:val="0040491D"/>
    <w:rsid w:val="00404BAB"/>
    <w:rsid w:val="00404BEA"/>
    <w:rsid w:val="00405B57"/>
    <w:rsid w:val="00406293"/>
    <w:rsid w:val="004062D4"/>
    <w:rsid w:val="00406995"/>
    <w:rsid w:val="00407590"/>
    <w:rsid w:val="00411A38"/>
    <w:rsid w:val="00412965"/>
    <w:rsid w:val="00412992"/>
    <w:rsid w:val="00412BFD"/>
    <w:rsid w:val="00412C1A"/>
    <w:rsid w:val="00413817"/>
    <w:rsid w:val="00414289"/>
    <w:rsid w:val="0041483D"/>
    <w:rsid w:val="004152DA"/>
    <w:rsid w:val="00415372"/>
    <w:rsid w:val="00415668"/>
    <w:rsid w:val="004157B2"/>
    <w:rsid w:val="00415AE5"/>
    <w:rsid w:val="00416096"/>
    <w:rsid w:val="0041694F"/>
    <w:rsid w:val="00416F15"/>
    <w:rsid w:val="00417295"/>
    <w:rsid w:val="004172D3"/>
    <w:rsid w:val="00421141"/>
    <w:rsid w:val="0042118A"/>
    <w:rsid w:val="0042184E"/>
    <w:rsid w:val="00422873"/>
    <w:rsid w:val="00422ED8"/>
    <w:rsid w:val="004249D0"/>
    <w:rsid w:val="0042538A"/>
    <w:rsid w:val="0042567E"/>
    <w:rsid w:val="0042708F"/>
    <w:rsid w:val="0042738C"/>
    <w:rsid w:val="00427E92"/>
    <w:rsid w:val="004308B6"/>
    <w:rsid w:val="004308FE"/>
    <w:rsid w:val="00430AF2"/>
    <w:rsid w:val="00430BB6"/>
    <w:rsid w:val="00430D8A"/>
    <w:rsid w:val="00431862"/>
    <w:rsid w:val="00432CCF"/>
    <w:rsid w:val="004331B8"/>
    <w:rsid w:val="00433333"/>
    <w:rsid w:val="00433385"/>
    <w:rsid w:val="00434552"/>
    <w:rsid w:val="00434711"/>
    <w:rsid w:val="00436EEC"/>
    <w:rsid w:val="00437020"/>
    <w:rsid w:val="004377D6"/>
    <w:rsid w:val="00437D11"/>
    <w:rsid w:val="0044028E"/>
    <w:rsid w:val="00440D0E"/>
    <w:rsid w:val="00441122"/>
    <w:rsid w:val="004416D3"/>
    <w:rsid w:val="00442D53"/>
    <w:rsid w:val="00443474"/>
    <w:rsid w:val="00443DF6"/>
    <w:rsid w:val="00444650"/>
    <w:rsid w:val="00446BB1"/>
    <w:rsid w:val="00446F74"/>
    <w:rsid w:val="00447140"/>
    <w:rsid w:val="0044735A"/>
    <w:rsid w:val="0045018A"/>
    <w:rsid w:val="00450CEA"/>
    <w:rsid w:val="004518F8"/>
    <w:rsid w:val="00453E96"/>
    <w:rsid w:val="00454124"/>
    <w:rsid w:val="004543A0"/>
    <w:rsid w:val="00454589"/>
    <w:rsid w:val="0045472A"/>
    <w:rsid w:val="00454E27"/>
    <w:rsid w:val="004553F4"/>
    <w:rsid w:val="00455DF6"/>
    <w:rsid w:val="00455E8A"/>
    <w:rsid w:val="00455F4B"/>
    <w:rsid w:val="004562A7"/>
    <w:rsid w:val="0045645C"/>
    <w:rsid w:val="004568A7"/>
    <w:rsid w:val="00456E9D"/>
    <w:rsid w:val="00457BE6"/>
    <w:rsid w:val="00457F06"/>
    <w:rsid w:val="00460C55"/>
    <w:rsid w:val="00461A48"/>
    <w:rsid w:val="00461ADA"/>
    <w:rsid w:val="00461C89"/>
    <w:rsid w:val="00461C95"/>
    <w:rsid w:val="0046420F"/>
    <w:rsid w:val="00464564"/>
    <w:rsid w:val="00465D05"/>
    <w:rsid w:val="004668B7"/>
    <w:rsid w:val="004674CA"/>
    <w:rsid w:val="00467920"/>
    <w:rsid w:val="00467DAE"/>
    <w:rsid w:val="00467E0C"/>
    <w:rsid w:val="004706FB"/>
    <w:rsid w:val="00470A1A"/>
    <w:rsid w:val="004712D5"/>
    <w:rsid w:val="004713C2"/>
    <w:rsid w:val="004713F6"/>
    <w:rsid w:val="004718C6"/>
    <w:rsid w:val="00472E53"/>
    <w:rsid w:val="00472E72"/>
    <w:rsid w:val="00473A16"/>
    <w:rsid w:val="004746B4"/>
    <w:rsid w:val="00474C8F"/>
    <w:rsid w:val="004750E1"/>
    <w:rsid w:val="0047518D"/>
    <w:rsid w:val="004755CB"/>
    <w:rsid w:val="00476768"/>
    <w:rsid w:val="00477144"/>
    <w:rsid w:val="00477177"/>
    <w:rsid w:val="00477905"/>
    <w:rsid w:val="00480AD5"/>
    <w:rsid w:val="00481CF6"/>
    <w:rsid w:val="0048200C"/>
    <w:rsid w:val="00482C83"/>
    <w:rsid w:val="00482CCB"/>
    <w:rsid w:val="00482DC7"/>
    <w:rsid w:val="004838A8"/>
    <w:rsid w:val="004846E6"/>
    <w:rsid w:val="00485E9C"/>
    <w:rsid w:val="00485F30"/>
    <w:rsid w:val="004864CF"/>
    <w:rsid w:val="0048710E"/>
    <w:rsid w:val="004878F5"/>
    <w:rsid w:val="004879AF"/>
    <w:rsid w:val="00487EB7"/>
    <w:rsid w:val="00490765"/>
    <w:rsid w:val="004907AE"/>
    <w:rsid w:val="00490976"/>
    <w:rsid w:val="00491066"/>
    <w:rsid w:val="004913A1"/>
    <w:rsid w:val="00491F21"/>
    <w:rsid w:val="004930A1"/>
    <w:rsid w:val="0049347B"/>
    <w:rsid w:val="0049370D"/>
    <w:rsid w:val="0049386A"/>
    <w:rsid w:val="00494E99"/>
    <w:rsid w:val="004965A3"/>
    <w:rsid w:val="00496B25"/>
    <w:rsid w:val="00496BDA"/>
    <w:rsid w:val="00496EBD"/>
    <w:rsid w:val="0049744B"/>
    <w:rsid w:val="004A1A00"/>
    <w:rsid w:val="004A1A5D"/>
    <w:rsid w:val="004A1EB2"/>
    <w:rsid w:val="004A2CF8"/>
    <w:rsid w:val="004A5017"/>
    <w:rsid w:val="004A51AE"/>
    <w:rsid w:val="004A51EC"/>
    <w:rsid w:val="004A5C8E"/>
    <w:rsid w:val="004A6064"/>
    <w:rsid w:val="004A6A7D"/>
    <w:rsid w:val="004A6DE8"/>
    <w:rsid w:val="004A7381"/>
    <w:rsid w:val="004A74FC"/>
    <w:rsid w:val="004B05FF"/>
    <w:rsid w:val="004B1219"/>
    <w:rsid w:val="004B1225"/>
    <w:rsid w:val="004B2658"/>
    <w:rsid w:val="004B2FCF"/>
    <w:rsid w:val="004B313F"/>
    <w:rsid w:val="004B3E24"/>
    <w:rsid w:val="004B4094"/>
    <w:rsid w:val="004B4859"/>
    <w:rsid w:val="004B4F47"/>
    <w:rsid w:val="004B5138"/>
    <w:rsid w:val="004B5AAD"/>
    <w:rsid w:val="004B6168"/>
    <w:rsid w:val="004B6568"/>
    <w:rsid w:val="004B6E29"/>
    <w:rsid w:val="004B75A6"/>
    <w:rsid w:val="004B7863"/>
    <w:rsid w:val="004B7B6C"/>
    <w:rsid w:val="004B7D90"/>
    <w:rsid w:val="004C01F2"/>
    <w:rsid w:val="004C026B"/>
    <w:rsid w:val="004C05C1"/>
    <w:rsid w:val="004C085C"/>
    <w:rsid w:val="004C1BBC"/>
    <w:rsid w:val="004C235D"/>
    <w:rsid w:val="004C2591"/>
    <w:rsid w:val="004C2F5B"/>
    <w:rsid w:val="004C41EF"/>
    <w:rsid w:val="004C456A"/>
    <w:rsid w:val="004C47EE"/>
    <w:rsid w:val="004C4C33"/>
    <w:rsid w:val="004C577E"/>
    <w:rsid w:val="004C5A78"/>
    <w:rsid w:val="004C5FEC"/>
    <w:rsid w:val="004C60A8"/>
    <w:rsid w:val="004C67EE"/>
    <w:rsid w:val="004C6D0F"/>
    <w:rsid w:val="004C703D"/>
    <w:rsid w:val="004C7A7E"/>
    <w:rsid w:val="004D0048"/>
    <w:rsid w:val="004D032A"/>
    <w:rsid w:val="004D13DB"/>
    <w:rsid w:val="004D1F6F"/>
    <w:rsid w:val="004D2017"/>
    <w:rsid w:val="004D216B"/>
    <w:rsid w:val="004D2492"/>
    <w:rsid w:val="004D29B0"/>
    <w:rsid w:val="004D34C8"/>
    <w:rsid w:val="004D3576"/>
    <w:rsid w:val="004D3BC6"/>
    <w:rsid w:val="004D5187"/>
    <w:rsid w:val="004D5FB9"/>
    <w:rsid w:val="004D5FC7"/>
    <w:rsid w:val="004D5FD3"/>
    <w:rsid w:val="004D67CC"/>
    <w:rsid w:val="004D6F48"/>
    <w:rsid w:val="004D6FF7"/>
    <w:rsid w:val="004D6FFE"/>
    <w:rsid w:val="004D70EB"/>
    <w:rsid w:val="004D7789"/>
    <w:rsid w:val="004D7D08"/>
    <w:rsid w:val="004E10DF"/>
    <w:rsid w:val="004E15A2"/>
    <w:rsid w:val="004E171A"/>
    <w:rsid w:val="004E273F"/>
    <w:rsid w:val="004E343E"/>
    <w:rsid w:val="004E3A36"/>
    <w:rsid w:val="004E3B61"/>
    <w:rsid w:val="004E3DEE"/>
    <w:rsid w:val="004E40B8"/>
    <w:rsid w:val="004E4259"/>
    <w:rsid w:val="004E4B41"/>
    <w:rsid w:val="004E5135"/>
    <w:rsid w:val="004E5208"/>
    <w:rsid w:val="004E54EF"/>
    <w:rsid w:val="004E5729"/>
    <w:rsid w:val="004E5A37"/>
    <w:rsid w:val="004E5CD7"/>
    <w:rsid w:val="004E628E"/>
    <w:rsid w:val="004E62B9"/>
    <w:rsid w:val="004E6C54"/>
    <w:rsid w:val="004E6C82"/>
    <w:rsid w:val="004E6C89"/>
    <w:rsid w:val="004E6CC3"/>
    <w:rsid w:val="004E6F3F"/>
    <w:rsid w:val="004E707E"/>
    <w:rsid w:val="004E7864"/>
    <w:rsid w:val="004F0F34"/>
    <w:rsid w:val="004F1CFD"/>
    <w:rsid w:val="004F1E0C"/>
    <w:rsid w:val="004F1E3F"/>
    <w:rsid w:val="004F2BA2"/>
    <w:rsid w:val="004F2DB4"/>
    <w:rsid w:val="004F3768"/>
    <w:rsid w:val="004F4A20"/>
    <w:rsid w:val="004F5675"/>
    <w:rsid w:val="004F6048"/>
    <w:rsid w:val="004F66D3"/>
    <w:rsid w:val="004F749E"/>
    <w:rsid w:val="004F77CB"/>
    <w:rsid w:val="004F79A4"/>
    <w:rsid w:val="004F7E2C"/>
    <w:rsid w:val="0050046A"/>
    <w:rsid w:val="005004FC"/>
    <w:rsid w:val="00500A03"/>
    <w:rsid w:val="00500C2B"/>
    <w:rsid w:val="00500C38"/>
    <w:rsid w:val="005010CA"/>
    <w:rsid w:val="005017AC"/>
    <w:rsid w:val="00502257"/>
    <w:rsid w:val="0050231E"/>
    <w:rsid w:val="005031DB"/>
    <w:rsid w:val="005033DC"/>
    <w:rsid w:val="005035DC"/>
    <w:rsid w:val="00504177"/>
    <w:rsid w:val="00505A52"/>
    <w:rsid w:val="00506FE8"/>
    <w:rsid w:val="005075CA"/>
    <w:rsid w:val="00507F86"/>
    <w:rsid w:val="00510678"/>
    <w:rsid w:val="00511312"/>
    <w:rsid w:val="00511936"/>
    <w:rsid w:val="00511C25"/>
    <w:rsid w:val="0051240A"/>
    <w:rsid w:val="00512B5E"/>
    <w:rsid w:val="00512C28"/>
    <w:rsid w:val="00512FA3"/>
    <w:rsid w:val="005156B6"/>
    <w:rsid w:val="00515C0A"/>
    <w:rsid w:val="005163A6"/>
    <w:rsid w:val="00516E2E"/>
    <w:rsid w:val="00516FB8"/>
    <w:rsid w:val="0051773D"/>
    <w:rsid w:val="00517B19"/>
    <w:rsid w:val="005203A1"/>
    <w:rsid w:val="005208AA"/>
    <w:rsid w:val="00521017"/>
    <w:rsid w:val="0052113B"/>
    <w:rsid w:val="00521A98"/>
    <w:rsid w:val="00521AE4"/>
    <w:rsid w:val="00521E53"/>
    <w:rsid w:val="00522EB3"/>
    <w:rsid w:val="00522F4B"/>
    <w:rsid w:val="00524E97"/>
    <w:rsid w:val="00525141"/>
    <w:rsid w:val="00525851"/>
    <w:rsid w:val="00525A91"/>
    <w:rsid w:val="00526FA4"/>
    <w:rsid w:val="00530535"/>
    <w:rsid w:val="005317AE"/>
    <w:rsid w:val="00531995"/>
    <w:rsid w:val="00531C1A"/>
    <w:rsid w:val="00531F5A"/>
    <w:rsid w:val="00532562"/>
    <w:rsid w:val="00532EF6"/>
    <w:rsid w:val="00532F71"/>
    <w:rsid w:val="005333E5"/>
    <w:rsid w:val="0053360D"/>
    <w:rsid w:val="005344F2"/>
    <w:rsid w:val="00534E0F"/>
    <w:rsid w:val="00535C86"/>
    <w:rsid w:val="00536BD8"/>
    <w:rsid w:val="005370E1"/>
    <w:rsid w:val="0053757F"/>
    <w:rsid w:val="00537E4D"/>
    <w:rsid w:val="00537F0E"/>
    <w:rsid w:val="00540910"/>
    <w:rsid w:val="005416EB"/>
    <w:rsid w:val="00541B3A"/>
    <w:rsid w:val="0054310D"/>
    <w:rsid w:val="00543A1F"/>
    <w:rsid w:val="00543CAF"/>
    <w:rsid w:val="00545D95"/>
    <w:rsid w:val="005470E5"/>
    <w:rsid w:val="00550284"/>
    <w:rsid w:val="00550452"/>
    <w:rsid w:val="00550C06"/>
    <w:rsid w:val="0055123F"/>
    <w:rsid w:val="00551E23"/>
    <w:rsid w:val="005520AB"/>
    <w:rsid w:val="005520B2"/>
    <w:rsid w:val="005525C6"/>
    <w:rsid w:val="005529C3"/>
    <w:rsid w:val="005534F3"/>
    <w:rsid w:val="005557A1"/>
    <w:rsid w:val="00555E2F"/>
    <w:rsid w:val="0055606D"/>
    <w:rsid w:val="005563F7"/>
    <w:rsid w:val="00557734"/>
    <w:rsid w:val="00557E43"/>
    <w:rsid w:val="005609E7"/>
    <w:rsid w:val="0056176F"/>
    <w:rsid w:val="00562004"/>
    <w:rsid w:val="0056220A"/>
    <w:rsid w:val="00562B1A"/>
    <w:rsid w:val="00563CBE"/>
    <w:rsid w:val="00564032"/>
    <w:rsid w:val="00565149"/>
    <w:rsid w:val="005656AC"/>
    <w:rsid w:val="00565D84"/>
    <w:rsid w:val="00566079"/>
    <w:rsid w:val="0056631B"/>
    <w:rsid w:val="00566AA0"/>
    <w:rsid w:val="00571C46"/>
    <w:rsid w:val="0057215C"/>
    <w:rsid w:val="00572496"/>
    <w:rsid w:val="005725DC"/>
    <w:rsid w:val="00572768"/>
    <w:rsid w:val="00573127"/>
    <w:rsid w:val="005736A7"/>
    <w:rsid w:val="00575464"/>
    <w:rsid w:val="0057560C"/>
    <w:rsid w:val="00575B4D"/>
    <w:rsid w:val="00575DE9"/>
    <w:rsid w:val="00575DF5"/>
    <w:rsid w:val="00575F09"/>
    <w:rsid w:val="005761BD"/>
    <w:rsid w:val="005761D1"/>
    <w:rsid w:val="005764DC"/>
    <w:rsid w:val="00576537"/>
    <w:rsid w:val="0057663B"/>
    <w:rsid w:val="00576CEF"/>
    <w:rsid w:val="005774D2"/>
    <w:rsid w:val="0057755D"/>
    <w:rsid w:val="00577631"/>
    <w:rsid w:val="00580C9E"/>
    <w:rsid w:val="00581786"/>
    <w:rsid w:val="00581F8C"/>
    <w:rsid w:val="00583117"/>
    <w:rsid w:val="005831C7"/>
    <w:rsid w:val="0058336E"/>
    <w:rsid w:val="00583628"/>
    <w:rsid w:val="00584582"/>
    <w:rsid w:val="00584E02"/>
    <w:rsid w:val="00585514"/>
    <w:rsid w:val="00585E66"/>
    <w:rsid w:val="0058688A"/>
    <w:rsid w:val="00586E63"/>
    <w:rsid w:val="00586EC3"/>
    <w:rsid w:val="0059029B"/>
    <w:rsid w:val="005904FE"/>
    <w:rsid w:val="005909A6"/>
    <w:rsid w:val="00590D1F"/>
    <w:rsid w:val="00590F34"/>
    <w:rsid w:val="00590F4B"/>
    <w:rsid w:val="00592B02"/>
    <w:rsid w:val="00592B7C"/>
    <w:rsid w:val="00592CC0"/>
    <w:rsid w:val="00593E50"/>
    <w:rsid w:val="005941FA"/>
    <w:rsid w:val="0059534B"/>
    <w:rsid w:val="0059581A"/>
    <w:rsid w:val="0059670D"/>
    <w:rsid w:val="00596DA1"/>
    <w:rsid w:val="00596F11"/>
    <w:rsid w:val="005979D5"/>
    <w:rsid w:val="00597DB6"/>
    <w:rsid w:val="005A03F5"/>
    <w:rsid w:val="005A0B8A"/>
    <w:rsid w:val="005A2261"/>
    <w:rsid w:val="005A2715"/>
    <w:rsid w:val="005A2FC0"/>
    <w:rsid w:val="005A3177"/>
    <w:rsid w:val="005A3260"/>
    <w:rsid w:val="005A3790"/>
    <w:rsid w:val="005A3EA5"/>
    <w:rsid w:val="005A464D"/>
    <w:rsid w:val="005A5553"/>
    <w:rsid w:val="005A5592"/>
    <w:rsid w:val="005A78C4"/>
    <w:rsid w:val="005A7CF4"/>
    <w:rsid w:val="005B0691"/>
    <w:rsid w:val="005B0847"/>
    <w:rsid w:val="005B0ECF"/>
    <w:rsid w:val="005B0F68"/>
    <w:rsid w:val="005B0FE9"/>
    <w:rsid w:val="005B10BE"/>
    <w:rsid w:val="005B14A5"/>
    <w:rsid w:val="005B1806"/>
    <w:rsid w:val="005B18C5"/>
    <w:rsid w:val="005B2558"/>
    <w:rsid w:val="005B27D9"/>
    <w:rsid w:val="005B3472"/>
    <w:rsid w:val="005B383D"/>
    <w:rsid w:val="005B3B3E"/>
    <w:rsid w:val="005B6396"/>
    <w:rsid w:val="005B70F5"/>
    <w:rsid w:val="005C0AA2"/>
    <w:rsid w:val="005C1A49"/>
    <w:rsid w:val="005C1B9B"/>
    <w:rsid w:val="005C2E96"/>
    <w:rsid w:val="005C3284"/>
    <w:rsid w:val="005C34A1"/>
    <w:rsid w:val="005C3844"/>
    <w:rsid w:val="005C3CBC"/>
    <w:rsid w:val="005C4750"/>
    <w:rsid w:val="005C4DFE"/>
    <w:rsid w:val="005C5C21"/>
    <w:rsid w:val="005C64CB"/>
    <w:rsid w:val="005C6B35"/>
    <w:rsid w:val="005C7A5A"/>
    <w:rsid w:val="005D01D7"/>
    <w:rsid w:val="005D0B93"/>
    <w:rsid w:val="005D0F29"/>
    <w:rsid w:val="005D1700"/>
    <w:rsid w:val="005D1977"/>
    <w:rsid w:val="005D20FD"/>
    <w:rsid w:val="005D24A8"/>
    <w:rsid w:val="005D2CB3"/>
    <w:rsid w:val="005D370C"/>
    <w:rsid w:val="005D37CA"/>
    <w:rsid w:val="005D381C"/>
    <w:rsid w:val="005D385A"/>
    <w:rsid w:val="005D4473"/>
    <w:rsid w:val="005D5119"/>
    <w:rsid w:val="005D526E"/>
    <w:rsid w:val="005D556A"/>
    <w:rsid w:val="005D6253"/>
    <w:rsid w:val="005D740A"/>
    <w:rsid w:val="005E0221"/>
    <w:rsid w:val="005E054C"/>
    <w:rsid w:val="005E0DFF"/>
    <w:rsid w:val="005E10B1"/>
    <w:rsid w:val="005E1DD9"/>
    <w:rsid w:val="005E1EA9"/>
    <w:rsid w:val="005E201B"/>
    <w:rsid w:val="005E239D"/>
    <w:rsid w:val="005E2457"/>
    <w:rsid w:val="005E37CD"/>
    <w:rsid w:val="005E389E"/>
    <w:rsid w:val="005E3C10"/>
    <w:rsid w:val="005E3E38"/>
    <w:rsid w:val="005E4424"/>
    <w:rsid w:val="005E4827"/>
    <w:rsid w:val="005E48F9"/>
    <w:rsid w:val="005E6ADE"/>
    <w:rsid w:val="005E75DE"/>
    <w:rsid w:val="005E7889"/>
    <w:rsid w:val="005E7BCC"/>
    <w:rsid w:val="005E7F1C"/>
    <w:rsid w:val="005F05C7"/>
    <w:rsid w:val="005F0E87"/>
    <w:rsid w:val="005F0EFE"/>
    <w:rsid w:val="005F2788"/>
    <w:rsid w:val="005F2B83"/>
    <w:rsid w:val="005F354A"/>
    <w:rsid w:val="005F36DA"/>
    <w:rsid w:val="005F39A3"/>
    <w:rsid w:val="005F3FA3"/>
    <w:rsid w:val="005F4275"/>
    <w:rsid w:val="005F4A66"/>
    <w:rsid w:val="005F4C66"/>
    <w:rsid w:val="005F5026"/>
    <w:rsid w:val="005F5B9B"/>
    <w:rsid w:val="005F626D"/>
    <w:rsid w:val="005F6CF7"/>
    <w:rsid w:val="005F6E80"/>
    <w:rsid w:val="005F71FD"/>
    <w:rsid w:val="005F7425"/>
    <w:rsid w:val="005F7989"/>
    <w:rsid w:val="006007C2"/>
    <w:rsid w:val="00600CB7"/>
    <w:rsid w:val="00601393"/>
    <w:rsid w:val="00601670"/>
    <w:rsid w:val="00602257"/>
    <w:rsid w:val="0060257F"/>
    <w:rsid w:val="006037DD"/>
    <w:rsid w:val="0060489C"/>
    <w:rsid w:val="0060598C"/>
    <w:rsid w:val="00606145"/>
    <w:rsid w:val="00606557"/>
    <w:rsid w:val="00606C38"/>
    <w:rsid w:val="00607ECF"/>
    <w:rsid w:val="00612B0B"/>
    <w:rsid w:val="006134AE"/>
    <w:rsid w:val="0061377A"/>
    <w:rsid w:val="006137E6"/>
    <w:rsid w:val="00614072"/>
    <w:rsid w:val="006140DC"/>
    <w:rsid w:val="00614523"/>
    <w:rsid w:val="0061474F"/>
    <w:rsid w:val="0061594D"/>
    <w:rsid w:val="00615EE1"/>
    <w:rsid w:val="00615EE5"/>
    <w:rsid w:val="006161E6"/>
    <w:rsid w:val="006205B6"/>
    <w:rsid w:val="00621056"/>
    <w:rsid w:val="006216EA"/>
    <w:rsid w:val="00621B56"/>
    <w:rsid w:val="00622237"/>
    <w:rsid w:val="0062234B"/>
    <w:rsid w:val="0062259E"/>
    <w:rsid w:val="00622E6E"/>
    <w:rsid w:val="00623025"/>
    <w:rsid w:val="00623185"/>
    <w:rsid w:val="006248DD"/>
    <w:rsid w:val="0062541A"/>
    <w:rsid w:val="0062559B"/>
    <w:rsid w:val="00626F1E"/>
    <w:rsid w:val="0062778D"/>
    <w:rsid w:val="00627B32"/>
    <w:rsid w:val="0063011F"/>
    <w:rsid w:val="00630298"/>
    <w:rsid w:val="00630E84"/>
    <w:rsid w:val="0063108E"/>
    <w:rsid w:val="00631121"/>
    <w:rsid w:val="00631171"/>
    <w:rsid w:val="006316F0"/>
    <w:rsid w:val="006327B7"/>
    <w:rsid w:val="00632A35"/>
    <w:rsid w:val="0063319E"/>
    <w:rsid w:val="006336B1"/>
    <w:rsid w:val="0063399C"/>
    <w:rsid w:val="0063471D"/>
    <w:rsid w:val="0063539D"/>
    <w:rsid w:val="00635917"/>
    <w:rsid w:val="00636520"/>
    <w:rsid w:val="006405EE"/>
    <w:rsid w:val="00640C28"/>
    <w:rsid w:val="00640F4E"/>
    <w:rsid w:val="006416EA"/>
    <w:rsid w:val="0064214A"/>
    <w:rsid w:val="00642D43"/>
    <w:rsid w:val="00644589"/>
    <w:rsid w:val="00644643"/>
    <w:rsid w:val="00644A08"/>
    <w:rsid w:val="00644A5A"/>
    <w:rsid w:val="00646860"/>
    <w:rsid w:val="00646E52"/>
    <w:rsid w:val="00650439"/>
    <w:rsid w:val="0065148E"/>
    <w:rsid w:val="00651A71"/>
    <w:rsid w:val="006529CB"/>
    <w:rsid w:val="006530AF"/>
    <w:rsid w:val="00653959"/>
    <w:rsid w:val="00653D7D"/>
    <w:rsid w:val="00654218"/>
    <w:rsid w:val="0065543E"/>
    <w:rsid w:val="00656203"/>
    <w:rsid w:val="006571EA"/>
    <w:rsid w:val="00657799"/>
    <w:rsid w:val="00657A51"/>
    <w:rsid w:val="00657CD0"/>
    <w:rsid w:val="00660209"/>
    <w:rsid w:val="00661137"/>
    <w:rsid w:val="006616A5"/>
    <w:rsid w:val="00661A16"/>
    <w:rsid w:val="00661C60"/>
    <w:rsid w:val="00662451"/>
    <w:rsid w:val="0066259A"/>
    <w:rsid w:val="006627BE"/>
    <w:rsid w:val="00662C1B"/>
    <w:rsid w:val="0066373F"/>
    <w:rsid w:val="006638E3"/>
    <w:rsid w:val="00663E07"/>
    <w:rsid w:val="00667165"/>
    <w:rsid w:val="0067179B"/>
    <w:rsid w:val="00671B92"/>
    <w:rsid w:val="00671EF6"/>
    <w:rsid w:val="00672015"/>
    <w:rsid w:val="006722F0"/>
    <w:rsid w:val="0067288F"/>
    <w:rsid w:val="00672C90"/>
    <w:rsid w:val="00672F65"/>
    <w:rsid w:val="006731A8"/>
    <w:rsid w:val="00673393"/>
    <w:rsid w:val="00673533"/>
    <w:rsid w:val="00673A55"/>
    <w:rsid w:val="00673F98"/>
    <w:rsid w:val="006740BE"/>
    <w:rsid w:val="006755FD"/>
    <w:rsid w:val="00675F43"/>
    <w:rsid w:val="00675FE5"/>
    <w:rsid w:val="006762BB"/>
    <w:rsid w:val="006765F0"/>
    <w:rsid w:val="006768CA"/>
    <w:rsid w:val="00676B89"/>
    <w:rsid w:val="00676DE1"/>
    <w:rsid w:val="0067708F"/>
    <w:rsid w:val="00677AB6"/>
    <w:rsid w:val="00677B79"/>
    <w:rsid w:val="00677FA3"/>
    <w:rsid w:val="00677FD6"/>
    <w:rsid w:val="0068047F"/>
    <w:rsid w:val="00680607"/>
    <w:rsid w:val="006807F4"/>
    <w:rsid w:val="00680A5B"/>
    <w:rsid w:val="00680CAF"/>
    <w:rsid w:val="006815DE"/>
    <w:rsid w:val="00681A0D"/>
    <w:rsid w:val="00682243"/>
    <w:rsid w:val="0068411D"/>
    <w:rsid w:val="00684A6F"/>
    <w:rsid w:val="00684DF0"/>
    <w:rsid w:val="00684E5D"/>
    <w:rsid w:val="00685B83"/>
    <w:rsid w:val="00685C35"/>
    <w:rsid w:val="00685D99"/>
    <w:rsid w:val="00686D53"/>
    <w:rsid w:val="00687594"/>
    <w:rsid w:val="00687966"/>
    <w:rsid w:val="00690013"/>
    <w:rsid w:val="0069012F"/>
    <w:rsid w:val="00690748"/>
    <w:rsid w:val="006908D0"/>
    <w:rsid w:val="00690B2E"/>
    <w:rsid w:val="00690C0A"/>
    <w:rsid w:val="00690EC4"/>
    <w:rsid w:val="00692780"/>
    <w:rsid w:val="006927C5"/>
    <w:rsid w:val="00692EB4"/>
    <w:rsid w:val="00694309"/>
    <w:rsid w:val="006947E9"/>
    <w:rsid w:val="0069480F"/>
    <w:rsid w:val="0069489F"/>
    <w:rsid w:val="00696720"/>
    <w:rsid w:val="00696BF6"/>
    <w:rsid w:val="00697AB8"/>
    <w:rsid w:val="00697CB1"/>
    <w:rsid w:val="00697F73"/>
    <w:rsid w:val="006A01F9"/>
    <w:rsid w:val="006A0735"/>
    <w:rsid w:val="006A0CC6"/>
    <w:rsid w:val="006A127B"/>
    <w:rsid w:val="006A2551"/>
    <w:rsid w:val="006A279B"/>
    <w:rsid w:val="006A2866"/>
    <w:rsid w:val="006A2A3A"/>
    <w:rsid w:val="006A2FEA"/>
    <w:rsid w:val="006A3043"/>
    <w:rsid w:val="006A304C"/>
    <w:rsid w:val="006A394E"/>
    <w:rsid w:val="006A3F1F"/>
    <w:rsid w:val="006A429C"/>
    <w:rsid w:val="006A45A8"/>
    <w:rsid w:val="006A4780"/>
    <w:rsid w:val="006A52F0"/>
    <w:rsid w:val="006A5B91"/>
    <w:rsid w:val="006A63A0"/>
    <w:rsid w:val="006A6440"/>
    <w:rsid w:val="006A6626"/>
    <w:rsid w:val="006A73CA"/>
    <w:rsid w:val="006A7451"/>
    <w:rsid w:val="006A7ED9"/>
    <w:rsid w:val="006B0333"/>
    <w:rsid w:val="006B0A6B"/>
    <w:rsid w:val="006B0A81"/>
    <w:rsid w:val="006B0D22"/>
    <w:rsid w:val="006B0F0C"/>
    <w:rsid w:val="006B0FD2"/>
    <w:rsid w:val="006B17FA"/>
    <w:rsid w:val="006B1AB4"/>
    <w:rsid w:val="006B2501"/>
    <w:rsid w:val="006B3CFA"/>
    <w:rsid w:val="006B4119"/>
    <w:rsid w:val="006B412B"/>
    <w:rsid w:val="006B4704"/>
    <w:rsid w:val="006B49EF"/>
    <w:rsid w:val="006B513C"/>
    <w:rsid w:val="006B645A"/>
    <w:rsid w:val="006B6A53"/>
    <w:rsid w:val="006B6A7D"/>
    <w:rsid w:val="006B712F"/>
    <w:rsid w:val="006B76AF"/>
    <w:rsid w:val="006B7EBA"/>
    <w:rsid w:val="006C01D0"/>
    <w:rsid w:val="006C07AD"/>
    <w:rsid w:val="006C0AB5"/>
    <w:rsid w:val="006C0E2D"/>
    <w:rsid w:val="006C0F7D"/>
    <w:rsid w:val="006C112A"/>
    <w:rsid w:val="006C1635"/>
    <w:rsid w:val="006C1963"/>
    <w:rsid w:val="006C1BBC"/>
    <w:rsid w:val="006C1CAF"/>
    <w:rsid w:val="006C1F90"/>
    <w:rsid w:val="006C24DA"/>
    <w:rsid w:val="006C291E"/>
    <w:rsid w:val="006C2D12"/>
    <w:rsid w:val="006C38F1"/>
    <w:rsid w:val="006C38F6"/>
    <w:rsid w:val="006C3D1F"/>
    <w:rsid w:val="006C48D5"/>
    <w:rsid w:val="006C63AB"/>
    <w:rsid w:val="006C6D44"/>
    <w:rsid w:val="006C76C5"/>
    <w:rsid w:val="006D02BE"/>
    <w:rsid w:val="006D07F7"/>
    <w:rsid w:val="006D0C6E"/>
    <w:rsid w:val="006D0E20"/>
    <w:rsid w:val="006D15DF"/>
    <w:rsid w:val="006D24BA"/>
    <w:rsid w:val="006D327D"/>
    <w:rsid w:val="006D32F6"/>
    <w:rsid w:val="006D367D"/>
    <w:rsid w:val="006D3E2C"/>
    <w:rsid w:val="006D3EBC"/>
    <w:rsid w:val="006D4F5B"/>
    <w:rsid w:val="006D5BB6"/>
    <w:rsid w:val="006D62A9"/>
    <w:rsid w:val="006D6A8A"/>
    <w:rsid w:val="006D7108"/>
    <w:rsid w:val="006D75ED"/>
    <w:rsid w:val="006D7754"/>
    <w:rsid w:val="006D78D2"/>
    <w:rsid w:val="006E03D4"/>
    <w:rsid w:val="006E057A"/>
    <w:rsid w:val="006E1066"/>
    <w:rsid w:val="006E25E6"/>
    <w:rsid w:val="006E3999"/>
    <w:rsid w:val="006E3D78"/>
    <w:rsid w:val="006E418F"/>
    <w:rsid w:val="006E4A16"/>
    <w:rsid w:val="006E4F19"/>
    <w:rsid w:val="006E67F4"/>
    <w:rsid w:val="006E6EA8"/>
    <w:rsid w:val="006E7064"/>
    <w:rsid w:val="006E7316"/>
    <w:rsid w:val="006E73C5"/>
    <w:rsid w:val="006E7A58"/>
    <w:rsid w:val="006F005F"/>
    <w:rsid w:val="006F04B1"/>
    <w:rsid w:val="006F04F7"/>
    <w:rsid w:val="006F1FC4"/>
    <w:rsid w:val="006F2140"/>
    <w:rsid w:val="006F2255"/>
    <w:rsid w:val="006F243D"/>
    <w:rsid w:val="006F31A9"/>
    <w:rsid w:val="006F32CB"/>
    <w:rsid w:val="006F3396"/>
    <w:rsid w:val="006F3604"/>
    <w:rsid w:val="006F502C"/>
    <w:rsid w:val="006F521B"/>
    <w:rsid w:val="006F5B34"/>
    <w:rsid w:val="006F761F"/>
    <w:rsid w:val="006F778C"/>
    <w:rsid w:val="007002D3"/>
    <w:rsid w:val="00701106"/>
    <w:rsid w:val="00701465"/>
    <w:rsid w:val="00701527"/>
    <w:rsid w:val="00701934"/>
    <w:rsid w:val="0070196B"/>
    <w:rsid w:val="00701994"/>
    <w:rsid w:val="00701B0C"/>
    <w:rsid w:val="00701B23"/>
    <w:rsid w:val="007020A4"/>
    <w:rsid w:val="007024CD"/>
    <w:rsid w:val="00702713"/>
    <w:rsid w:val="00702790"/>
    <w:rsid w:val="00702F12"/>
    <w:rsid w:val="007033DB"/>
    <w:rsid w:val="00705321"/>
    <w:rsid w:val="00707194"/>
    <w:rsid w:val="007071F3"/>
    <w:rsid w:val="00707217"/>
    <w:rsid w:val="00707CAF"/>
    <w:rsid w:val="00710B3F"/>
    <w:rsid w:val="00712A11"/>
    <w:rsid w:val="007132C3"/>
    <w:rsid w:val="00713714"/>
    <w:rsid w:val="00714352"/>
    <w:rsid w:val="00714DDC"/>
    <w:rsid w:val="00715120"/>
    <w:rsid w:val="00715C10"/>
    <w:rsid w:val="00717193"/>
    <w:rsid w:val="0071765E"/>
    <w:rsid w:val="00720590"/>
    <w:rsid w:val="00720873"/>
    <w:rsid w:val="00720E53"/>
    <w:rsid w:val="007216E3"/>
    <w:rsid w:val="00721CA8"/>
    <w:rsid w:val="00722247"/>
    <w:rsid w:val="007229A5"/>
    <w:rsid w:val="0072479D"/>
    <w:rsid w:val="00724F1D"/>
    <w:rsid w:val="00725486"/>
    <w:rsid w:val="007255B5"/>
    <w:rsid w:val="00725679"/>
    <w:rsid w:val="00725D02"/>
    <w:rsid w:val="00725D8D"/>
    <w:rsid w:val="00726624"/>
    <w:rsid w:val="00726783"/>
    <w:rsid w:val="00726B55"/>
    <w:rsid w:val="0072771C"/>
    <w:rsid w:val="00727E13"/>
    <w:rsid w:val="007300F9"/>
    <w:rsid w:val="007303E7"/>
    <w:rsid w:val="0073048E"/>
    <w:rsid w:val="007306D9"/>
    <w:rsid w:val="0073117C"/>
    <w:rsid w:val="00731B0D"/>
    <w:rsid w:val="00731BED"/>
    <w:rsid w:val="00732D9C"/>
    <w:rsid w:val="007336F3"/>
    <w:rsid w:val="00733DB3"/>
    <w:rsid w:val="007348D6"/>
    <w:rsid w:val="007351AF"/>
    <w:rsid w:val="0073604B"/>
    <w:rsid w:val="00736C61"/>
    <w:rsid w:val="00737617"/>
    <w:rsid w:val="007378FF"/>
    <w:rsid w:val="00737A84"/>
    <w:rsid w:val="007405AA"/>
    <w:rsid w:val="0074064F"/>
    <w:rsid w:val="0074081B"/>
    <w:rsid w:val="00740C80"/>
    <w:rsid w:val="00741060"/>
    <w:rsid w:val="007410A6"/>
    <w:rsid w:val="007417C7"/>
    <w:rsid w:val="00741A12"/>
    <w:rsid w:val="0074203A"/>
    <w:rsid w:val="0074296A"/>
    <w:rsid w:val="007432EF"/>
    <w:rsid w:val="00743B30"/>
    <w:rsid w:val="00743B58"/>
    <w:rsid w:val="00743D27"/>
    <w:rsid w:val="007443B0"/>
    <w:rsid w:val="0074450E"/>
    <w:rsid w:val="00744603"/>
    <w:rsid w:val="00744A85"/>
    <w:rsid w:val="00744D1B"/>
    <w:rsid w:val="00744E25"/>
    <w:rsid w:val="007450E1"/>
    <w:rsid w:val="00745613"/>
    <w:rsid w:val="00745911"/>
    <w:rsid w:val="00745C7C"/>
    <w:rsid w:val="0074603F"/>
    <w:rsid w:val="00746226"/>
    <w:rsid w:val="00746332"/>
    <w:rsid w:val="007465CC"/>
    <w:rsid w:val="00746753"/>
    <w:rsid w:val="0074715A"/>
    <w:rsid w:val="00750EFD"/>
    <w:rsid w:val="00751D43"/>
    <w:rsid w:val="007521E1"/>
    <w:rsid w:val="00752291"/>
    <w:rsid w:val="007527AF"/>
    <w:rsid w:val="00752AD4"/>
    <w:rsid w:val="00752ADE"/>
    <w:rsid w:val="00752C0A"/>
    <w:rsid w:val="00752E7D"/>
    <w:rsid w:val="0075324F"/>
    <w:rsid w:val="007533C5"/>
    <w:rsid w:val="00753CAF"/>
    <w:rsid w:val="00754F32"/>
    <w:rsid w:val="00754FD2"/>
    <w:rsid w:val="00755D26"/>
    <w:rsid w:val="00755E73"/>
    <w:rsid w:val="00755F9D"/>
    <w:rsid w:val="00756AB5"/>
    <w:rsid w:val="00757D29"/>
    <w:rsid w:val="007608CC"/>
    <w:rsid w:val="00760CE9"/>
    <w:rsid w:val="007611EB"/>
    <w:rsid w:val="0076201D"/>
    <w:rsid w:val="00762359"/>
    <w:rsid w:val="007625FD"/>
    <w:rsid w:val="00762A62"/>
    <w:rsid w:val="00762E0A"/>
    <w:rsid w:val="0076368C"/>
    <w:rsid w:val="00764502"/>
    <w:rsid w:val="00766E75"/>
    <w:rsid w:val="007678D2"/>
    <w:rsid w:val="00767B4E"/>
    <w:rsid w:val="00771917"/>
    <w:rsid w:val="00771F93"/>
    <w:rsid w:val="00772381"/>
    <w:rsid w:val="0077307A"/>
    <w:rsid w:val="00773952"/>
    <w:rsid w:val="00773DFA"/>
    <w:rsid w:val="00773F43"/>
    <w:rsid w:val="00773F8B"/>
    <w:rsid w:val="007752F9"/>
    <w:rsid w:val="007754DE"/>
    <w:rsid w:val="0077558C"/>
    <w:rsid w:val="0077674E"/>
    <w:rsid w:val="00776986"/>
    <w:rsid w:val="00777606"/>
    <w:rsid w:val="00777CB0"/>
    <w:rsid w:val="00782250"/>
    <w:rsid w:val="0078243E"/>
    <w:rsid w:val="007833D0"/>
    <w:rsid w:val="00784726"/>
    <w:rsid w:val="0078571E"/>
    <w:rsid w:val="00785B73"/>
    <w:rsid w:val="0078669A"/>
    <w:rsid w:val="00786F42"/>
    <w:rsid w:val="007876DB"/>
    <w:rsid w:val="007911F4"/>
    <w:rsid w:val="00791CE0"/>
    <w:rsid w:val="00791DA0"/>
    <w:rsid w:val="00791DA9"/>
    <w:rsid w:val="00791E48"/>
    <w:rsid w:val="0079258F"/>
    <w:rsid w:val="00793A1E"/>
    <w:rsid w:val="00793AED"/>
    <w:rsid w:val="0079422E"/>
    <w:rsid w:val="0079428F"/>
    <w:rsid w:val="007948A5"/>
    <w:rsid w:val="0079584B"/>
    <w:rsid w:val="00795C6C"/>
    <w:rsid w:val="0079607A"/>
    <w:rsid w:val="007961B9"/>
    <w:rsid w:val="00796355"/>
    <w:rsid w:val="0079647F"/>
    <w:rsid w:val="00796959"/>
    <w:rsid w:val="007969D9"/>
    <w:rsid w:val="00797F49"/>
    <w:rsid w:val="007A13BE"/>
    <w:rsid w:val="007A1898"/>
    <w:rsid w:val="007A22CE"/>
    <w:rsid w:val="007A22E1"/>
    <w:rsid w:val="007A33A9"/>
    <w:rsid w:val="007A3749"/>
    <w:rsid w:val="007A4203"/>
    <w:rsid w:val="007A555C"/>
    <w:rsid w:val="007A6186"/>
    <w:rsid w:val="007A6413"/>
    <w:rsid w:val="007A6809"/>
    <w:rsid w:val="007A733B"/>
    <w:rsid w:val="007A7C8E"/>
    <w:rsid w:val="007B0D39"/>
    <w:rsid w:val="007B0DBF"/>
    <w:rsid w:val="007B112C"/>
    <w:rsid w:val="007B17EE"/>
    <w:rsid w:val="007B1FE4"/>
    <w:rsid w:val="007B2E40"/>
    <w:rsid w:val="007B3738"/>
    <w:rsid w:val="007B3ADD"/>
    <w:rsid w:val="007B48F0"/>
    <w:rsid w:val="007B4CC5"/>
    <w:rsid w:val="007B5228"/>
    <w:rsid w:val="007B5676"/>
    <w:rsid w:val="007B5BEB"/>
    <w:rsid w:val="007B5C91"/>
    <w:rsid w:val="007B6155"/>
    <w:rsid w:val="007B69B2"/>
    <w:rsid w:val="007B6A1D"/>
    <w:rsid w:val="007B6D1F"/>
    <w:rsid w:val="007B6F04"/>
    <w:rsid w:val="007B7A7C"/>
    <w:rsid w:val="007B7D46"/>
    <w:rsid w:val="007C09EF"/>
    <w:rsid w:val="007C0A4B"/>
    <w:rsid w:val="007C0F0C"/>
    <w:rsid w:val="007C12CB"/>
    <w:rsid w:val="007C1A87"/>
    <w:rsid w:val="007C3139"/>
    <w:rsid w:val="007C3415"/>
    <w:rsid w:val="007C346A"/>
    <w:rsid w:val="007C3CC0"/>
    <w:rsid w:val="007C3F66"/>
    <w:rsid w:val="007C466C"/>
    <w:rsid w:val="007C4DA0"/>
    <w:rsid w:val="007C519E"/>
    <w:rsid w:val="007C5940"/>
    <w:rsid w:val="007C5BDC"/>
    <w:rsid w:val="007C5C38"/>
    <w:rsid w:val="007C6752"/>
    <w:rsid w:val="007C77E2"/>
    <w:rsid w:val="007D0023"/>
    <w:rsid w:val="007D008B"/>
    <w:rsid w:val="007D0943"/>
    <w:rsid w:val="007D0CBD"/>
    <w:rsid w:val="007D0DD3"/>
    <w:rsid w:val="007D1279"/>
    <w:rsid w:val="007D23B9"/>
    <w:rsid w:val="007D32C5"/>
    <w:rsid w:val="007D3869"/>
    <w:rsid w:val="007D4017"/>
    <w:rsid w:val="007D4083"/>
    <w:rsid w:val="007D413C"/>
    <w:rsid w:val="007D4769"/>
    <w:rsid w:val="007D47C3"/>
    <w:rsid w:val="007D47D8"/>
    <w:rsid w:val="007D4F76"/>
    <w:rsid w:val="007D5C07"/>
    <w:rsid w:val="007D5C75"/>
    <w:rsid w:val="007D5EDD"/>
    <w:rsid w:val="007D7C18"/>
    <w:rsid w:val="007D7C54"/>
    <w:rsid w:val="007D7C80"/>
    <w:rsid w:val="007E065C"/>
    <w:rsid w:val="007E12B3"/>
    <w:rsid w:val="007E14DE"/>
    <w:rsid w:val="007E191A"/>
    <w:rsid w:val="007E2AFD"/>
    <w:rsid w:val="007E31A7"/>
    <w:rsid w:val="007E3378"/>
    <w:rsid w:val="007E3870"/>
    <w:rsid w:val="007E3A8A"/>
    <w:rsid w:val="007E4EB3"/>
    <w:rsid w:val="007E5340"/>
    <w:rsid w:val="007E5645"/>
    <w:rsid w:val="007E5A0D"/>
    <w:rsid w:val="007E5FB3"/>
    <w:rsid w:val="007E622E"/>
    <w:rsid w:val="007E675B"/>
    <w:rsid w:val="007E6DAA"/>
    <w:rsid w:val="007E6EDB"/>
    <w:rsid w:val="007E71E8"/>
    <w:rsid w:val="007E76BD"/>
    <w:rsid w:val="007E7EB9"/>
    <w:rsid w:val="007F03E7"/>
    <w:rsid w:val="007F0BDD"/>
    <w:rsid w:val="007F1A9C"/>
    <w:rsid w:val="007F1D0E"/>
    <w:rsid w:val="007F2B1C"/>
    <w:rsid w:val="007F33E7"/>
    <w:rsid w:val="007F3560"/>
    <w:rsid w:val="007F3F2A"/>
    <w:rsid w:val="007F43B6"/>
    <w:rsid w:val="007F4901"/>
    <w:rsid w:val="007F4B28"/>
    <w:rsid w:val="007F4C0A"/>
    <w:rsid w:val="007F503E"/>
    <w:rsid w:val="007F5852"/>
    <w:rsid w:val="007F6549"/>
    <w:rsid w:val="007F66F8"/>
    <w:rsid w:val="007F6E3D"/>
    <w:rsid w:val="007F6F3F"/>
    <w:rsid w:val="007F702F"/>
    <w:rsid w:val="007F787E"/>
    <w:rsid w:val="007F7AC1"/>
    <w:rsid w:val="00800464"/>
    <w:rsid w:val="00801643"/>
    <w:rsid w:val="00801F48"/>
    <w:rsid w:val="00801F7F"/>
    <w:rsid w:val="0080334E"/>
    <w:rsid w:val="008033BC"/>
    <w:rsid w:val="00803525"/>
    <w:rsid w:val="00803A98"/>
    <w:rsid w:val="008041DB"/>
    <w:rsid w:val="0080433C"/>
    <w:rsid w:val="008057F9"/>
    <w:rsid w:val="008064E2"/>
    <w:rsid w:val="008064E7"/>
    <w:rsid w:val="008074CC"/>
    <w:rsid w:val="008114F0"/>
    <w:rsid w:val="008114F7"/>
    <w:rsid w:val="008119D2"/>
    <w:rsid w:val="0081303F"/>
    <w:rsid w:val="00813816"/>
    <w:rsid w:val="00813869"/>
    <w:rsid w:val="00813AEA"/>
    <w:rsid w:val="00814284"/>
    <w:rsid w:val="00814BA9"/>
    <w:rsid w:val="00815A34"/>
    <w:rsid w:val="00815A52"/>
    <w:rsid w:val="00815BC8"/>
    <w:rsid w:val="008168B8"/>
    <w:rsid w:val="00817287"/>
    <w:rsid w:val="0081748B"/>
    <w:rsid w:val="008176A9"/>
    <w:rsid w:val="00817B39"/>
    <w:rsid w:val="00817DAA"/>
    <w:rsid w:val="0082039E"/>
    <w:rsid w:val="008204EC"/>
    <w:rsid w:val="0082068A"/>
    <w:rsid w:val="00820828"/>
    <w:rsid w:val="00820D1F"/>
    <w:rsid w:val="00821A3D"/>
    <w:rsid w:val="00822185"/>
    <w:rsid w:val="00822B27"/>
    <w:rsid w:val="00822C99"/>
    <w:rsid w:val="00822C9F"/>
    <w:rsid w:val="00822E2E"/>
    <w:rsid w:val="00823277"/>
    <w:rsid w:val="00824467"/>
    <w:rsid w:val="00824A50"/>
    <w:rsid w:val="00824A5B"/>
    <w:rsid w:val="00824A91"/>
    <w:rsid w:val="0082508B"/>
    <w:rsid w:val="00826CAB"/>
    <w:rsid w:val="008308FA"/>
    <w:rsid w:val="00830A9F"/>
    <w:rsid w:val="008334B6"/>
    <w:rsid w:val="008334DD"/>
    <w:rsid w:val="00834299"/>
    <w:rsid w:val="0083448A"/>
    <w:rsid w:val="00834660"/>
    <w:rsid w:val="00835256"/>
    <w:rsid w:val="008358D4"/>
    <w:rsid w:val="00836020"/>
    <w:rsid w:val="008360B0"/>
    <w:rsid w:val="008365D5"/>
    <w:rsid w:val="00836C41"/>
    <w:rsid w:val="00837ACE"/>
    <w:rsid w:val="00837C1E"/>
    <w:rsid w:val="00837D50"/>
    <w:rsid w:val="0084068F"/>
    <w:rsid w:val="008418CF"/>
    <w:rsid w:val="0084205E"/>
    <w:rsid w:val="0084343A"/>
    <w:rsid w:val="00843CA8"/>
    <w:rsid w:val="008449DB"/>
    <w:rsid w:val="00845300"/>
    <w:rsid w:val="008457C1"/>
    <w:rsid w:val="00846062"/>
    <w:rsid w:val="008472D8"/>
    <w:rsid w:val="0085070F"/>
    <w:rsid w:val="0085089C"/>
    <w:rsid w:val="00851839"/>
    <w:rsid w:val="008521A5"/>
    <w:rsid w:val="008523FF"/>
    <w:rsid w:val="008525BA"/>
    <w:rsid w:val="00852AEB"/>
    <w:rsid w:val="00852C47"/>
    <w:rsid w:val="00853FBD"/>
    <w:rsid w:val="008540DF"/>
    <w:rsid w:val="0085443F"/>
    <w:rsid w:val="008545F3"/>
    <w:rsid w:val="00854CBF"/>
    <w:rsid w:val="00855266"/>
    <w:rsid w:val="0085595B"/>
    <w:rsid w:val="00855BA7"/>
    <w:rsid w:val="0085699E"/>
    <w:rsid w:val="00856F03"/>
    <w:rsid w:val="0085726A"/>
    <w:rsid w:val="008573C5"/>
    <w:rsid w:val="00857725"/>
    <w:rsid w:val="00857B48"/>
    <w:rsid w:val="00857C2E"/>
    <w:rsid w:val="0086008F"/>
    <w:rsid w:val="0086114E"/>
    <w:rsid w:val="0086129F"/>
    <w:rsid w:val="008618E1"/>
    <w:rsid w:val="00862063"/>
    <w:rsid w:val="00863BAE"/>
    <w:rsid w:val="00866083"/>
    <w:rsid w:val="0086730E"/>
    <w:rsid w:val="008708C6"/>
    <w:rsid w:val="00870A55"/>
    <w:rsid w:val="00871468"/>
    <w:rsid w:val="00872119"/>
    <w:rsid w:val="00873107"/>
    <w:rsid w:val="00873592"/>
    <w:rsid w:val="00873D70"/>
    <w:rsid w:val="00874440"/>
    <w:rsid w:val="00874462"/>
    <w:rsid w:val="00874FF0"/>
    <w:rsid w:val="0087546F"/>
    <w:rsid w:val="0087576D"/>
    <w:rsid w:val="00875996"/>
    <w:rsid w:val="00876640"/>
    <w:rsid w:val="0087719F"/>
    <w:rsid w:val="00877A18"/>
    <w:rsid w:val="008811E2"/>
    <w:rsid w:val="008812E7"/>
    <w:rsid w:val="00882342"/>
    <w:rsid w:val="00882D20"/>
    <w:rsid w:val="008857F6"/>
    <w:rsid w:val="00885B13"/>
    <w:rsid w:val="00885C13"/>
    <w:rsid w:val="00886A18"/>
    <w:rsid w:val="0088708A"/>
    <w:rsid w:val="0088779B"/>
    <w:rsid w:val="00890787"/>
    <w:rsid w:val="00890803"/>
    <w:rsid w:val="008914DE"/>
    <w:rsid w:val="008927B5"/>
    <w:rsid w:val="00892BFB"/>
    <w:rsid w:val="00892F4A"/>
    <w:rsid w:val="00893475"/>
    <w:rsid w:val="008935D4"/>
    <w:rsid w:val="008945F4"/>
    <w:rsid w:val="008948AE"/>
    <w:rsid w:val="00894C69"/>
    <w:rsid w:val="00894FC5"/>
    <w:rsid w:val="008964A7"/>
    <w:rsid w:val="008A04D7"/>
    <w:rsid w:val="008A0568"/>
    <w:rsid w:val="008A1DF6"/>
    <w:rsid w:val="008A2332"/>
    <w:rsid w:val="008A27E8"/>
    <w:rsid w:val="008A2F59"/>
    <w:rsid w:val="008A3513"/>
    <w:rsid w:val="008A3A77"/>
    <w:rsid w:val="008A4BC7"/>
    <w:rsid w:val="008A56D8"/>
    <w:rsid w:val="008A591A"/>
    <w:rsid w:val="008A5DAB"/>
    <w:rsid w:val="008A69D7"/>
    <w:rsid w:val="008A6BC8"/>
    <w:rsid w:val="008A7979"/>
    <w:rsid w:val="008A7D06"/>
    <w:rsid w:val="008A7F5D"/>
    <w:rsid w:val="008B030C"/>
    <w:rsid w:val="008B03EA"/>
    <w:rsid w:val="008B0B07"/>
    <w:rsid w:val="008B1188"/>
    <w:rsid w:val="008B192B"/>
    <w:rsid w:val="008B1F12"/>
    <w:rsid w:val="008B2588"/>
    <w:rsid w:val="008B36BC"/>
    <w:rsid w:val="008B3BB0"/>
    <w:rsid w:val="008B4124"/>
    <w:rsid w:val="008B4858"/>
    <w:rsid w:val="008B5A89"/>
    <w:rsid w:val="008B5E70"/>
    <w:rsid w:val="008B6D1E"/>
    <w:rsid w:val="008B7A80"/>
    <w:rsid w:val="008C0A3D"/>
    <w:rsid w:val="008C0C79"/>
    <w:rsid w:val="008C10EF"/>
    <w:rsid w:val="008C1671"/>
    <w:rsid w:val="008C24E9"/>
    <w:rsid w:val="008C30D6"/>
    <w:rsid w:val="008C3198"/>
    <w:rsid w:val="008C3960"/>
    <w:rsid w:val="008C428B"/>
    <w:rsid w:val="008C4642"/>
    <w:rsid w:val="008C47CE"/>
    <w:rsid w:val="008C4ECA"/>
    <w:rsid w:val="008C533E"/>
    <w:rsid w:val="008C68A3"/>
    <w:rsid w:val="008C6FBC"/>
    <w:rsid w:val="008D014A"/>
    <w:rsid w:val="008D057B"/>
    <w:rsid w:val="008D078B"/>
    <w:rsid w:val="008D3EAE"/>
    <w:rsid w:val="008D46A8"/>
    <w:rsid w:val="008D46CA"/>
    <w:rsid w:val="008D48FA"/>
    <w:rsid w:val="008D4B0C"/>
    <w:rsid w:val="008D65EB"/>
    <w:rsid w:val="008D7A38"/>
    <w:rsid w:val="008D7AC4"/>
    <w:rsid w:val="008E0361"/>
    <w:rsid w:val="008E077D"/>
    <w:rsid w:val="008E07D7"/>
    <w:rsid w:val="008E0FDB"/>
    <w:rsid w:val="008E199E"/>
    <w:rsid w:val="008E21E2"/>
    <w:rsid w:val="008E26BF"/>
    <w:rsid w:val="008E28FC"/>
    <w:rsid w:val="008E35EA"/>
    <w:rsid w:val="008E3D3A"/>
    <w:rsid w:val="008E41B3"/>
    <w:rsid w:val="008E41F5"/>
    <w:rsid w:val="008E4AD1"/>
    <w:rsid w:val="008E4D81"/>
    <w:rsid w:val="008E600A"/>
    <w:rsid w:val="008F026F"/>
    <w:rsid w:val="008F1C16"/>
    <w:rsid w:val="008F2848"/>
    <w:rsid w:val="008F2B27"/>
    <w:rsid w:val="008F3B23"/>
    <w:rsid w:val="008F442F"/>
    <w:rsid w:val="008F4D60"/>
    <w:rsid w:val="008F5EC3"/>
    <w:rsid w:val="008F778E"/>
    <w:rsid w:val="008F7923"/>
    <w:rsid w:val="008F7A18"/>
    <w:rsid w:val="0090062A"/>
    <w:rsid w:val="009010EB"/>
    <w:rsid w:val="00901215"/>
    <w:rsid w:val="00902465"/>
    <w:rsid w:val="009029E7"/>
    <w:rsid w:val="00902FA5"/>
    <w:rsid w:val="009035C6"/>
    <w:rsid w:val="0090386F"/>
    <w:rsid w:val="00903CE5"/>
    <w:rsid w:val="009041E5"/>
    <w:rsid w:val="0090469A"/>
    <w:rsid w:val="00904BB8"/>
    <w:rsid w:val="00906613"/>
    <w:rsid w:val="00906A55"/>
    <w:rsid w:val="00907A5B"/>
    <w:rsid w:val="00910060"/>
    <w:rsid w:val="009104C9"/>
    <w:rsid w:val="0091077F"/>
    <w:rsid w:val="009114A2"/>
    <w:rsid w:val="009115CC"/>
    <w:rsid w:val="009124EF"/>
    <w:rsid w:val="00912A19"/>
    <w:rsid w:val="00912C01"/>
    <w:rsid w:val="00912D39"/>
    <w:rsid w:val="0091340E"/>
    <w:rsid w:val="00913A5A"/>
    <w:rsid w:val="00913C0B"/>
    <w:rsid w:val="009145EA"/>
    <w:rsid w:val="00914932"/>
    <w:rsid w:val="00914CFB"/>
    <w:rsid w:val="00914FC5"/>
    <w:rsid w:val="009151C0"/>
    <w:rsid w:val="00915613"/>
    <w:rsid w:val="00917904"/>
    <w:rsid w:val="00917B1A"/>
    <w:rsid w:val="00917C8D"/>
    <w:rsid w:val="0092012C"/>
    <w:rsid w:val="00921630"/>
    <w:rsid w:val="0092189A"/>
    <w:rsid w:val="00922DAB"/>
    <w:rsid w:val="009233DE"/>
    <w:rsid w:val="0092361E"/>
    <w:rsid w:val="0092394E"/>
    <w:rsid w:val="00923B6E"/>
    <w:rsid w:val="009249A3"/>
    <w:rsid w:val="00924CCC"/>
    <w:rsid w:val="00925BD1"/>
    <w:rsid w:val="009263E9"/>
    <w:rsid w:val="009268F5"/>
    <w:rsid w:val="00926A0A"/>
    <w:rsid w:val="00930464"/>
    <w:rsid w:val="0093078C"/>
    <w:rsid w:val="0093107E"/>
    <w:rsid w:val="0093145B"/>
    <w:rsid w:val="00932A25"/>
    <w:rsid w:val="00932BA5"/>
    <w:rsid w:val="00932F13"/>
    <w:rsid w:val="00934386"/>
    <w:rsid w:val="00934843"/>
    <w:rsid w:val="009348A5"/>
    <w:rsid w:val="00934D6D"/>
    <w:rsid w:val="00934F14"/>
    <w:rsid w:val="00935088"/>
    <w:rsid w:val="00935639"/>
    <w:rsid w:val="00935744"/>
    <w:rsid w:val="00936156"/>
    <w:rsid w:val="00936BA1"/>
    <w:rsid w:val="00940376"/>
    <w:rsid w:val="00940533"/>
    <w:rsid w:val="00940FAB"/>
    <w:rsid w:val="009416FA"/>
    <w:rsid w:val="009419DC"/>
    <w:rsid w:val="009424C3"/>
    <w:rsid w:val="009427C9"/>
    <w:rsid w:val="00943F46"/>
    <w:rsid w:val="00944267"/>
    <w:rsid w:val="00944367"/>
    <w:rsid w:val="0094492E"/>
    <w:rsid w:val="00945730"/>
    <w:rsid w:val="00946849"/>
    <w:rsid w:val="00946A76"/>
    <w:rsid w:val="00946BF6"/>
    <w:rsid w:val="00947A10"/>
    <w:rsid w:val="00947EDC"/>
    <w:rsid w:val="00947F46"/>
    <w:rsid w:val="0095005D"/>
    <w:rsid w:val="009500F0"/>
    <w:rsid w:val="009501BC"/>
    <w:rsid w:val="009501DF"/>
    <w:rsid w:val="009503F8"/>
    <w:rsid w:val="00950DCA"/>
    <w:rsid w:val="00951C31"/>
    <w:rsid w:val="00951F15"/>
    <w:rsid w:val="00952074"/>
    <w:rsid w:val="00952766"/>
    <w:rsid w:val="00952A2D"/>
    <w:rsid w:val="009534BD"/>
    <w:rsid w:val="00953710"/>
    <w:rsid w:val="00954099"/>
    <w:rsid w:val="00954BA7"/>
    <w:rsid w:val="00954F30"/>
    <w:rsid w:val="00956289"/>
    <w:rsid w:val="00956870"/>
    <w:rsid w:val="00957105"/>
    <w:rsid w:val="00957352"/>
    <w:rsid w:val="00957B80"/>
    <w:rsid w:val="00960DB7"/>
    <w:rsid w:val="00960F91"/>
    <w:rsid w:val="009616B3"/>
    <w:rsid w:val="00961932"/>
    <w:rsid w:val="00961A02"/>
    <w:rsid w:val="009622CD"/>
    <w:rsid w:val="00963693"/>
    <w:rsid w:val="00963ACE"/>
    <w:rsid w:val="00963C9E"/>
    <w:rsid w:val="00964209"/>
    <w:rsid w:val="00964F52"/>
    <w:rsid w:val="00964F62"/>
    <w:rsid w:val="00965CAD"/>
    <w:rsid w:val="009667C7"/>
    <w:rsid w:val="00966C57"/>
    <w:rsid w:val="00966D3E"/>
    <w:rsid w:val="00967018"/>
    <w:rsid w:val="00971724"/>
    <w:rsid w:val="00971876"/>
    <w:rsid w:val="00971B30"/>
    <w:rsid w:val="00971B45"/>
    <w:rsid w:val="00971BFF"/>
    <w:rsid w:val="00971C2D"/>
    <w:rsid w:val="009723CE"/>
    <w:rsid w:val="00972519"/>
    <w:rsid w:val="00973894"/>
    <w:rsid w:val="00973A9E"/>
    <w:rsid w:val="00973D0C"/>
    <w:rsid w:val="00974911"/>
    <w:rsid w:val="00974E69"/>
    <w:rsid w:val="00975987"/>
    <w:rsid w:val="00976A01"/>
    <w:rsid w:val="009804CC"/>
    <w:rsid w:val="00980AFC"/>
    <w:rsid w:val="009810AA"/>
    <w:rsid w:val="009812E7"/>
    <w:rsid w:val="009821CB"/>
    <w:rsid w:val="009822EA"/>
    <w:rsid w:val="0098235F"/>
    <w:rsid w:val="00982D20"/>
    <w:rsid w:val="0098394A"/>
    <w:rsid w:val="00984065"/>
    <w:rsid w:val="00984EC1"/>
    <w:rsid w:val="00984ED8"/>
    <w:rsid w:val="00985EC9"/>
    <w:rsid w:val="0098673F"/>
    <w:rsid w:val="009867F1"/>
    <w:rsid w:val="00987AF6"/>
    <w:rsid w:val="00987C65"/>
    <w:rsid w:val="0099078F"/>
    <w:rsid w:val="00990C07"/>
    <w:rsid w:val="00991CD1"/>
    <w:rsid w:val="00991D2E"/>
    <w:rsid w:val="0099240D"/>
    <w:rsid w:val="00992A96"/>
    <w:rsid w:val="00993018"/>
    <w:rsid w:val="00993250"/>
    <w:rsid w:val="00993601"/>
    <w:rsid w:val="009938A7"/>
    <w:rsid w:val="00994FA6"/>
    <w:rsid w:val="009958EC"/>
    <w:rsid w:val="00995BB9"/>
    <w:rsid w:val="009960FB"/>
    <w:rsid w:val="009964BF"/>
    <w:rsid w:val="00996C78"/>
    <w:rsid w:val="00997099"/>
    <w:rsid w:val="009A0573"/>
    <w:rsid w:val="009A1068"/>
    <w:rsid w:val="009A2328"/>
    <w:rsid w:val="009A2363"/>
    <w:rsid w:val="009A24CB"/>
    <w:rsid w:val="009A269C"/>
    <w:rsid w:val="009A28AB"/>
    <w:rsid w:val="009A28DF"/>
    <w:rsid w:val="009A2D00"/>
    <w:rsid w:val="009A3416"/>
    <w:rsid w:val="009A453E"/>
    <w:rsid w:val="009A490E"/>
    <w:rsid w:val="009A5C10"/>
    <w:rsid w:val="009A5EEB"/>
    <w:rsid w:val="009A69EF"/>
    <w:rsid w:val="009A7121"/>
    <w:rsid w:val="009A77A7"/>
    <w:rsid w:val="009A7AC5"/>
    <w:rsid w:val="009B0035"/>
    <w:rsid w:val="009B1A28"/>
    <w:rsid w:val="009B1DC5"/>
    <w:rsid w:val="009B279B"/>
    <w:rsid w:val="009B2DC0"/>
    <w:rsid w:val="009B3E8E"/>
    <w:rsid w:val="009B46E2"/>
    <w:rsid w:val="009B4857"/>
    <w:rsid w:val="009B4A74"/>
    <w:rsid w:val="009B4BC0"/>
    <w:rsid w:val="009B4BEB"/>
    <w:rsid w:val="009B4FF1"/>
    <w:rsid w:val="009B55DC"/>
    <w:rsid w:val="009B61AF"/>
    <w:rsid w:val="009B65A4"/>
    <w:rsid w:val="009B7A22"/>
    <w:rsid w:val="009B7C52"/>
    <w:rsid w:val="009C0220"/>
    <w:rsid w:val="009C0298"/>
    <w:rsid w:val="009C030B"/>
    <w:rsid w:val="009C04D4"/>
    <w:rsid w:val="009C05D1"/>
    <w:rsid w:val="009C0703"/>
    <w:rsid w:val="009C09B9"/>
    <w:rsid w:val="009C13BC"/>
    <w:rsid w:val="009C15CC"/>
    <w:rsid w:val="009C19BD"/>
    <w:rsid w:val="009C23E0"/>
    <w:rsid w:val="009C275F"/>
    <w:rsid w:val="009C2795"/>
    <w:rsid w:val="009C2D1D"/>
    <w:rsid w:val="009C3515"/>
    <w:rsid w:val="009C363F"/>
    <w:rsid w:val="009C3751"/>
    <w:rsid w:val="009C3D40"/>
    <w:rsid w:val="009C43AD"/>
    <w:rsid w:val="009C4877"/>
    <w:rsid w:val="009C50D1"/>
    <w:rsid w:val="009C5240"/>
    <w:rsid w:val="009C5351"/>
    <w:rsid w:val="009C56B0"/>
    <w:rsid w:val="009C58B0"/>
    <w:rsid w:val="009C598D"/>
    <w:rsid w:val="009C6159"/>
    <w:rsid w:val="009C7086"/>
    <w:rsid w:val="009D0931"/>
    <w:rsid w:val="009D11F4"/>
    <w:rsid w:val="009D1270"/>
    <w:rsid w:val="009D2ED9"/>
    <w:rsid w:val="009D3003"/>
    <w:rsid w:val="009D3011"/>
    <w:rsid w:val="009D39C8"/>
    <w:rsid w:val="009D4498"/>
    <w:rsid w:val="009D456C"/>
    <w:rsid w:val="009D49A3"/>
    <w:rsid w:val="009D4BB5"/>
    <w:rsid w:val="009D4C8A"/>
    <w:rsid w:val="009D4FEE"/>
    <w:rsid w:val="009D553F"/>
    <w:rsid w:val="009D658F"/>
    <w:rsid w:val="009D6EF9"/>
    <w:rsid w:val="009D70D5"/>
    <w:rsid w:val="009D79B8"/>
    <w:rsid w:val="009D7B98"/>
    <w:rsid w:val="009D7F66"/>
    <w:rsid w:val="009E003B"/>
    <w:rsid w:val="009E047D"/>
    <w:rsid w:val="009E04D1"/>
    <w:rsid w:val="009E0A4A"/>
    <w:rsid w:val="009E2458"/>
    <w:rsid w:val="009E3365"/>
    <w:rsid w:val="009E374F"/>
    <w:rsid w:val="009E3C6B"/>
    <w:rsid w:val="009E587A"/>
    <w:rsid w:val="009E5977"/>
    <w:rsid w:val="009E5B01"/>
    <w:rsid w:val="009E70C0"/>
    <w:rsid w:val="009E7497"/>
    <w:rsid w:val="009E7556"/>
    <w:rsid w:val="009E7735"/>
    <w:rsid w:val="009F064B"/>
    <w:rsid w:val="009F0AE9"/>
    <w:rsid w:val="009F1B6A"/>
    <w:rsid w:val="009F1D7E"/>
    <w:rsid w:val="009F25E9"/>
    <w:rsid w:val="009F332F"/>
    <w:rsid w:val="009F36D5"/>
    <w:rsid w:val="009F3722"/>
    <w:rsid w:val="009F3B20"/>
    <w:rsid w:val="009F3F6B"/>
    <w:rsid w:val="009F4178"/>
    <w:rsid w:val="009F44B5"/>
    <w:rsid w:val="009F4782"/>
    <w:rsid w:val="009F49E0"/>
    <w:rsid w:val="009F4E2D"/>
    <w:rsid w:val="009F575F"/>
    <w:rsid w:val="009F63D6"/>
    <w:rsid w:val="009F65F0"/>
    <w:rsid w:val="009F6EEF"/>
    <w:rsid w:val="009F70F5"/>
    <w:rsid w:val="009F7493"/>
    <w:rsid w:val="009F771C"/>
    <w:rsid w:val="009F7AC1"/>
    <w:rsid w:val="00A00039"/>
    <w:rsid w:val="00A003E8"/>
    <w:rsid w:val="00A00A6B"/>
    <w:rsid w:val="00A00CB9"/>
    <w:rsid w:val="00A01208"/>
    <w:rsid w:val="00A01255"/>
    <w:rsid w:val="00A0178B"/>
    <w:rsid w:val="00A01831"/>
    <w:rsid w:val="00A019DA"/>
    <w:rsid w:val="00A029F0"/>
    <w:rsid w:val="00A02A16"/>
    <w:rsid w:val="00A02ED2"/>
    <w:rsid w:val="00A03090"/>
    <w:rsid w:val="00A03C9F"/>
    <w:rsid w:val="00A040AE"/>
    <w:rsid w:val="00A041F0"/>
    <w:rsid w:val="00A04500"/>
    <w:rsid w:val="00A05396"/>
    <w:rsid w:val="00A05820"/>
    <w:rsid w:val="00A05C74"/>
    <w:rsid w:val="00A06530"/>
    <w:rsid w:val="00A068E0"/>
    <w:rsid w:val="00A06CC8"/>
    <w:rsid w:val="00A06E31"/>
    <w:rsid w:val="00A073F9"/>
    <w:rsid w:val="00A0775F"/>
    <w:rsid w:val="00A10E93"/>
    <w:rsid w:val="00A11A37"/>
    <w:rsid w:val="00A12590"/>
    <w:rsid w:val="00A12ACC"/>
    <w:rsid w:val="00A12AD4"/>
    <w:rsid w:val="00A12B9D"/>
    <w:rsid w:val="00A12CC2"/>
    <w:rsid w:val="00A12DB6"/>
    <w:rsid w:val="00A12E40"/>
    <w:rsid w:val="00A134FC"/>
    <w:rsid w:val="00A137D5"/>
    <w:rsid w:val="00A13B43"/>
    <w:rsid w:val="00A1412E"/>
    <w:rsid w:val="00A14758"/>
    <w:rsid w:val="00A147B3"/>
    <w:rsid w:val="00A14BB3"/>
    <w:rsid w:val="00A14DC9"/>
    <w:rsid w:val="00A14FF6"/>
    <w:rsid w:val="00A15E08"/>
    <w:rsid w:val="00A15ED2"/>
    <w:rsid w:val="00A1670A"/>
    <w:rsid w:val="00A16ABB"/>
    <w:rsid w:val="00A17FD2"/>
    <w:rsid w:val="00A222ED"/>
    <w:rsid w:val="00A22B6D"/>
    <w:rsid w:val="00A22C5A"/>
    <w:rsid w:val="00A2359C"/>
    <w:rsid w:val="00A23D47"/>
    <w:rsid w:val="00A244BE"/>
    <w:rsid w:val="00A246AA"/>
    <w:rsid w:val="00A24A9C"/>
    <w:rsid w:val="00A2553B"/>
    <w:rsid w:val="00A255BB"/>
    <w:rsid w:val="00A25995"/>
    <w:rsid w:val="00A25EE3"/>
    <w:rsid w:val="00A26099"/>
    <w:rsid w:val="00A26D89"/>
    <w:rsid w:val="00A26DDC"/>
    <w:rsid w:val="00A2706F"/>
    <w:rsid w:val="00A27697"/>
    <w:rsid w:val="00A278EB"/>
    <w:rsid w:val="00A306B8"/>
    <w:rsid w:val="00A30794"/>
    <w:rsid w:val="00A30CEC"/>
    <w:rsid w:val="00A31A83"/>
    <w:rsid w:val="00A31D50"/>
    <w:rsid w:val="00A335A5"/>
    <w:rsid w:val="00A33F06"/>
    <w:rsid w:val="00A349FE"/>
    <w:rsid w:val="00A34CB2"/>
    <w:rsid w:val="00A34CEF"/>
    <w:rsid w:val="00A34DE4"/>
    <w:rsid w:val="00A3532B"/>
    <w:rsid w:val="00A359E0"/>
    <w:rsid w:val="00A3601A"/>
    <w:rsid w:val="00A36107"/>
    <w:rsid w:val="00A36318"/>
    <w:rsid w:val="00A365F3"/>
    <w:rsid w:val="00A36AB2"/>
    <w:rsid w:val="00A36B31"/>
    <w:rsid w:val="00A36C39"/>
    <w:rsid w:val="00A3765D"/>
    <w:rsid w:val="00A378A0"/>
    <w:rsid w:val="00A37A31"/>
    <w:rsid w:val="00A37A33"/>
    <w:rsid w:val="00A37E7C"/>
    <w:rsid w:val="00A37F8F"/>
    <w:rsid w:val="00A402CF"/>
    <w:rsid w:val="00A4071E"/>
    <w:rsid w:val="00A40968"/>
    <w:rsid w:val="00A409B9"/>
    <w:rsid w:val="00A41146"/>
    <w:rsid w:val="00A41586"/>
    <w:rsid w:val="00A41CC9"/>
    <w:rsid w:val="00A42ED8"/>
    <w:rsid w:val="00A43884"/>
    <w:rsid w:val="00A43919"/>
    <w:rsid w:val="00A43A19"/>
    <w:rsid w:val="00A44A6C"/>
    <w:rsid w:val="00A44B59"/>
    <w:rsid w:val="00A44B61"/>
    <w:rsid w:val="00A44C7F"/>
    <w:rsid w:val="00A44F03"/>
    <w:rsid w:val="00A45716"/>
    <w:rsid w:val="00A458AC"/>
    <w:rsid w:val="00A458DB"/>
    <w:rsid w:val="00A46E7A"/>
    <w:rsid w:val="00A479A9"/>
    <w:rsid w:val="00A47E7E"/>
    <w:rsid w:val="00A50C30"/>
    <w:rsid w:val="00A51C9B"/>
    <w:rsid w:val="00A52718"/>
    <w:rsid w:val="00A52E96"/>
    <w:rsid w:val="00A53035"/>
    <w:rsid w:val="00A539C3"/>
    <w:rsid w:val="00A542E0"/>
    <w:rsid w:val="00A55109"/>
    <w:rsid w:val="00A56690"/>
    <w:rsid w:val="00A5763D"/>
    <w:rsid w:val="00A579BD"/>
    <w:rsid w:val="00A605CF"/>
    <w:rsid w:val="00A60DFF"/>
    <w:rsid w:val="00A61455"/>
    <w:rsid w:val="00A61DE4"/>
    <w:rsid w:val="00A61E9C"/>
    <w:rsid w:val="00A623AE"/>
    <w:rsid w:val="00A629CA"/>
    <w:rsid w:val="00A62DF9"/>
    <w:rsid w:val="00A632B1"/>
    <w:rsid w:val="00A63434"/>
    <w:rsid w:val="00A63A73"/>
    <w:rsid w:val="00A64C24"/>
    <w:rsid w:val="00A650AE"/>
    <w:rsid w:val="00A65FE9"/>
    <w:rsid w:val="00A66B17"/>
    <w:rsid w:val="00A66BB0"/>
    <w:rsid w:val="00A66D56"/>
    <w:rsid w:val="00A66E18"/>
    <w:rsid w:val="00A66E3B"/>
    <w:rsid w:val="00A674DD"/>
    <w:rsid w:val="00A67F19"/>
    <w:rsid w:val="00A702C5"/>
    <w:rsid w:val="00A7058F"/>
    <w:rsid w:val="00A71809"/>
    <w:rsid w:val="00A71859"/>
    <w:rsid w:val="00A71E7A"/>
    <w:rsid w:val="00A724A5"/>
    <w:rsid w:val="00A73EEC"/>
    <w:rsid w:val="00A74F93"/>
    <w:rsid w:val="00A7605C"/>
    <w:rsid w:val="00A76F60"/>
    <w:rsid w:val="00A77E63"/>
    <w:rsid w:val="00A80170"/>
    <w:rsid w:val="00A80A4A"/>
    <w:rsid w:val="00A80B20"/>
    <w:rsid w:val="00A80C47"/>
    <w:rsid w:val="00A81508"/>
    <w:rsid w:val="00A81C15"/>
    <w:rsid w:val="00A827CD"/>
    <w:rsid w:val="00A833E1"/>
    <w:rsid w:val="00A84562"/>
    <w:rsid w:val="00A845AA"/>
    <w:rsid w:val="00A84FAF"/>
    <w:rsid w:val="00A85163"/>
    <w:rsid w:val="00A85C47"/>
    <w:rsid w:val="00A85D41"/>
    <w:rsid w:val="00A8655B"/>
    <w:rsid w:val="00A87616"/>
    <w:rsid w:val="00A87764"/>
    <w:rsid w:val="00A905F6"/>
    <w:rsid w:val="00A907B3"/>
    <w:rsid w:val="00A908AE"/>
    <w:rsid w:val="00A91158"/>
    <w:rsid w:val="00A92B0F"/>
    <w:rsid w:val="00A93DB3"/>
    <w:rsid w:val="00A94E5D"/>
    <w:rsid w:val="00A95D2A"/>
    <w:rsid w:val="00A9661E"/>
    <w:rsid w:val="00A97528"/>
    <w:rsid w:val="00A9771E"/>
    <w:rsid w:val="00A97C90"/>
    <w:rsid w:val="00A97F28"/>
    <w:rsid w:val="00AA000C"/>
    <w:rsid w:val="00AA0B47"/>
    <w:rsid w:val="00AA1359"/>
    <w:rsid w:val="00AA14EF"/>
    <w:rsid w:val="00AA20C7"/>
    <w:rsid w:val="00AA2D55"/>
    <w:rsid w:val="00AA2D88"/>
    <w:rsid w:val="00AA3243"/>
    <w:rsid w:val="00AA3518"/>
    <w:rsid w:val="00AA3A9E"/>
    <w:rsid w:val="00AA4053"/>
    <w:rsid w:val="00AA4BD0"/>
    <w:rsid w:val="00AA5F9A"/>
    <w:rsid w:val="00AA649D"/>
    <w:rsid w:val="00AA674E"/>
    <w:rsid w:val="00AA6E44"/>
    <w:rsid w:val="00AA7476"/>
    <w:rsid w:val="00AB0039"/>
    <w:rsid w:val="00AB07D5"/>
    <w:rsid w:val="00AB1151"/>
    <w:rsid w:val="00AB139E"/>
    <w:rsid w:val="00AB168C"/>
    <w:rsid w:val="00AB17C2"/>
    <w:rsid w:val="00AB31FB"/>
    <w:rsid w:val="00AB331E"/>
    <w:rsid w:val="00AB3F15"/>
    <w:rsid w:val="00AB56E0"/>
    <w:rsid w:val="00AB5A74"/>
    <w:rsid w:val="00AB5DB5"/>
    <w:rsid w:val="00AB6174"/>
    <w:rsid w:val="00AB692C"/>
    <w:rsid w:val="00AB7B07"/>
    <w:rsid w:val="00AB7E03"/>
    <w:rsid w:val="00AB7E22"/>
    <w:rsid w:val="00AB7FA1"/>
    <w:rsid w:val="00AC0F7A"/>
    <w:rsid w:val="00AC14B2"/>
    <w:rsid w:val="00AC20A8"/>
    <w:rsid w:val="00AC20D6"/>
    <w:rsid w:val="00AC22B0"/>
    <w:rsid w:val="00AC24E6"/>
    <w:rsid w:val="00AC3341"/>
    <w:rsid w:val="00AC342A"/>
    <w:rsid w:val="00AC3E31"/>
    <w:rsid w:val="00AC4819"/>
    <w:rsid w:val="00AC5325"/>
    <w:rsid w:val="00AC55D8"/>
    <w:rsid w:val="00AC5A98"/>
    <w:rsid w:val="00AC6D15"/>
    <w:rsid w:val="00AC7C01"/>
    <w:rsid w:val="00AC7DE7"/>
    <w:rsid w:val="00AC7E24"/>
    <w:rsid w:val="00AD069D"/>
    <w:rsid w:val="00AD1373"/>
    <w:rsid w:val="00AD14A7"/>
    <w:rsid w:val="00AD1BBD"/>
    <w:rsid w:val="00AD1E94"/>
    <w:rsid w:val="00AD3289"/>
    <w:rsid w:val="00AD3A12"/>
    <w:rsid w:val="00AD3D4F"/>
    <w:rsid w:val="00AD47FC"/>
    <w:rsid w:val="00AD5182"/>
    <w:rsid w:val="00AD5683"/>
    <w:rsid w:val="00AD6171"/>
    <w:rsid w:val="00AD689D"/>
    <w:rsid w:val="00AD716C"/>
    <w:rsid w:val="00AD7776"/>
    <w:rsid w:val="00AD7947"/>
    <w:rsid w:val="00AD7D02"/>
    <w:rsid w:val="00AE012E"/>
    <w:rsid w:val="00AE0746"/>
    <w:rsid w:val="00AE0C57"/>
    <w:rsid w:val="00AE0C5F"/>
    <w:rsid w:val="00AE0E4E"/>
    <w:rsid w:val="00AE0E93"/>
    <w:rsid w:val="00AE1565"/>
    <w:rsid w:val="00AE28A3"/>
    <w:rsid w:val="00AE2C7E"/>
    <w:rsid w:val="00AE38E5"/>
    <w:rsid w:val="00AE4E37"/>
    <w:rsid w:val="00AE6285"/>
    <w:rsid w:val="00AE6CD0"/>
    <w:rsid w:val="00AF042D"/>
    <w:rsid w:val="00AF0677"/>
    <w:rsid w:val="00AF1641"/>
    <w:rsid w:val="00AF1662"/>
    <w:rsid w:val="00AF1814"/>
    <w:rsid w:val="00AF1EE6"/>
    <w:rsid w:val="00AF2011"/>
    <w:rsid w:val="00AF2995"/>
    <w:rsid w:val="00AF2E41"/>
    <w:rsid w:val="00AF32B4"/>
    <w:rsid w:val="00AF39D9"/>
    <w:rsid w:val="00AF3D61"/>
    <w:rsid w:val="00AF4615"/>
    <w:rsid w:val="00AF4F87"/>
    <w:rsid w:val="00AF507D"/>
    <w:rsid w:val="00AF5ADA"/>
    <w:rsid w:val="00AF5D67"/>
    <w:rsid w:val="00AF62FF"/>
    <w:rsid w:val="00AF6A6C"/>
    <w:rsid w:val="00AF789B"/>
    <w:rsid w:val="00AF7BDC"/>
    <w:rsid w:val="00B00346"/>
    <w:rsid w:val="00B00507"/>
    <w:rsid w:val="00B0051E"/>
    <w:rsid w:val="00B00CB1"/>
    <w:rsid w:val="00B00DAE"/>
    <w:rsid w:val="00B00F42"/>
    <w:rsid w:val="00B00FE3"/>
    <w:rsid w:val="00B01256"/>
    <w:rsid w:val="00B015E0"/>
    <w:rsid w:val="00B01D2B"/>
    <w:rsid w:val="00B02236"/>
    <w:rsid w:val="00B0312E"/>
    <w:rsid w:val="00B0314C"/>
    <w:rsid w:val="00B03AB9"/>
    <w:rsid w:val="00B046A3"/>
    <w:rsid w:val="00B04D68"/>
    <w:rsid w:val="00B04F70"/>
    <w:rsid w:val="00B0630A"/>
    <w:rsid w:val="00B07E65"/>
    <w:rsid w:val="00B1171A"/>
    <w:rsid w:val="00B11919"/>
    <w:rsid w:val="00B11945"/>
    <w:rsid w:val="00B11A0C"/>
    <w:rsid w:val="00B13624"/>
    <w:rsid w:val="00B13859"/>
    <w:rsid w:val="00B139FB"/>
    <w:rsid w:val="00B13BCF"/>
    <w:rsid w:val="00B14ECA"/>
    <w:rsid w:val="00B15313"/>
    <w:rsid w:val="00B15714"/>
    <w:rsid w:val="00B15DBA"/>
    <w:rsid w:val="00B162D4"/>
    <w:rsid w:val="00B16CAF"/>
    <w:rsid w:val="00B16E3B"/>
    <w:rsid w:val="00B174F6"/>
    <w:rsid w:val="00B1786A"/>
    <w:rsid w:val="00B17FB5"/>
    <w:rsid w:val="00B20786"/>
    <w:rsid w:val="00B20981"/>
    <w:rsid w:val="00B20F0B"/>
    <w:rsid w:val="00B21542"/>
    <w:rsid w:val="00B2178F"/>
    <w:rsid w:val="00B2193C"/>
    <w:rsid w:val="00B21E6B"/>
    <w:rsid w:val="00B21ED6"/>
    <w:rsid w:val="00B2241D"/>
    <w:rsid w:val="00B22BAB"/>
    <w:rsid w:val="00B22BB5"/>
    <w:rsid w:val="00B231DD"/>
    <w:rsid w:val="00B23E00"/>
    <w:rsid w:val="00B241B0"/>
    <w:rsid w:val="00B24E7E"/>
    <w:rsid w:val="00B24EF6"/>
    <w:rsid w:val="00B25BF8"/>
    <w:rsid w:val="00B25C4E"/>
    <w:rsid w:val="00B25DD7"/>
    <w:rsid w:val="00B263D7"/>
    <w:rsid w:val="00B2648D"/>
    <w:rsid w:val="00B2697F"/>
    <w:rsid w:val="00B2789F"/>
    <w:rsid w:val="00B27B46"/>
    <w:rsid w:val="00B30B98"/>
    <w:rsid w:val="00B3146D"/>
    <w:rsid w:val="00B319E4"/>
    <w:rsid w:val="00B332B8"/>
    <w:rsid w:val="00B335A5"/>
    <w:rsid w:val="00B336B6"/>
    <w:rsid w:val="00B337BD"/>
    <w:rsid w:val="00B33B18"/>
    <w:rsid w:val="00B34304"/>
    <w:rsid w:val="00B34738"/>
    <w:rsid w:val="00B34F56"/>
    <w:rsid w:val="00B351A8"/>
    <w:rsid w:val="00B356DE"/>
    <w:rsid w:val="00B357C1"/>
    <w:rsid w:val="00B367DA"/>
    <w:rsid w:val="00B368E2"/>
    <w:rsid w:val="00B41179"/>
    <w:rsid w:val="00B414B7"/>
    <w:rsid w:val="00B4289F"/>
    <w:rsid w:val="00B42ACA"/>
    <w:rsid w:val="00B42AD5"/>
    <w:rsid w:val="00B42AF6"/>
    <w:rsid w:val="00B43566"/>
    <w:rsid w:val="00B435F7"/>
    <w:rsid w:val="00B43892"/>
    <w:rsid w:val="00B44A4B"/>
    <w:rsid w:val="00B45651"/>
    <w:rsid w:val="00B45741"/>
    <w:rsid w:val="00B4577A"/>
    <w:rsid w:val="00B45FE6"/>
    <w:rsid w:val="00B460E7"/>
    <w:rsid w:val="00B50273"/>
    <w:rsid w:val="00B503B6"/>
    <w:rsid w:val="00B507B5"/>
    <w:rsid w:val="00B50B7B"/>
    <w:rsid w:val="00B512C3"/>
    <w:rsid w:val="00B51A73"/>
    <w:rsid w:val="00B5210B"/>
    <w:rsid w:val="00B53573"/>
    <w:rsid w:val="00B53EF5"/>
    <w:rsid w:val="00B553F0"/>
    <w:rsid w:val="00B55640"/>
    <w:rsid w:val="00B55739"/>
    <w:rsid w:val="00B5573A"/>
    <w:rsid w:val="00B55DDD"/>
    <w:rsid w:val="00B560FE"/>
    <w:rsid w:val="00B56A31"/>
    <w:rsid w:val="00B5758F"/>
    <w:rsid w:val="00B57B41"/>
    <w:rsid w:val="00B60062"/>
    <w:rsid w:val="00B60D68"/>
    <w:rsid w:val="00B6149A"/>
    <w:rsid w:val="00B61850"/>
    <w:rsid w:val="00B61FF1"/>
    <w:rsid w:val="00B6318D"/>
    <w:rsid w:val="00B63DA8"/>
    <w:rsid w:val="00B64884"/>
    <w:rsid w:val="00B64B46"/>
    <w:rsid w:val="00B6552E"/>
    <w:rsid w:val="00B65E0C"/>
    <w:rsid w:val="00B66265"/>
    <w:rsid w:val="00B6706C"/>
    <w:rsid w:val="00B673ED"/>
    <w:rsid w:val="00B67B64"/>
    <w:rsid w:val="00B70979"/>
    <w:rsid w:val="00B70A62"/>
    <w:rsid w:val="00B70E40"/>
    <w:rsid w:val="00B710D6"/>
    <w:rsid w:val="00B71500"/>
    <w:rsid w:val="00B71C33"/>
    <w:rsid w:val="00B720D5"/>
    <w:rsid w:val="00B7245C"/>
    <w:rsid w:val="00B72972"/>
    <w:rsid w:val="00B730AC"/>
    <w:rsid w:val="00B73775"/>
    <w:rsid w:val="00B74E61"/>
    <w:rsid w:val="00B75475"/>
    <w:rsid w:val="00B75AB5"/>
    <w:rsid w:val="00B7664B"/>
    <w:rsid w:val="00B7670C"/>
    <w:rsid w:val="00B76BC1"/>
    <w:rsid w:val="00B80B8D"/>
    <w:rsid w:val="00B81D0D"/>
    <w:rsid w:val="00B82EB6"/>
    <w:rsid w:val="00B8331F"/>
    <w:rsid w:val="00B8466A"/>
    <w:rsid w:val="00B84C19"/>
    <w:rsid w:val="00B857D3"/>
    <w:rsid w:val="00B872D6"/>
    <w:rsid w:val="00B872EF"/>
    <w:rsid w:val="00B907B3"/>
    <w:rsid w:val="00B90D9B"/>
    <w:rsid w:val="00B919C2"/>
    <w:rsid w:val="00B92618"/>
    <w:rsid w:val="00B9349B"/>
    <w:rsid w:val="00B9535C"/>
    <w:rsid w:val="00B95AAD"/>
    <w:rsid w:val="00B97C78"/>
    <w:rsid w:val="00B97D07"/>
    <w:rsid w:val="00BA0792"/>
    <w:rsid w:val="00BA0B86"/>
    <w:rsid w:val="00BA1117"/>
    <w:rsid w:val="00BA132D"/>
    <w:rsid w:val="00BA16FF"/>
    <w:rsid w:val="00BA1C6E"/>
    <w:rsid w:val="00BA26A2"/>
    <w:rsid w:val="00BA3179"/>
    <w:rsid w:val="00BA3256"/>
    <w:rsid w:val="00BA32FC"/>
    <w:rsid w:val="00BA3976"/>
    <w:rsid w:val="00BA3C8B"/>
    <w:rsid w:val="00BA3E9C"/>
    <w:rsid w:val="00BA42AD"/>
    <w:rsid w:val="00BA49D3"/>
    <w:rsid w:val="00BA4CB3"/>
    <w:rsid w:val="00BA4DA1"/>
    <w:rsid w:val="00BA4E06"/>
    <w:rsid w:val="00BA5C8C"/>
    <w:rsid w:val="00BA6249"/>
    <w:rsid w:val="00BA6E05"/>
    <w:rsid w:val="00BA6EBD"/>
    <w:rsid w:val="00BB010C"/>
    <w:rsid w:val="00BB06A6"/>
    <w:rsid w:val="00BB0A7A"/>
    <w:rsid w:val="00BB1516"/>
    <w:rsid w:val="00BB199F"/>
    <w:rsid w:val="00BB2F6D"/>
    <w:rsid w:val="00BB31E9"/>
    <w:rsid w:val="00BB388C"/>
    <w:rsid w:val="00BB3985"/>
    <w:rsid w:val="00BB3C90"/>
    <w:rsid w:val="00BB43F4"/>
    <w:rsid w:val="00BB4B6A"/>
    <w:rsid w:val="00BB4BA4"/>
    <w:rsid w:val="00BB6F88"/>
    <w:rsid w:val="00BB77F7"/>
    <w:rsid w:val="00BB7FB2"/>
    <w:rsid w:val="00BC0545"/>
    <w:rsid w:val="00BC1104"/>
    <w:rsid w:val="00BC1346"/>
    <w:rsid w:val="00BC1B53"/>
    <w:rsid w:val="00BC22AA"/>
    <w:rsid w:val="00BC2FA9"/>
    <w:rsid w:val="00BC3139"/>
    <w:rsid w:val="00BC35D4"/>
    <w:rsid w:val="00BC37D7"/>
    <w:rsid w:val="00BC4237"/>
    <w:rsid w:val="00BC6592"/>
    <w:rsid w:val="00BC6658"/>
    <w:rsid w:val="00BC699F"/>
    <w:rsid w:val="00BC6CBD"/>
    <w:rsid w:val="00BD1A39"/>
    <w:rsid w:val="00BD1F54"/>
    <w:rsid w:val="00BD1F67"/>
    <w:rsid w:val="00BD27C4"/>
    <w:rsid w:val="00BD2F77"/>
    <w:rsid w:val="00BD49B7"/>
    <w:rsid w:val="00BD4AB5"/>
    <w:rsid w:val="00BD5DAC"/>
    <w:rsid w:val="00BD5F88"/>
    <w:rsid w:val="00BD6043"/>
    <w:rsid w:val="00BD702A"/>
    <w:rsid w:val="00BD74C4"/>
    <w:rsid w:val="00BD7791"/>
    <w:rsid w:val="00BD78C2"/>
    <w:rsid w:val="00BE045F"/>
    <w:rsid w:val="00BE1086"/>
    <w:rsid w:val="00BE11E1"/>
    <w:rsid w:val="00BE2713"/>
    <w:rsid w:val="00BE3125"/>
    <w:rsid w:val="00BE3871"/>
    <w:rsid w:val="00BE38CC"/>
    <w:rsid w:val="00BE3FA6"/>
    <w:rsid w:val="00BE4147"/>
    <w:rsid w:val="00BE4428"/>
    <w:rsid w:val="00BE44FD"/>
    <w:rsid w:val="00BE4C4E"/>
    <w:rsid w:val="00BE515D"/>
    <w:rsid w:val="00BE5A4C"/>
    <w:rsid w:val="00BE63AF"/>
    <w:rsid w:val="00BE77D4"/>
    <w:rsid w:val="00BE7908"/>
    <w:rsid w:val="00BE7AB3"/>
    <w:rsid w:val="00BF01CE"/>
    <w:rsid w:val="00BF03CA"/>
    <w:rsid w:val="00BF0E7B"/>
    <w:rsid w:val="00BF1009"/>
    <w:rsid w:val="00BF11BA"/>
    <w:rsid w:val="00BF17DD"/>
    <w:rsid w:val="00BF1A6C"/>
    <w:rsid w:val="00BF2204"/>
    <w:rsid w:val="00BF2D21"/>
    <w:rsid w:val="00BF2FB4"/>
    <w:rsid w:val="00BF3BA8"/>
    <w:rsid w:val="00BF3E21"/>
    <w:rsid w:val="00BF4DAC"/>
    <w:rsid w:val="00BF5135"/>
    <w:rsid w:val="00BF5303"/>
    <w:rsid w:val="00BF5880"/>
    <w:rsid w:val="00BF5AC1"/>
    <w:rsid w:val="00BF5B2D"/>
    <w:rsid w:val="00BF7B9E"/>
    <w:rsid w:val="00BF7DE7"/>
    <w:rsid w:val="00BF7E3F"/>
    <w:rsid w:val="00C000D3"/>
    <w:rsid w:val="00C010D8"/>
    <w:rsid w:val="00C016AD"/>
    <w:rsid w:val="00C01E18"/>
    <w:rsid w:val="00C0255C"/>
    <w:rsid w:val="00C0267C"/>
    <w:rsid w:val="00C031DA"/>
    <w:rsid w:val="00C04D0D"/>
    <w:rsid w:val="00C05582"/>
    <w:rsid w:val="00C0648D"/>
    <w:rsid w:val="00C069DC"/>
    <w:rsid w:val="00C06D90"/>
    <w:rsid w:val="00C07093"/>
    <w:rsid w:val="00C0742A"/>
    <w:rsid w:val="00C07853"/>
    <w:rsid w:val="00C07F56"/>
    <w:rsid w:val="00C1002B"/>
    <w:rsid w:val="00C104A8"/>
    <w:rsid w:val="00C108DD"/>
    <w:rsid w:val="00C115D9"/>
    <w:rsid w:val="00C1171E"/>
    <w:rsid w:val="00C130BC"/>
    <w:rsid w:val="00C14562"/>
    <w:rsid w:val="00C14563"/>
    <w:rsid w:val="00C14EBD"/>
    <w:rsid w:val="00C1517C"/>
    <w:rsid w:val="00C1554B"/>
    <w:rsid w:val="00C155F1"/>
    <w:rsid w:val="00C15662"/>
    <w:rsid w:val="00C15744"/>
    <w:rsid w:val="00C15C71"/>
    <w:rsid w:val="00C1638B"/>
    <w:rsid w:val="00C16DF8"/>
    <w:rsid w:val="00C16FF1"/>
    <w:rsid w:val="00C17750"/>
    <w:rsid w:val="00C177CB"/>
    <w:rsid w:val="00C17AFF"/>
    <w:rsid w:val="00C17B62"/>
    <w:rsid w:val="00C2087E"/>
    <w:rsid w:val="00C21D05"/>
    <w:rsid w:val="00C22212"/>
    <w:rsid w:val="00C226BB"/>
    <w:rsid w:val="00C228B0"/>
    <w:rsid w:val="00C22FF8"/>
    <w:rsid w:val="00C2324C"/>
    <w:rsid w:val="00C23D28"/>
    <w:rsid w:val="00C2425E"/>
    <w:rsid w:val="00C2472E"/>
    <w:rsid w:val="00C25533"/>
    <w:rsid w:val="00C25BC4"/>
    <w:rsid w:val="00C25F74"/>
    <w:rsid w:val="00C26F52"/>
    <w:rsid w:val="00C278DE"/>
    <w:rsid w:val="00C30317"/>
    <w:rsid w:val="00C3088B"/>
    <w:rsid w:val="00C32994"/>
    <w:rsid w:val="00C32AEB"/>
    <w:rsid w:val="00C32B73"/>
    <w:rsid w:val="00C32F57"/>
    <w:rsid w:val="00C33B48"/>
    <w:rsid w:val="00C33F22"/>
    <w:rsid w:val="00C34A0F"/>
    <w:rsid w:val="00C355B1"/>
    <w:rsid w:val="00C35C26"/>
    <w:rsid w:val="00C35F72"/>
    <w:rsid w:val="00C3664A"/>
    <w:rsid w:val="00C36B92"/>
    <w:rsid w:val="00C3727B"/>
    <w:rsid w:val="00C37B85"/>
    <w:rsid w:val="00C40058"/>
    <w:rsid w:val="00C4013D"/>
    <w:rsid w:val="00C404FE"/>
    <w:rsid w:val="00C414B4"/>
    <w:rsid w:val="00C41A02"/>
    <w:rsid w:val="00C41A7D"/>
    <w:rsid w:val="00C41EE1"/>
    <w:rsid w:val="00C42092"/>
    <w:rsid w:val="00C421C3"/>
    <w:rsid w:val="00C43472"/>
    <w:rsid w:val="00C436C5"/>
    <w:rsid w:val="00C436DB"/>
    <w:rsid w:val="00C43EF1"/>
    <w:rsid w:val="00C442ED"/>
    <w:rsid w:val="00C45169"/>
    <w:rsid w:val="00C46139"/>
    <w:rsid w:val="00C47834"/>
    <w:rsid w:val="00C51C3C"/>
    <w:rsid w:val="00C52217"/>
    <w:rsid w:val="00C52277"/>
    <w:rsid w:val="00C525A1"/>
    <w:rsid w:val="00C52CD1"/>
    <w:rsid w:val="00C53080"/>
    <w:rsid w:val="00C53363"/>
    <w:rsid w:val="00C53826"/>
    <w:rsid w:val="00C53BF1"/>
    <w:rsid w:val="00C53F6A"/>
    <w:rsid w:val="00C54527"/>
    <w:rsid w:val="00C55712"/>
    <w:rsid w:val="00C559D1"/>
    <w:rsid w:val="00C55A1E"/>
    <w:rsid w:val="00C55C9D"/>
    <w:rsid w:val="00C56899"/>
    <w:rsid w:val="00C5726A"/>
    <w:rsid w:val="00C57A56"/>
    <w:rsid w:val="00C57B68"/>
    <w:rsid w:val="00C57D50"/>
    <w:rsid w:val="00C60451"/>
    <w:rsid w:val="00C609C0"/>
    <w:rsid w:val="00C60B18"/>
    <w:rsid w:val="00C61213"/>
    <w:rsid w:val="00C615F2"/>
    <w:rsid w:val="00C63199"/>
    <w:rsid w:val="00C6325C"/>
    <w:rsid w:val="00C6381C"/>
    <w:rsid w:val="00C63AC0"/>
    <w:rsid w:val="00C64034"/>
    <w:rsid w:val="00C64503"/>
    <w:rsid w:val="00C64D3A"/>
    <w:rsid w:val="00C64DE2"/>
    <w:rsid w:val="00C653A7"/>
    <w:rsid w:val="00C65D75"/>
    <w:rsid w:val="00C65FC7"/>
    <w:rsid w:val="00C66F97"/>
    <w:rsid w:val="00C67CB1"/>
    <w:rsid w:val="00C7133B"/>
    <w:rsid w:val="00C715E6"/>
    <w:rsid w:val="00C71B00"/>
    <w:rsid w:val="00C72B98"/>
    <w:rsid w:val="00C739A1"/>
    <w:rsid w:val="00C749E0"/>
    <w:rsid w:val="00C74B3F"/>
    <w:rsid w:val="00C755D1"/>
    <w:rsid w:val="00C765F4"/>
    <w:rsid w:val="00C7725C"/>
    <w:rsid w:val="00C7786F"/>
    <w:rsid w:val="00C77BFE"/>
    <w:rsid w:val="00C8045E"/>
    <w:rsid w:val="00C80729"/>
    <w:rsid w:val="00C80858"/>
    <w:rsid w:val="00C80A21"/>
    <w:rsid w:val="00C8124B"/>
    <w:rsid w:val="00C813CE"/>
    <w:rsid w:val="00C81C7A"/>
    <w:rsid w:val="00C82A24"/>
    <w:rsid w:val="00C82ABF"/>
    <w:rsid w:val="00C8405A"/>
    <w:rsid w:val="00C840AB"/>
    <w:rsid w:val="00C843A7"/>
    <w:rsid w:val="00C84A45"/>
    <w:rsid w:val="00C84DE7"/>
    <w:rsid w:val="00C8515B"/>
    <w:rsid w:val="00C85451"/>
    <w:rsid w:val="00C85482"/>
    <w:rsid w:val="00C85AE2"/>
    <w:rsid w:val="00C87FCA"/>
    <w:rsid w:val="00C905A7"/>
    <w:rsid w:val="00C916BC"/>
    <w:rsid w:val="00C9263C"/>
    <w:rsid w:val="00C92B7C"/>
    <w:rsid w:val="00C933EF"/>
    <w:rsid w:val="00C935BA"/>
    <w:rsid w:val="00C93E0C"/>
    <w:rsid w:val="00C95FE3"/>
    <w:rsid w:val="00C96082"/>
    <w:rsid w:val="00C9615F"/>
    <w:rsid w:val="00C96480"/>
    <w:rsid w:val="00C96D8D"/>
    <w:rsid w:val="00C97680"/>
    <w:rsid w:val="00CA00D6"/>
    <w:rsid w:val="00CA0B7A"/>
    <w:rsid w:val="00CA18ED"/>
    <w:rsid w:val="00CA1B16"/>
    <w:rsid w:val="00CA224A"/>
    <w:rsid w:val="00CA2287"/>
    <w:rsid w:val="00CA25D3"/>
    <w:rsid w:val="00CA3DC9"/>
    <w:rsid w:val="00CA519E"/>
    <w:rsid w:val="00CA5629"/>
    <w:rsid w:val="00CA5828"/>
    <w:rsid w:val="00CA5DC9"/>
    <w:rsid w:val="00CA5F1C"/>
    <w:rsid w:val="00CA6B01"/>
    <w:rsid w:val="00CA6D69"/>
    <w:rsid w:val="00CA6EDD"/>
    <w:rsid w:val="00CA7046"/>
    <w:rsid w:val="00CA71EE"/>
    <w:rsid w:val="00CA7529"/>
    <w:rsid w:val="00CA77E8"/>
    <w:rsid w:val="00CA7A9A"/>
    <w:rsid w:val="00CA7E40"/>
    <w:rsid w:val="00CB1055"/>
    <w:rsid w:val="00CB197D"/>
    <w:rsid w:val="00CB1B9E"/>
    <w:rsid w:val="00CB1EC7"/>
    <w:rsid w:val="00CB229B"/>
    <w:rsid w:val="00CB22F8"/>
    <w:rsid w:val="00CB24F2"/>
    <w:rsid w:val="00CB2DC4"/>
    <w:rsid w:val="00CB39FC"/>
    <w:rsid w:val="00CB4F94"/>
    <w:rsid w:val="00CB5531"/>
    <w:rsid w:val="00CB55EE"/>
    <w:rsid w:val="00CB57C5"/>
    <w:rsid w:val="00CB5919"/>
    <w:rsid w:val="00CB61D4"/>
    <w:rsid w:val="00CB7874"/>
    <w:rsid w:val="00CC0EAB"/>
    <w:rsid w:val="00CC0FFA"/>
    <w:rsid w:val="00CC10D9"/>
    <w:rsid w:val="00CC17F5"/>
    <w:rsid w:val="00CC3017"/>
    <w:rsid w:val="00CC328A"/>
    <w:rsid w:val="00CC38F3"/>
    <w:rsid w:val="00CC40A0"/>
    <w:rsid w:val="00CC4130"/>
    <w:rsid w:val="00CC4389"/>
    <w:rsid w:val="00CC51E2"/>
    <w:rsid w:val="00CC5A4D"/>
    <w:rsid w:val="00CC6F71"/>
    <w:rsid w:val="00CC6FA2"/>
    <w:rsid w:val="00CC6FE4"/>
    <w:rsid w:val="00CC7A7D"/>
    <w:rsid w:val="00CD0E4B"/>
    <w:rsid w:val="00CD0EF2"/>
    <w:rsid w:val="00CD2BD7"/>
    <w:rsid w:val="00CD2CBA"/>
    <w:rsid w:val="00CD3839"/>
    <w:rsid w:val="00CD3E04"/>
    <w:rsid w:val="00CD46DA"/>
    <w:rsid w:val="00CD50C1"/>
    <w:rsid w:val="00CD5864"/>
    <w:rsid w:val="00CD5D01"/>
    <w:rsid w:val="00CD7813"/>
    <w:rsid w:val="00CD7EC5"/>
    <w:rsid w:val="00CE014E"/>
    <w:rsid w:val="00CE095D"/>
    <w:rsid w:val="00CE0A77"/>
    <w:rsid w:val="00CE17EC"/>
    <w:rsid w:val="00CE1B35"/>
    <w:rsid w:val="00CE211C"/>
    <w:rsid w:val="00CE22E8"/>
    <w:rsid w:val="00CE2F06"/>
    <w:rsid w:val="00CE357E"/>
    <w:rsid w:val="00CE4489"/>
    <w:rsid w:val="00CE4627"/>
    <w:rsid w:val="00CE46AE"/>
    <w:rsid w:val="00CE4FCB"/>
    <w:rsid w:val="00CE58A1"/>
    <w:rsid w:val="00CE5A0D"/>
    <w:rsid w:val="00CE6563"/>
    <w:rsid w:val="00CE7325"/>
    <w:rsid w:val="00CE73DC"/>
    <w:rsid w:val="00CF08B1"/>
    <w:rsid w:val="00CF0B0E"/>
    <w:rsid w:val="00CF0E75"/>
    <w:rsid w:val="00CF18CE"/>
    <w:rsid w:val="00CF1FD0"/>
    <w:rsid w:val="00CF22E6"/>
    <w:rsid w:val="00CF2348"/>
    <w:rsid w:val="00CF248F"/>
    <w:rsid w:val="00CF284F"/>
    <w:rsid w:val="00CF2B25"/>
    <w:rsid w:val="00CF36BF"/>
    <w:rsid w:val="00CF4360"/>
    <w:rsid w:val="00CF6CE9"/>
    <w:rsid w:val="00CF7408"/>
    <w:rsid w:val="00CF75EB"/>
    <w:rsid w:val="00CF76A4"/>
    <w:rsid w:val="00CF7DDB"/>
    <w:rsid w:val="00CF7F37"/>
    <w:rsid w:val="00D001F4"/>
    <w:rsid w:val="00D0031C"/>
    <w:rsid w:val="00D00322"/>
    <w:rsid w:val="00D00692"/>
    <w:rsid w:val="00D00DD5"/>
    <w:rsid w:val="00D00DE3"/>
    <w:rsid w:val="00D01267"/>
    <w:rsid w:val="00D01F38"/>
    <w:rsid w:val="00D032E0"/>
    <w:rsid w:val="00D035A4"/>
    <w:rsid w:val="00D03685"/>
    <w:rsid w:val="00D036B6"/>
    <w:rsid w:val="00D03931"/>
    <w:rsid w:val="00D03A70"/>
    <w:rsid w:val="00D03B96"/>
    <w:rsid w:val="00D048C6"/>
    <w:rsid w:val="00D04920"/>
    <w:rsid w:val="00D05239"/>
    <w:rsid w:val="00D0599E"/>
    <w:rsid w:val="00D05A03"/>
    <w:rsid w:val="00D06DDA"/>
    <w:rsid w:val="00D077AA"/>
    <w:rsid w:val="00D078A6"/>
    <w:rsid w:val="00D116E6"/>
    <w:rsid w:val="00D1190D"/>
    <w:rsid w:val="00D11964"/>
    <w:rsid w:val="00D11CEF"/>
    <w:rsid w:val="00D1220D"/>
    <w:rsid w:val="00D12555"/>
    <w:rsid w:val="00D128C8"/>
    <w:rsid w:val="00D12954"/>
    <w:rsid w:val="00D12EC4"/>
    <w:rsid w:val="00D13731"/>
    <w:rsid w:val="00D14150"/>
    <w:rsid w:val="00D145CF"/>
    <w:rsid w:val="00D14A59"/>
    <w:rsid w:val="00D14C18"/>
    <w:rsid w:val="00D15313"/>
    <w:rsid w:val="00D1552C"/>
    <w:rsid w:val="00D1570D"/>
    <w:rsid w:val="00D1600A"/>
    <w:rsid w:val="00D16562"/>
    <w:rsid w:val="00D16CDE"/>
    <w:rsid w:val="00D17825"/>
    <w:rsid w:val="00D2096A"/>
    <w:rsid w:val="00D2108B"/>
    <w:rsid w:val="00D210D9"/>
    <w:rsid w:val="00D222BF"/>
    <w:rsid w:val="00D22465"/>
    <w:rsid w:val="00D224CB"/>
    <w:rsid w:val="00D224FF"/>
    <w:rsid w:val="00D23964"/>
    <w:rsid w:val="00D23E2D"/>
    <w:rsid w:val="00D2434F"/>
    <w:rsid w:val="00D24376"/>
    <w:rsid w:val="00D248EE"/>
    <w:rsid w:val="00D24C9B"/>
    <w:rsid w:val="00D25DA5"/>
    <w:rsid w:val="00D263FC"/>
    <w:rsid w:val="00D27DCB"/>
    <w:rsid w:val="00D302BD"/>
    <w:rsid w:val="00D3058F"/>
    <w:rsid w:val="00D30D4D"/>
    <w:rsid w:val="00D3115F"/>
    <w:rsid w:val="00D31C2E"/>
    <w:rsid w:val="00D32433"/>
    <w:rsid w:val="00D33A98"/>
    <w:rsid w:val="00D34EE9"/>
    <w:rsid w:val="00D358B8"/>
    <w:rsid w:val="00D3630C"/>
    <w:rsid w:val="00D36654"/>
    <w:rsid w:val="00D374F6"/>
    <w:rsid w:val="00D3768C"/>
    <w:rsid w:val="00D37725"/>
    <w:rsid w:val="00D4037E"/>
    <w:rsid w:val="00D40CC4"/>
    <w:rsid w:val="00D411E1"/>
    <w:rsid w:val="00D4151F"/>
    <w:rsid w:val="00D420F8"/>
    <w:rsid w:val="00D4217C"/>
    <w:rsid w:val="00D42EDC"/>
    <w:rsid w:val="00D42F87"/>
    <w:rsid w:val="00D43204"/>
    <w:rsid w:val="00D44A9A"/>
    <w:rsid w:val="00D45052"/>
    <w:rsid w:val="00D45605"/>
    <w:rsid w:val="00D45C51"/>
    <w:rsid w:val="00D46229"/>
    <w:rsid w:val="00D50C36"/>
    <w:rsid w:val="00D51685"/>
    <w:rsid w:val="00D51A10"/>
    <w:rsid w:val="00D51EE0"/>
    <w:rsid w:val="00D52FF9"/>
    <w:rsid w:val="00D53255"/>
    <w:rsid w:val="00D535DB"/>
    <w:rsid w:val="00D54335"/>
    <w:rsid w:val="00D5437A"/>
    <w:rsid w:val="00D54AA3"/>
    <w:rsid w:val="00D54BD4"/>
    <w:rsid w:val="00D55DA2"/>
    <w:rsid w:val="00D56B4B"/>
    <w:rsid w:val="00D571F4"/>
    <w:rsid w:val="00D57852"/>
    <w:rsid w:val="00D57C66"/>
    <w:rsid w:val="00D6087D"/>
    <w:rsid w:val="00D60D5E"/>
    <w:rsid w:val="00D611FD"/>
    <w:rsid w:val="00D617C8"/>
    <w:rsid w:val="00D61A45"/>
    <w:rsid w:val="00D61CAC"/>
    <w:rsid w:val="00D62B77"/>
    <w:rsid w:val="00D637FE"/>
    <w:rsid w:val="00D63857"/>
    <w:rsid w:val="00D64B28"/>
    <w:rsid w:val="00D64C7B"/>
    <w:rsid w:val="00D651AC"/>
    <w:rsid w:val="00D652AC"/>
    <w:rsid w:val="00D652F3"/>
    <w:rsid w:val="00D6538D"/>
    <w:rsid w:val="00D6568C"/>
    <w:rsid w:val="00D660DE"/>
    <w:rsid w:val="00D66C9D"/>
    <w:rsid w:val="00D66D62"/>
    <w:rsid w:val="00D66FD2"/>
    <w:rsid w:val="00D67353"/>
    <w:rsid w:val="00D676FD"/>
    <w:rsid w:val="00D70978"/>
    <w:rsid w:val="00D7129C"/>
    <w:rsid w:val="00D727B3"/>
    <w:rsid w:val="00D72EFD"/>
    <w:rsid w:val="00D7321B"/>
    <w:rsid w:val="00D73DFC"/>
    <w:rsid w:val="00D7430F"/>
    <w:rsid w:val="00D7526A"/>
    <w:rsid w:val="00D7549F"/>
    <w:rsid w:val="00D7648E"/>
    <w:rsid w:val="00D76D8F"/>
    <w:rsid w:val="00D770CA"/>
    <w:rsid w:val="00D772AA"/>
    <w:rsid w:val="00D7770E"/>
    <w:rsid w:val="00D77941"/>
    <w:rsid w:val="00D77B64"/>
    <w:rsid w:val="00D808FB"/>
    <w:rsid w:val="00D809CE"/>
    <w:rsid w:val="00D80F99"/>
    <w:rsid w:val="00D81A26"/>
    <w:rsid w:val="00D81B75"/>
    <w:rsid w:val="00D822C0"/>
    <w:rsid w:val="00D82881"/>
    <w:rsid w:val="00D832EE"/>
    <w:rsid w:val="00D83F62"/>
    <w:rsid w:val="00D84207"/>
    <w:rsid w:val="00D851AD"/>
    <w:rsid w:val="00D86808"/>
    <w:rsid w:val="00D86ADE"/>
    <w:rsid w:val="00D87AAB"/>
    <w:rsid w:val="00D90871"/>
    <w:rsid w:val="00D91A96"/>
    <w:rsid w:val="00D92B55"/>
    <w:rsid w:val="00D9399E"/>
    <w:rsid w:val="00D94044"/>
    <w:rsid w:val="00D940E5"/>
    <w:rsid w:val="00D94966"/>
    <w:rsid w:val="00D9511A"/>
    <w:rsid w:val="00D96FFD"/>
    <w:rsid w:val="00D9730F"/>
    <w:rsid w:val="00D97410"/>
    <w:rsid w:val="00DA0DFB"/>
    <w:rsid w:val="00DA14A6"/>
    <w:rsid w:val="00DA168A"/>
    <w:rsid w:val="00DA1A16"/>
    <w:rsid w:val="00DA300E"/>
    <w:rsid w:val="00DA346A"/>
    <w:rsid w:val="00DA37FA"/>
    <w:rsid w:val="00DA41AC"/>
    <w:rsid w:val="00DA480F"/>
    <w:rsid w:val="00DA5178"/>
    <w:rsid w:val="00DA604E"/>
    <w:rsid w:val="00DA64AB"/>
    <w:rsid w:val="00DA7736"/>
    <w:rsid w:val="00DB0D5C"/>
    <w:rsid w:val="00DB0E63"/>
    <w:rsid w:val="00DB1313"/>
    <w:rsid w:val="00DB2125"/>
    <w:rsid w:val="00DB2382"/>
    <w:rsid w:val="00DB2602"/>
    <w:rsid w:val="00DB27DE"/>
    <w:rsid w:val="00DB28F4"/>
    <w:rsid w:val="00DB2F51"/>
    <w:rsid w:val="00DB3081"/>
    <w:rsid w:val="00DB3FBE"/>
    <w:rsid w:val="00DB4046"/>
    <w:rsid w:val="00DB405C"/>
    <w:rsid w:val="00DB4592"/>
    <w:rsid w:val="00DB4651"/>
    <w:rsid w:val="00DB49C1"/>
    <w:rsid w:val="00DB4CE2"/>
    <w:rsid w:val="00DB5A32"/>
    <w:rsid w:val="00DB5F4E"/>
    <w:rsid w:val="00DB69A6"/>
    <w:rsid w:val="00DB77D7"/>
    <w:rsid w:val="00DB79C1"/>
    <w:rsid w:val="00DB7A38"/>
    <w:rsid w:val="00DC04D1"/>
    <w:rsid w:val="00DC0737"/>
    <w:rsid w:val="00DC116D"/>
    <w:rsid w:val="00DC1B7F"/>
    <w:rsid w:val="00DC1EE8"/>
    <w:rsid w:val="00DC2879"/>
    <w:rsid w:val="00DC36EF"/>
    <w:rsid w:val="00DC4232"/>
    <w:rsid w:val="00DC50D4"/>
    <w:rsid w:val="00DC5856"/>
    <w:rsid w:val="00DC5E1A"/>
    <w:rsid w:val="00DC6176"/>
    <w:rsid w:val="00DC677C"/>
    <w:rsid w:val="00DC746F"/>
    <w:rsid w:val="00DC7963"/>
    <w:rsid w:val="00DC7EC5"/>
    <w:rsid w:val="00DD0A0D"/>
    <w:rsid w:val="00DD1694"/>
    <w:rsid w:val="00DD182E"/>
    <w:rsid w:val="00DD1992"/>
    <w:rsid w:val="00DD1E31"/>
    <w:rsid w:val="00DD2130"/>
    <w:rsid w:val="00DD22A0"/>
    <w:rsid w:val="00DD2318"/>
    <w:rsid w:val="00DD242D"/>
    <w:rsid w:val="00DD2B83"/>
    <w:rsid w:val="00DD2D18"/>
    <w:rsid w:val="00DD2F38"/>
    <w:rsid w:val="00DD396C"/>
    <w:rsid w:val="00DD426F"/>
    <w:rsid w:val="00DD55A4"/>
    <w:rsid w:val="00DD5F32"/>
    <w:rsid w:val="00DD6E4B"/>
    <w:rsid w:val="00DD6F38"/>
    <w:rsid w:val="00DD7209"/>
    <w:rsid w:val="00DD72CE"/>
    <w:rsid w:val="00DD78F7"/>
    <w:rsid w:val="00DE0088"/>
    <w:rsid w:val="00DE0153"/>
    <w:rsid w:val="00DE1463"/>
    <w:rsid w:val="00DE1ACC"/>
    <w:rsid w:val="00DE1D46"/>
    <w:rsid w:val="00DE2314"/>
    <w:rsid w:val="00DE233C"/>
    <w:rsid w:val="00DE24DD"/>
    <w:rsid w:val="00DE2B70"/>
    <w:rsid w:val="00DE33B1"/>
    <w:rsid w:val="00DE3AFF"/>
    <w:rsid w:val="00DE3F97"/>
    <w:rsid w:val="00DE405D"/>
    <w:rsid w:val="00DE4AC2"/>
    <w:rsid w:val="00DE535F"/>
    <w:rsid w:val="00DE6165"/>
    <w:rsid w:val="00DE63F1"/>
    <w:rsid w:val="00DE7D50"/>
    <w:rsid w:val="00DF15D3"/>
    <w:rsid w:val="00DF1AD6"/>
    <w:rsid w:val="00DF2D32"/>
    <w:rsid w:val="00DF349D"/>
    <w:rsid w:val="00DF39ED"/>
    <w:rsid w:val="00DF3CA3"/>
    <w:rsid w:val="00DF3CC0"/>
    <w:rsid w:val="00DF434B"/>
    <w:rsid w:val="00DF5676"/>
    <w:rsid w:val="00DF59D8"/>
    <w:rsid w:val="00DF5AD9"/>
    <w:rsid w:val="00DF5B42"/>
    <w:rsid w:val="00DF64AF"/>
    <w:rsid w:val="00DF6CBB"/>
    <w:rsid w:val="00DF7A1A"/>
    <w:rsid w:val="00DF7B08"/>
    <w:rsid w:val="00E00970"/>
    <w:rsid w:val="00E00BBE"/>
    <w:rsid w:val="00E015DF"/>
    <w:rsid w:val="00E0196C"/>
    <w:rsid w:val="00E021D6"/>
    <w:rsid w:val="00E02632"/>
    <w:rsid w:val="00E02DA2"/>
    <w:rsid w:val="00E0326B"/>
    <w:rsid w:val="00E03848"/>
    <w:rsid w:val="00E05229"/>
    <w:rsid w:val="00E055B6"/>
    <w:rsid w:val="00E062A3"/>
    <w:rsid w:val="00E0792D"/>
    <w:rsid w:val="00E1051A"/>
    <w:rsid w:val="00E10F38"/>
    <w:rsid w:val="00E1133F"/>
    <w:rsid w:val="00E11719"/>
    <w:rsid w:val="00E11A2B"/>
    <w:rsid w:val="00E1230F"/>
    <w:rsid w:val="00E12456"/>
    <w:rsid w:val="00E12C64"/>
    <w:rsid w:val="00E12FF2"/>
    <w:rsid w:val="00E14B04"/>
    <w:rsid w:val="00E15B8D"/>
    <w:rsid w:val="00E16106"/>
    <w:rsid w:val="00E16201"/>
    <w:rsid w:val="00E1738C"/>
    <w:rsid w:val="00E173F1"/>
    <w:rsid w:val="00E1779D"/>
    <w:rsid w:val="00E20DF8"/>
    <w:rsid w:val="00E21892"/>
    <w:rsid w:val="00E22016"/>
    <w:rsid w:val="00E22042"/>
    <w:rsid w:val="00E2263F"/>
    <w:rsid w:val="00E22B6C"/>
    <w:rsid w:val="00E22C28"/>
    <w:rsid w:val="00E22CA3"/>
    <w:rsid w:val="00E23030"/>
    <w:rsid w:val="00E23306"/>
    <w:rsid w:val="00E23F4C"/>
    <w:rsid w:val="00E24788"/>
    <w:rsid w:val="00E248A8"/>
    <w:rsid w:val="00E2550E"/>
    <w:rsid w:val="00E25B9C"/>
    <w:rsid w:val="00E26C4D"/>
    <w:rsid w:val="00E27078"/>
    <w:rsid w:val="00E27A08"/>
    <w:rsid w:val="00E30177"/>
    <w:rsid w:val="00E30542"/>
    <w:rsid w:val="00E30564"/>
    <w:rsid w:val="00E30E2F"/>
    <w:rsid w:val="00E3172E"/>
    <w:rsid w:val="00E31C25"/>
    <w:rsid w:val="00E345BA"/>
    <w:rsid w:val="00E34635"/>
    <w:rsid w:val="00E34B24"/>
    <w:rsid w:val="00E34E44"/>
    <w:rsid w:val="00E35B58"/>
    <w:rsid w:val="00E366EE"/>
    <w:rsid w:val="00E367E6"/>
    <w:rsid w:val="00E37125"/>
    <w:rsid w:val="00E37D46"/>
    <w:rsid w:val="00E40174"/>
    <w:rsid w:val="00E408D6"/>
    <w:rsid w:val="00E40959"/>
    <w:rsid w:val="00E41351"/>
    <w:rsid w:val="00E414DB"/>
    <w:rsid w:val="00E4187D"/>
    <w:rsid w:val="00E418BF"/>
    <w:rsid w:val="00E428E0"/>
    <w:rsid w:val="00E42E4E"/>
    <w:rsid w:val="00E4344F"/>
    <w:rsid w:val="00E444FE"/>
    <w:rsid w:val="00E44CD1"/>
    <w:rsid w:val="00E44F80"/>
    <w:rsid w:val="00E451B4"/>
    <w:rsid w:val="00E45293"/>
    <w:rsid w:val="00E45D4B"/>
    <w:rsid w:val="00E46781"/>
    <w:rsid w:val="00E47361"/>
    <w:rsid w:val="00E47E0A"/>
    <w:rsid w:val="00E5052F"/>
    <w:rsid w:val="00E5156B"/>
    <w:rsid w:val="00E52EF9"/>
    <w:rsid w:val="00E53147"/>
    <w:rsid w:val="00E53894"/>
    <w:rsid w:val="00E538B2"/>
    <w:rsid w:val="00E539F0"/>
    <w:rsid w:val="00E53DA6"/>
    <w:rsid w:val="00E54A3C"/>
    <w:rsid w:val="00E54EC6"/>
    <w:rsid w:val="00E55304"/>
    <w:rsid w:val="00E55B31"/>
    <w:rsid w:val="00E561E4"/>
    <w:rsid w:val="00E5666D"/>
    <w:rsid w:val="00E5699B"/>
    <w:rsid w:val="00E56E69"/>
    <w:rsid w:val="00E56F70"/>
    <w:rsid w:val="00E57626"/>
    <w:rsid w:val="00E6032F"/>
    <w:rsid w:val="00E6125A"/>
    <w:rsid w:val="00E638F0"/>
    <w:rsid w:val="00E63CA7"/>
    <w:rsid w:val="00E63D30"/>
    <w:rsid w:val="00E64198"/>
    <w:rsid w:val="00E65EAF"/>
    <w:rsid w:val="00E6685E"/>
    <w:rsid w:val="00E66F6C"/>
    <w:rsid w:val="00E7003E"/>
    <w:rsid w:val="00E705A8"/>
    <w:rsid w:val="00E7162E"/>
    <w:rsid w:val="00E717B0"/>
    <w:rsid w:val="00E723DA"/>
    <w:rsid w:val="00E72727"/>
    <w:rsid w:val="00E72F7B"/>
    <w:rsid w:val="00E73B33"/>
    <w:rsid w:val="00E73CF9"/>
    <w:rsid w:val="00E73E8A"/>
    <w:rsid w:val="00E7415D"/>
    <w:rsid w:val="00E74F0C"/>
    <w:rsid w:val="00E75067"/>
    <w:rsid w:val="00E75392"/>
    <w:rsid w:val="00E75440"/>
    <w:rsid w:val="00E75488"/>
    <w:rsid w:val="00E75F44"/>
    <w:rsid w:val="00E75FA2"/>
    <w:rsid w:val="00E76525"/>
    <w:rsid w:val="00E76612"/>
    <w:rsid w:val="00E766D1"/>
    <w:rsid w:val="00E76D0A"/>
    <w:rsid w:val="00E775E0"/>
    <w:rsid w:val="00E7787E"/>
    <w:rsid w:val="00E800A2"/>
    <w:rsid w:val="00E80AFD"/>
    <w:rsid w:val="00E811C1"/>
    <w:rsid w:val="00E812AA"/>
    <w:rsid w:val="00E81B36"/>
    <w:rsid w:val="00E81BD2"/>
    <w:rsid w:val="00E8288E"/>
    <w:rsid w:val="00E83B4F"/>
    <w:rsid w:val="00E83C06"/>
    <w:rsid w:val="00E83C5D"/>
    <w:rsid w:val="00E85BCB"/>
    <w:rsid w:val="00E8632A"/>
    <w:rsid w:val="00E8659E"/>
    <w:rsid w:val="00E8679B"/>
    <w:rsid w:val="00E867B4"/>
    <w:rsid w:val="00E868FE"/>
    <w:rsid w:val="00E8695F"/>
    <w:rsid w:val="00E910DF"/>
    <w:rsid w:val="00E91C9A"/>
    <w:rsid w:val="00E920B8"/>
    <w:rsid w:val="00E92B79"/>
    <w:rsid w:val="00E92E7E"/>
    <w:rsid w:val="00E9404C"/>
    <w:rsid w:val="00E943BD"/>
    <w:rsid w:val="00E94798"/>
    <w:rsid w:val="00E950DF"/>
    <w:rsid w:val="00E951D6"/>
    <w:rsid w:val="00E97185"/>
    <w:rsid w:val="00E974CA"/>
    <w:rsid w:val="00E97919"/>
    <w:rsid w:val="00E97B82"/>
    <w:rsid w:val="00EA03EB"/>
    <w:rsid w:val="00EA042C"/>
    <w:rsid w:val="00EA0A0C"/>
    <w:rsid w:val="00EA1DA0"/>
    <w:rsid w:val="00EA1F23"/>
    <w:rsid w:val="00EA261E"/>
    <w:rsid w:val="00EA26B3"/>
    <w:rsid w:val="00EA2E2F"/>
    <w:rsid w:val="00EA349E"/>
    <w:rsid w:val="00EA34EC"/>
    <w:rsid w:val="00EA35E3"/>
    <w:rsid w:val="00EA377D"/>
    <w:rsid w:val="00EA3958"/>
    <w:rsid w:val="00EA3D0D"/>
    <w:rsid w:val="00EA3E05"/>
    <w:rsid w:val="00EA42BC"/>
    <w:rsid w:val="00EA4371"/>
    <w:rsid w:val="00EA4671"/>
    <w:rsid w:val="00EA4EA2"/>
    <w:rsid w:val="00EA50C8"/>
    <w:rsid w:val="00EA54D1"/>
    <w:rsid w:val="00EA688F"/>
    <w:rsid w:val="00EA6FFF"/>
    <w:rsid w:val="00EA7E7A"/>
    <w:rsid w:val="00EB0282"/>
    <w:rsid w:val="00EB04F6"/>
    <w:rsid w:val="00EB062C"/>
    <w:rsid w:val="00EB0A48"/>
    <w:rsid w:val="00EB144C"/>
    <w:rsid w:val="00EB4203"/>
    <w:rsid w:val="00EB5F5F"/>
    <w:rsid w:val="00EB6BEA"/>
    <w:rsid w:val="00EB774C"/>
    <w:rsid w:val="00EC03FD"/>
    <w:rsid w:val="00EC182A"/>
    <w:rsid w:val="00EC2F7C"/>
    <w:rsid w:val="00EC30AD"/>
    <w:rsid w:val="00EC4A82"/>
    <w:rsid w:val="00EC4E41"/>
    <w:rsid w:val="00EC621B"/>
    <w:rsid w:val="00EC6F6F"/>
    <w:rsid w:val="00EC72A9"/>
    <w:rsid w:val="00EC749C"/>
    <w:rsid w:val="00EC7522"/>
    <w:rsid w:val="00EC7563"/>
    <w:rsid w:val="00EC7878"/>
    <w:rsid w:val="00EC79E4"/>
    <w:rsid w:val="00EC7B41"/>
    <w:rsid w:val="00ED0D27"/>
    <w:rsid w:val="00ED1299"/>
    <w:rsid w:val="00ED2532"/>
    <w:rsid w:val="00ED28DD"/>
    <w:rsid w:val="00ED37CA"/>
    <w:rsid w:val="00ED408E"/>
    <w:rsid w:val="00ED4246"/>
    <w:rsid w:val="00ED4A56"/>
    <w:rsid w:val="00ED4A64"/>
    <w:rsid w:val="00ED5734"/>
    <w:rsid w:val="00ED5D4A"/>
    <w:rsid w:val="00ED600B"/>
    <w:rsid w:val="00ED64D8"/>
    <w:rsid w:val="00ED68E8"/>
    <w:rsid w:val="00ED6FC9"/>
    <w:rsid w:val="00ED719D"/>
    <w:rsid w:val="00ED7972"/>
    <w:rsid w:val="00ED7C6C"/>
    <w:rsid w:val="00EE003A"/>
    <w:rsid w:val="00EE0A54"/>
    <w:rsid w:val="00EE0B8D"/>
    <w:rsid w:val="00EE0EBD"/>
    <w:rsid w:val="00EE1A3A"/>
    <w:rsid w:val="00EE1D93"/>
    <w:rsid w:val="00EE23C4"/>
    <w:rsid w:val="00EE2933"/>
    <w:rsid w:val="00EE2C51"/>
    <w:rsid w:val="00EE3972"/>
    <w:rsid w:val="00EE3DE0"/>
    <w:rsid w:val="00EE47A2"/>
    <w:rsid w:val="00EE4852"/>
    <w:rsid w:val="00EE5064"/>
    <w:rsid w:val="00EE6252"/>
    <w:rsid w:val="00EE6698"/>
    <w:rsid w:val="00EE729B"/>
    <w:rsid w:val="00EE7E7A"/>
    <w:rsid w:val="00EF0694"/>
    <w:rsid w:val="00EF0780"/>
    <w:rsid w:val="00EF0ABE"/>
    <w:rsid w:val="00EF2A04"/>
    <w:rsid w:val="00EF2FE0"/>
    <w:rsid w:val="00EF3866"/>
    <w:rsid w:val="00EF38AD"/>
    <w:rsid w:val="00EF41E3"/>
    <w:rsid w:val="00EF4F2E"/>
    <w:rsid w:val="00EF5586"/>
    <w:rsid w:val="00EF595F"/>
    <w:rsid w:val="00EF5DE3"/>
    <w:rsid w:val="00EF632C"/>
    <w:rsid w:val="00EF66DE"/>
    <w:rsid w:val="00EF6A6D"/>
    <w:rsid w:val="00EF6CBC"/>
    <w:rsid w:val="00EF7D90"/>
    <w:rsid w:val="00F00D4F"/>
    <w:rsid w:val="00F0113F"/>
    <w:rsid w:val="00F01260"/>
    <w:rsid w:val="00F0144F"/>
    <w:rsid w:val="00F014E1"/>
    <w:rsid w:val="00F0242F"/>
    <w:rsid w:val="00F02F16"/>
    <w:rsid w:val="00F0432D"/>
    <w:rsid w:val="00F060E5"/>
    <w:rsid w:val="00F06763"/>
    <w:rsid w:val="00F06A58"/>
    <w:rsid w:val="00F06D63"/>
    <w:rsid w:val="00F06EF0"/>
    <w:rsid w:val="00F06F70"/>
    <w:rsid w:val="00F07337"/>
    <w:rsid w:val="00F100AA"/>
    <w:rsid w:val="00F1037D"/>
    <w:rsid w:val="00F10C31"/>
    <w:rsid w:val="00F1255D"/>
    <w:rsid w:val="00F12768"/>
    <w:rsid w:val="00F12CA0"/>
    <w:rsid w:val="00F1315D"/>
    <w:rsid w:val="00F137BE"/>
    <w:rsid w:val="00F13C38"/>
    <w:rsid w:val="00F152C3"/>
    <w:rsid w:val="00F155A7"/>
    <w:rsid w:val="00F157D0"/>
    <w:rsid w:val="00F1586A"/>
    <w:rsid w:val="00F15EAA"/>
    <w:rsid w:val="00F165A7"/>
    <w:rsid w:val="00F17775"/>
    <w:rsid w:val="00F17E4D"/>
    <w:rsid w:val="00F17EBD"/>
    <w:rsid w:val="00F20083"/>
    <w:rsid w:val="00F210C7"/>
    <w:rsid w:val="00F217A4"/>
    <w:rsid w:val="00F21C8D"/>
    <w:rsid w:val="00F21F90"/>
    <w:rsid w:val="00F2270F"/>
    <w:rsid w:val="00F227D5"/>
    <w:rsid w:val="00F227DE"/>
    <w:rsid w:val="00F22908"/>
    <w:rsid w:val="00F2339B"/>
    <w:rsid w:val="00F239FA"/>
    <w:rsid w:val="00F23B02"/>
    <w:rsid w:val="00F23CFB"/>
    <w:rsid w:val="00F24446"/>
    <w:rsid w:val="00F244C6"/>
    <w:rsid w:val="00F249AF"/>
    <w:rsid w:val="00F25078"/>
    <w:rsid w:val="00F251DB"/>
    <w:rsid w:val="00F2532C"/>
    <w:rsid w:val="00F25E0E"/>
    <w:rsid w:val="00F26FD5"/>
    <w:rsid w:val="00F301EE"/>
    <w:rsid w:val="00F308E9"/>
    <w:rsid w:val="00F3097E"/>
    <w:rsid w:val="00F31964"/>
    <w:rsid w:val="00F327D0"/>
    <w:rsid w:val="00F32858"/>
    <w:rsid w:val="00F32AB2"/>
    <w:rsid w:val="00F32D82"/>
    <w:rsid w:val="00F33A60"/>
    <w:rsid w:val="00F33C72"/>
    <w:rsid w:val="00F33E46"/>
    <w:rsid w:val="00F3404A"/>
    <w:rsid w:val="00F345B7"/>
    <w:rsid w:val="00F34FBB"/>
    <w:rsid w:val="00F35F48"/>
    <w:rsid w:val="00F36199"/>
    <w:rsid w:val="00F366CE"/>
    <w:rsid w:val="00F36FE5"/>
    <w:rsid w:val="00F37524"/>
    <w:rsid w:val="00F378FC"/>
    <w:rsid w:val="00F37AE2"/>
    <w:rsid w:val="00F37B77"/>
    <w:rsid w:val="00F403B5"/>
    <w:rsid w:val="00F40966"/>
    <w:rsid w:val="00F40B4C"/>
    <w:rsid w:val="00F40E7B"/>
    <w:rsid w:val="00F410C0"/>
    <w:rsid w:val="00F41776"/>
    <w:rsid w:val="00F41D96"/>
    <w:rsid w:val="00F41F6B"/>
    <w:rsid w:val="00F425E6"/>
    <w:rsid w:val="00F43222"/>
    <w:rsid w:val="00F449AF"/>
    <w:rsid w:val="00F452EE"/>
    <w:rsid w:val="00F45BB6"/>
    <w:rsid w:val="00F46DA4"/>
    <w:rsid w:val="00F4759F"/>
    <w:rsid w:val="00F4773D"/>
    <w:rsid w:val="00F509DD"/>
    <w:rsid w:val="00F50AC1"/>
    <w:rsid w:val="00F517D4"/>
    <w:rsid w:val="00F52D2A"/>
    <w:rsid w:val="00F5344E"/>
    <w:rsid w:val="00F53502"/>
    <w:rsid w:val="00F53D3D"/>
    <w:rsid w:val="00F53F02"/>
    <w:rsid w:val="00F540E0"/>
    <w:rsid w:val="00F54171"/>
    <w:rsid w:val="00F54728"/>
    <w:rsid w:val="00F54AB0"/>
    <w:rsid w:val="00F5544E"/>
    <w:rsid w:val="00F55ED9"/>
    <w:rsid w:val="00F56171"/>
    <w:rsid w:val="00F56544"/>
    <w:rsid w:val="00F56C15"/>
    <w:rsid w:val="00F56D72"/>
    <w:rsid w:val="00F56E4C"/>
    <w:rsid w:val="00F60499"/>
    <w:rsid w:val="00F60FD4"/>
    <w:rsid w:val="00F61B79"/>
    <w:rsid w:val="00F62696"/>
    <w:rsid w:val="00F63CAA"/>
    <w:rsid w:val="00F644E5"/>
    <w:rsid w:val="00F64DCB"/>
    <w:rsid w:val="00F65836"/>
    <w:rsid w:val="00F65888"/>
    <w:rsid w:val="00F65E33"/>
    <w:rsid w:val="00F66A19"/>
    <w:rsid w:val="00F66CAD"/>
    <w:rsid w:val="00F66DA0"/>
    <w:rsid w:val="00F67862"/>
    <w:rsid w:val="00F67BAB"/>
    <w:rsid w:val="00F67CD2"/>
    <w:rsid w:val="00F70C8B"/>
    <w:rsid w:val="00F72611"/>
    <w:rsid w:val="00F73208"/>
    <w:rsid w:val="00F73A8E"/>
    <w:rsid w:val="00F73BF3"/>
    <w:rsid w:val="00F73F0B"/>
    <w:rsid w:val="00F749E0"/>
    <w:rsid w:val="00F74FDD"/>
    <w:rsid w:val="00F75B37"/>
    <w:rsid w:val="00F75D43"/>
    <w:rsid w:val="00F75D45"/>
    <w:rsid w:val="00F75D57"/>
    <w:rsid w:val="00F75FA9"/>
    <w:rsid w:val="00F763C2"/>
    <w:rsid w:val="00F76593"/>
    <w:rsid w:val="00F76C26"/>
    <w:rsid w:val="00F76C98"/>
    <w:rsid w:val="00F76CA1"/>
    <w:rsid w:val="00F770CB"/>
    <w:rsid w:val="00F7779E"/>
    <w:rsid w:val="00F8031B"/>
    <w:rsid w:val="00F805BB"/>
    <w:rsid w:val="00F8186F"/>
    <w:rsid w:val="00F82820"/>
    <w:rsid w:val="00F83B24"/>
    <w:rsid w:val="00F83E3F"/>
    <w:rsid w:val="00F84B88"/>
    <w:rsid w:val="00F85280"/>
    <w:rsid w:val="00F8540E"/>
    <w:rsid w:val="00F85754"/>
    <w:rsid w:val="00F85B78"/>
    <w:rsid w:val="00F85CCC"/>
    <w:rsid w:val="00F86008"/>
    <w:rsid w:val="00F8613D"/>
    <w:rsid w:val="00F862E0"/>
    <w:rsid w:val="00F863E8"/>
    <w:rsid w:val="00F86B46"/>
    <w:rsid w:val="00F86E2D"/>
    <w:rsid w:val="00F87175"/>
    <w:rsid w:val="00F87473"/>
    <w:rsid w:val="00F90D60"/>
    <w:rsid w:val="00F9177C"/>
    <w:rsid w:val="00F91836"/>
    <w:rsid w:val="00F91A07"/>
    <w:rsid w:val="00F93B00"/>
    <w:rsid w:val="00F94895"/>
    <w:rsid w:val="00F94FC6"/>
    <w:rsid w:val="00F95277"/>
    <w:rsid w:val="00F966B1"/>
    <w:rsid w:val="00F96728"/>
    <w:rsid w:val="00F96D6D"/>
    <w:rsid w:val="00F9722B"/>
    <w:rsid w:val="00F972D9"/>
    <w:rsid w:val="00F97D1C"/>
    <w:rsid w:val="00F97F7A"/>
    <w:rsid w:val="00FA0AA6"/>
    <w:rsid w:val="00FA0DF0"/>
    <w:rsid w:val="00FA1321"/>
    <w:rsid w:val="00FA2771"/>
    <w:rsid w:val="00FA2B47"/>
    <w:rsid w:val="00FA2D58"/>
    <w:rsid w:val="00FA2D73"/>
    <w:rsid w:val="00FA2E09"/>
    <w:rsid w:val="00FA482D"/>
    <w:rsid w:val="00FA4DCA"/>
    <w:rsid w:val="00FA6200"/>
    <w:rsid w:val="00FA79DD"/>
    <w:rsid w:val="00FA7C61"/>
    <w:rsid w:val="00FA7CD8"/>
    <w:rsid w:val="00FB07A7"/>
    <w:rsid w:val="00FB0B8E"/>
    <w:rsid w:val="00FB0E07"/>
    <w:rsid w:val="00FB0E51"/>
    <w:rsid w:val="00FB106A"/>
    <w:rsid w:val="00FB145E"/>
    <w:rsid w:val="00FB16B7"/>
    <w:rsid w:val="00FB2B45"/>
    <w:rsid w:val="00FB3348"/>
    <w:rsid w:val="00FB3583"/>
    <w:rsid w:val="00FB3B42"/>
    <w:rsid w:val="00FB46D7"/>
    <w:rsid w:val="00FB4792"/>
    <w:rsid w:val="00FB4DB6"/>
    <w:rsid w:val="00FB50C2"/>
    <w:rsid w:val="00FB6256"/>
    <w:rsid w:val="00FB6E88"/>
    <w:rsid w:val="00FB6FE0"/>
    <w:rsid w:val="00FB79E5"/>
    <w:rsid w:val="00FC02E5"/>
    <w:rsid w:val="00FC0E6E"/>
    <w:rsid w:val="00FC0FAD"/>
    <w:rsid w:val="00FC107F"/>
    <w:rsid w:val="00FC110D"/>
    <w:rsid w:val="00FC1904"/>
    <w:rsid w:val="00FC2100"/>
    <w:rsid w:val="00FC31B0"/>
    <w:rsid w:val="00FC32D9"/>
    <w:rsid w:val="00FC345B"/>
    <w:rsid w:val="00FC4587"/>
    <w:rsid w:val="00FC55D5"/>
    <w:rsid w:val="00FC581F"/>
    <w:rsid w:val="00FC5BD9"/>
    <w:rsid w:val="00FC5C99"/>
    <w:rsid w:val="00FC5F6B"/>
    <w:rsid w:val="00FC6A9A"/>
    <w:rsid w:val="00FC6E57"/>
    <w:rsid w:val="00FC7009"/>
    <w:rsid w:val="00FD00B7"/>
    <w:rsid w:val="00FD0B80"/>
    <w:rsid w:val="00FD0C29"/>
    <w:rsid w:val="00FD0DAD"/>
    <w:rsid w:val="00FD0E1E"/>
    <w:rsid w:val="00FD142E"/>
    <w:rsid w:val="00FD1D3D"/>
    <w:rsid w:val="00FD1E46"/>
    <w:rsid w:val="00FD263F"/>
    <w:rsid w:val="00FD28B4"/>
    <w:rsid w:val="00FD3047"/>
    <w:rsid w:val="00FD3066"/>
    <w:rsid w:val="00FD30A1"/>
    <w:rsid w:val="00FD3158"/>
    <w:rsid w:val="00FD3879"/>
    <w:rsid w:val="00FD4248"/>
    <w:rsid w:val="00FD4A42"/>
    <w:rsid w:val="00FD52F4"/>
    <w:rsid w:val="00FD5A93"/>
    <w:rsid w:val="00FD6E5E"/>
    <w:rsid w:val="00FD706C"/>
    <w:rsid w:val="00FD71A7"/>
    <w:rsid w:val="00FD73FB"/>
    <w:rsid w:val="00FD7FDE"/>
    <w:rsid w:val="00FE016C"/>
    <w:rsid w:val="00FE063C"/>
    <w:rsid w:val="00FE120A"/>
    <w:rsid w:val="00FE1A08"/>
    <w:rsid w:val="00FE1D5E"/>
    <w:rsid w:val="00FE2AB7"/>
    <w:rsid w:val="00FE2BFE"/>
    <w:rsid w:val="00FE3131"/>
    <w:rsid w:val="00FE3824"/>
    <w:rsid w:val="00FE48F5"/>
    <w:rsid w:val="00FE49D2"/>
    <w:rsid w:val="00FE5114"/>
    <w:rsid w:val="00FE68C5"/>
    <w:rsid w:val="00FE6A31"/>
    <w:rsid w:val="00FE6B89"/>
    <w:rsid w:val="00FF0214"/>
    <w:rsid w:val="00FF1868"/>
    <w:rsid w:val="00FF2213"/>
    <w:rsid w:val="00FF23AD"/>
    <w:rsid w:val="00FF363D"/>
    <w:rsid w:val="00FF376F"/>
    <w:rsid w:val="00FF39DE"/>
    <w:rsid w:val="00FF41D5"/>
    <w:rsid w:val="00FF4D98"/>
    <w:rsid w:val="00FF50B6"/>
    <w:rsid w:val="00FF5A5C"/>
    <w:rsid w:val="00FF635B"/>
    <w:rsid w:val="00FF6E85"/>
    <w:rsid w:val="00FF6F33"/>
    <w:rsid w:val="00FF7021"/>
    <w:rsid w:val="00FF7460"/>
    <w:rsid w:val="00FF7577"/>
    <w:rsid w:val="00FF7587"/>
    <w:rsid w:val="00FF7744"/>
    <w:rsid w:val="00FF7FB9"/>
    <w:rsid w:val="07FF3385"/>
    <w:rsid w:val="08AFF14C"/>
    <w:rsid w:val="08BFC3D3"/>
    <w:rsid w:val="0BADB95C"/>
    <w:rsid w:val="0C9E277C"/>
    <w:rsid w:val="0E08522A"/>
    <w:rsid w:val="0ED97C1C"/>
    <w:rsid w:val="0FEABE3D"/>
    <w:rsid w:val="10457C70"/>
    <w:rsid w:val="10812A7F"/>
    <w:rsid w:val="15BFA731"/>
    <w:rsid w:val="189664BD"/>
    <w:rsid w:val="1B221799"/>
    <w:rsid w:val="1B361F8F"/>
    <w:rsid w:val="1CC580F1"/>
    <w:rsid w:val="1D5B7927"/>
    <w:rsid w:val="1E90ACB4"/>
    <w:rsid w:val="1FAACCCE"/>
    <w:rsid w:val="2006A2D0"/>
    <w:rsid w:val="23019ED0"/>
    <w:rsid w:val="26098B30"/>
    <w:rsid w:val="2736AE02"/>
    <w:rsid w:val="2776670A"/>
    <w:rsid w:val="2A77AE23"/>
    <w:rsid w:val="2D221AAB"/>
    <w:rsid w:val="30355009"/>
    <w:rsid w:val="30480366"/>
    <w:rsid w:val="32E73AEC"/>
    <w:rsid w:val="35902DDF"/>
    <w:rsid w:val="3754451A"/>
    <w:rsid w:val="3987624A"/>
    <w:rsid w:val="3A2734C5"/>
    <w:rsid w:val="3A688F20"/>
    <w:rsid w:val="3CAF8A94"/>
    <w:rsid w:val="40B358BA"/>
    <w:rsid w:val="413AB54D"/>
    <w:rsid w:val="442C9685"/>
    <w:rsid w:val="46013A41"/>
    <w:rsid w:val="48CF9EFB"/>
    <w:rsid w:val="4BBF91DA"/>
    <w:rsid w:val="5088B2E0"/>
    <w:rsid w:val="527FD582"/>
    <w:rsid w:val="529537AF"/>
    <w:rsid w:val="533FC3D4"/>
    <w:rsid w:val="536F7419"/>
    <w:rsid w:val="562287EF"/>
    <w:rsid w:val="58C8F167"/>
    <w:rsid w:val="5BE77C60"/>
    <w:rsid w:val="615671B2"/>
    <w:rsid w:val="699DAC1C"/>
    <w:rsid w:val="6B40E721"/>
    <w:rsid w:val="6CE7AE95"/>
    <w:rsid w:val="6EB157D4"/>
    <w:rsid w:val="751C9EF7"/>
    <w:rsid w:val="75F3FF9E"/>
    <w:rsid w:val="7702533E"/>
    <w:rsid w:val="77A404A7"/>
    <w:rsid w:val="77FA3C8C"/>
    <w:rsid w:val="7937FAC9"/>
    <w:rsid w:val="7A7275FB"/>
    <w:rsid w:val="7BA23A0B"/>
    <w:rsid w:val="7EFBBE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B2AACE5"/>
  <w15:chartTrackingRefBased/>
  <w15:docId w15:val="{6C4D82FA-23E0-43CA-B581-5EF6BA08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81"/>
    <w:rPr>
      <w:sz w:val="24"/>
    </w:rPr>
  </w:style>
  <w:style w:type="paragraph" w:styleId="Heading1">
    <w:name w:val="heading 1"/>
    <w:basedOn w:val="Normal"/>
    <w:next w:val="Normal"/>
    <w:link w:val="Heading1Char"/>
    <w:autoRedefine/>
    <w:qFormat/>
    <w:rsid w:val="00BF7B9E"/>
    <w:pPr>
      <w:keepNext/>
      <w:numPr>
        <w:numId w:val="13"/>
      </w:numPr>
      <w:spacing w:after="60"/>
      <w:outlineLvl w:val="0"/>
    </w:pPr>
    <w:rPr>
      <w:b/>
      <w:kern w:val="28"/>
      <w:sz w:val="28"/>
      <w:szCs w:val="28"/>
    </w:rPr>
  </w:style>
  <w:style w:type="paragraph" w:styleId="Heading2">
    <w:name w:val="heading 2"/>
    <w:basedOn w:val="Normal"/>
    <w:next w:val="Normal"/>
    <w:qFormat/>
    <w:rsid w:val="00F25E0E"/>
    <w:pPr>
      <w:keepNext/>
      <w:numPr>
        <w:ilvl w:val="1"/>
        <w:numId w:val="3"/>
      </w:numPr>
      <w:spacing w:before="240" w:after="60"/>
      <w:outlineLvl w:val="1"/>
    </w:pPr>
    <w:rPr>
      <w:b/>
    </w:rPr>
  </w:style>
  <w:style w:type="paragraph" w:styleId="Heading3">
    <w:name w:val="heading 3"/>
    <w:basedOn w:val="Normal"/>
    <w:next w:val="Normal"/>
    <w:qFormat/>
    <w:rsid w:val="00F25E0E"/>
    <w:pPr>
      <w:keepNext/>
      <w:numPr>
        <w:ilvl w:val="2"/>
        <w:numId w:val="3"/>
      </w:numPr>
      <w:spacing w:before="240"/>
      <w:outlineLvl w:val="2"/>
    </w:pPr>
  </w:style>
  <w:style w:type="paragraph" w:styleId="Heading4">
    <w:name w:val="heading 4"/>
    <w:basedOn w:val="Normal"/>
    <w:next w:val="Normal"/>
    <w:qFormat/>
    <w:rsid w:val="006336B1"/>
    <w:pPr>
      <w:keepNext/>
      <w:numPr>
        <w:ilvl w:val="3"/>
        <w:numId w:val="1"/>
      </w:numPr>
      <w:spacing w:before="240" w:after="60"/>
      <w:outlineLvl w:val="3"/>
    </w:pPr>
    <w:rPr>
      <w:b/>
      <w:bCs/>
      <w:sz w:val="28"/>
      <w:szCs w:val="28"/>
    </w:rPr>
  </w:style>
  <w:style w:type="paragraph" w:styleId="Heading5">
    <w:name w:val="heading 5"/>
    <w:basedOn w:val="Normal"/>
    <w:next w:val="Normal"/>
    <w:qFormat/>
    <w:rsid w:val="006336B1"/>
    <w:pPr>
      <w:numPr>
        <w:ilvl w:val="4"/>
        <w:numId w:val="1"/>
      </w:numPr>
      <w:spacing w:before="240" w:after="60"/>
      <w:outlineLvl w:val="4"/>
    </w:pPr>
    <w:rPr>
      <w:b/>
      <w:bCs/>
      <w:i/>
      <w:iCs/>
      <w:sz w:val="26"/>
      <w:szCs w:val="26"/>
    </w:rPr>
  </w:style>
  <w:style w:type="paragraph" w:styleId="Heading6">
    <w:name w:val="heading 6"/>
    <w:basedOn w:val="Normal"/>
    <w:next w:val="Normal"/>
    <w:qFormat/>
    <w:rsid w:val="006336B1"/>
    <w:pPr>
      <w:numPr>
        <w:ilvl w:val="5"/>
        <w:numId w:val="1"/>
      </w:numPr>
      <w:spacing w:before="240" w:after="60"/>
      <w:outlineLvl w:val="5"/>
    </w:pPr>
    <w:rPr>
      <w:b/>
      <w:bCs/>
      <w:sz w:val="22"/>
      <w:szCs w:val="22"/>
    </w:rPr>
  </w:style>
  <w:style w:type="paragraph" w:styleId="Heading7">
    <w:name w:val="heading 7"/>
    <w:basedOn w:val="Normal"/>
    <w:next w:val="Normal"/>
    <w:qFormat/>
    <w:rsid w:val="006336B1"/>
    <w:pPr>
      <w:numPr>
        <w:ilvl w:val="6"/>
        <w:numId w:val="1"/>
      </w:numPr>
      <w:spacing w:before="240" w:after="60"/>
      <w:outlineLvl w:val="6"/>
    </w:pPr>
    <w:rPr>
      <w:szCs w:val="24"/>
    </w:rPr>
  </w:style>
  <w:style w:type="paragraph" w:styleId="Heading8">
    <w:name w:val="heading 8"/>
    <w:basedOn w:val="Normal"/>
    <w:next w:val="Normal"/>
    <w:qFormat/>
    <w:rsid w:val="006336B1"/>
    <w:pPr>
      <w:numPr>
        <w:ilvl w:val="7"/>
        <w:numId w:val="1"/>
      </w:numPr>
      <w:spacing w:before="240" w:after="60"/>
      <w:outlineLvl w:val="7"/>
    </w:pPr>
    <w:rPr>
      <w:i/>
      <w:iCs/>
      <w:szCs w:val="24"/>
    </w:rPr>
  </w:style>
  <w:style w:type="paragraph" w:styleId="Heading9">
    <w:name w:val="heading 9"/>
    <w:basedOn w:val="Normal"/>
    <w:next w:val="Normal"/>
    <w:qFormat/>
    <w:rsid w:val="006336B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ascii="Times New Roman" w:hAnsi="Times New Roman"/>
      <w:sz w:val="16"/>
    </w:rPr>
  </w:style>
  <w:style w:type="paragraph" w:customStyle="1" w:styleId="Hode1">
    <w:name w:val="Hode1"/>
    <w:basedOn w:val="Normal"/>
    <w:pPr>
      <w:tabs>
        <w:tab w:val="right" w:pos="9781"/>
      </w:tabs>
    </w:pPr>
    <w:rPr>
      <w:b/>
      <w:sz w:val="28"/>
    </w:rPr>
  </w:style>
  <w:style w:type="paragraph" w:customStyle="1" w:styleId="Hengendeinnrykk">
    <w:name w:val="Hengende innrykk"/>
    <w:basedOn w:val="Normal"/>
    <w:next w:val="Normal"/>
    <w:pPr>
      <w:ind w:left="709" w:hanging="709"/>
    </w:pPr>
  </w:style>
  <w:style w:type="paragraph" w:customStyle="1" w:styleId="Hode">
    <w:name w:val="Hode"/>
    <w:rPr>
      <w:noProof/>
      <w:sz w:val="24"/>
    </w:rPr>
  </w:style>
  <w:style w:type="paragraph" w:customStyle="1" w:styleId="Innrykk">
    <w:name w:val="Innrykk"/>
    <w:basedOn w:val="Normal"/>
    <w:next w:val="Normal"/>
    <w:pPr>
      <w:ind w:left="357"/>
    </w:pPr>
  </w:style>
  <w:style w:type="paragraph" w:styleId="BalloonText">
    <w:name w:val="Balloon Text"/>
    <w:basedOn w:val="Normal"/>
    <w:semiHidden/>
    <w:rsid w:val="00813869"/>
    <w:rPr>
      <w:rFonts w:ascii="Tahoma" w:hAnsi="Tahoma" w:cs="Tahoma"/>
      <w:sz w:val="16"/>
      <w:szCs w:val="16"/>
    </w:rPr>
  </w:style>
  <w:style w:type="character" w:styleId="CommentReference">
    <w:name w:val="annotation reference"/>
    <w:rsid w:val="00FD263F"/>
    <w:rPr>
      <w:sz w:val="16"/>
      <w:szCs w:val="16"/>
    </w:rPr>
  </w:style>
  <w:style w:type="paragraph" w:styleId="CommentText">
    <w:name w:val="annotation text"/>
    <w:basedOn w:val="Normal"/>
    <w:link w:val="CommentTextChar"/>
    <w:rsid w:val="00FD263F"/>
    <w:rPr>
      <w:sz w:val="20"/>
    </w:rPr>
  </w:style>
  <w:style w:type="paragraph" w:styleId="CommentSubject">
    <w:name w:val="annotation subject"/>
    <w:basedOn w:val="CommentText"/>
    <w:next w:val="CommentText"/>
    <w:semiHidden/>
    <w:rsid w:val="00FD263F"/>
    <w:rPr>
      <w:b/>
      <w:bCs/>
    </w:rPr>
  </w:style>
  <w:style w:type="table" w:styleId="TableGrid">
    <w:name w:val="Table Grid"/>
    <w:basedOn w:val="TableNormal"/>
    <w:rsid w:val="00822185"/>
    <w:pPr>
      <w:spacing w:after="60"/>
      <w:ind w:left="85" w:right="8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22185"/>
    <w:pPr>
      <w:spacing w:before="120" w:after="180"/>
      <w:ind w:left="85" w:right="85"/>
    </w:pPr>
    <w:rPr>
      <w:rFonts w:ascii="Times" w:hAnsi="Times"/>
      <w:sz w:val="20"/>
      <w:lang w:val="en-GB" w:eastAsia="en-US"/>
    </w:rPr>
  </w:style>
  <w:style w:type="character" w:styleId="FootnoteReference">
    <w:name w:val="footnote reference"/>
    <w:uiPriority w:val="99"/>
    <w:semiHidden/>
    <w:rsid w:val="00822185"/>
    <w:rPr>
      <w:vertAlign w:val="superscript"/>
    </w:rPr>
  </w:style>
  <w:style w:type="paragraph" w:customStyle="1" w:styleId="StilHyre015cm">
    <w:name w:val="Stil Høyre:  015 cm"/>
    <w:basedOn w:val="Normal"/>
    <w:rsid w:val="00D16562"/>
    <w:pPr>
      <w:ind w:right="85"/>
    </w:pPr>
  </w:style>
  <w:style w:type="paragraph" w:customStyle="1" w:styleId="sidetall">
    <w:name w:val="sidetall"/>
    <w:basedOn w:val="Header"/>
    <w:autoRedefine/>
    <w:rsid w:val="00B80B8D"/>
    <w:pPr>
      <w:tabs>
        <w:tab w:val="clear" w:pos="4536"/>
        <w:tab w:val="clear" w:pos="9072"/>
        <w:tab w:val="center" w:pos="4153"/>
        <w:tab w:val="right" w:pos="8306"/>
      </w:tabs>
      <w:spacing w:after="60"/>
      <w:ind w:right="85"/>
      <w:jc w:val="right"/>
    </w:pPr>
    <w:rPr>
      <w:rFonts w:ascii="Arial" w:hAnsi="Arial"/>
      <w:noProof/>
      <w:snapToGrid w:val="0"/>
      <w:sz w:val="19"/>
      <w:lang w:eastAsia="en-US"/>
    </w:rPr>
  </w:style>
  <w:style w:type="paragraph" w:customStyle="1" w:styleId="DatoRefTekst">
    <w:name w:val="DatoRefTekst"/>
    <w:basedOn w:val="Header"/>
    <w:autoRedefine/>
    <w:rsid w:val="00B80B8D"/>
    <w:pPr>
      <w:tabs>
        <w:tab w:val="clear" w:pos="4536"/>
        <w:tab w:val="clear" w:pos="9072"/>
        <w:tab w:val="center" w:pos="4153"/>
        <w:tab w:val="right" w:pos="8306"/>
      </w:tabs>
    </w:pPr>
    <w:rPr>
      <w:rFonts w:ascii="Arial" w:hAnsi="Arial"/>
      <w:sz w:val="16"/>
      <w:lang w:eastAsia="en-US"/>
    </w:rPr>
  </w:style>
  <w:style w:type="paragraph" w:customStyle="1" w:styleId="DatoRefFyllInn">
    <w:name w:val="DatoRefFyllInn"/>
    <w:basedOn w:val="Header"/>
    <w:autoRedefine/>
    <w:rsid w:val="00B80B8D"/>
    <w:pPr>
      <w:tabs>
        <w:tab w:val="clear" w:pos="4536"/>
        <w:tab w:val="clear" w:pos="9072"/>
        <w:tab w:val="center" w:pos="4153"/>
        <w:tab w:val="right" w:pos="8306"/>
      </w:tabs>
      <w:spacing w:after="60"/>
    </w:pPr>
    <w:rPr>
      <w:rFonts w:ascii="Times" w:hAnsi="Times"/>
      <w:sz w:val="21"/>
      <w:lang w:eastAsia="en-US"/>
    </w:rPr>
  </w:style>
  <w:style w:type="paragraph" w:customStyle="1" w:styleId="Header2">
    <w:name w:val="Header2"/>
    <w:basedOn w:val="Header"/>
    <w:autoRedefine/>
    <w:rsid w:val="00B80B8D"/>
    <w:pPr>
      <w:tabs>
        <w:tab w:val="clear" w:pos="4536"/>
        <w:tab w:val="clear" w:pos="9072"/>
        <w:tab w:val="center" w:pos="4153"/>
        <w:tab w:val="right" w:pos="8306"/>
      </w:tabs>
      <w:spacing w:before="204" w:after="60"/>
      <w:ind w:left="85" w:right="85"/>
    </w:pPr>
    <w:rPr>
      <w:rFonts w:ascii="Arial" w:hAnsi="Arial"/>
      <w:b/>
      <w:sz w:val="20"/>
      <w:szCs w:val="24"/>
      <w:lang w:eastAsia="en-US"/>
    </w:rPr>
  </w:style>
  <w:style w:type="paragraph" w:customStyle="1" w:styleId="Default">
    <w:name w:val="Default"/>
    <w:rsid w:val="002B3517"/>
    <w:pPr>
      <w:autoSpaceDE w:val="0"/>
      <w:autoSpaceDN w:val="0"/>
      <w:adjustRightInd w:val="0"/>
    </w:pPr>
    <w:rPr>
      <w:color w:val="000000"/>
      <w:sz w:val="24"/>
      <w:szCs w:val="24"/>
    </w:rPr>
  </w:style>
  <w:style w:type="paragraph" w:customStyle="1" w:styleId="StilHyre015cmFr0ptEtter3pt">
    <w:name w:val="Stil Høyre:  015 cm Før:  0 pt Etter:  3 pt"/>
    <w:basedOn w:val="Normal"/>
    <w:rsid w:val="007D413C"/>
    <w:pPr>
      <w:ind w:right="85"/>
    </w:pPr>
  </w:style>
  <w:style w:type="paragraph" w:styleId="NormalWeb">
    <w:name w:val="Normal (Web)"/>
    <w:basedOn w:val="Normal"/>
    <w:rsid w:val="007D413C"/>
    <w:pPr>
      <w:spacing w:before="100" w:beforeAutospacing="1" w:after="100" w:afterAutospacing="1"/>
      <w:ind w:left="285"/>
    </w:pPr>
    <w:rPr>
      <w:szCs w:val="24"/>
    </w:rPr>
  </w:style>
  <w:style w:type="paragraph" w:styleId="BodyText">
    <w:name w:val="Body Text"/>
    <w:basedOn w:val="Normal"/>
    <w:link w:val="BodyTextChar"/>
    <w:rsid w:val="00940FAB"/>
    <w:pPr>
      <w:spacing w:after="180"/>
    </w:pPr>
  </w:style>
  <w:style w:type="character" w:customStyle="1" w:styleId="BodyTextChar">
    <w:name w:val="Body Text Char"/>
    <w:link w:val="BodyText"/>
    <w:rsid w:val="00940FAB"/>
    <w:rPr>
      <w:sz w:val="24"/>
      <w:lang w:val="nb-NO" w:eastAsia="nb-NO" w:bidi="ar-SA"/>
    </w:rPr>
  </w:style>
  <w:style w:type="paragraph" w:styleId="HTMLPreformatted">
    <w:name w:val="HTML Preformatted"/>
    <w:basedOn w:val="Normal"/>
    <w:rsid w:val="0053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yperlink">
    <w:name w:val="Hyperlink"/>
    <w:uiPriority w:val="99"/>
    <w:rsid w:val="0053757F"/>
    <w:rPr>
      <w:color w:val="0000FF"/>
      <w:u w:val="single"/>
    </w:rPr>
  </w:style>
  <w:style w:type="paragraph" w:customStyle="1" w:styleId="FooterIkkeFet">
    <w:name w:val="FooterIkkeFet"/>
    <w:basedOn w:val="Normal"/>
    <w:autoRedefine/>
    <w:rsid w:val="007B4CC5"/>
    <w:pPr>
      <w:tabs>
        <w:tab w:val="left" w:pos="1916"/>
        <w:tab w:val="left" w:pos="4360"/>
        <w:tab w:val="left" w:pos="6282"/>
        <w:tab w:val="left" w:pos="8023"/>
      </w:tabs>
      <w:spacing w:before="60" w:after="50"/>
      <w:ind w:left="85" w:right="85"/>
    </w:pPr>
    <w:rPr>
      <w:rFonts w:ascii="Arial" w:hAnsi="Arial"/>
      <w:bCs/>
      <w:sz w:val="16"/>
      <w:szCs w:val="24"/>
      <w:lang w:eastAsia="en-US"/>
    </w:rPr>
  </w:style>
  <w:style w:type="paragraph" w:customStyle="1" w:styleId="k-a7">
    <w:name w:val="k-a7"/>
    <w:basedOn w:val="Normal"/>
    <w:rsid w:val="00F17E4D"/>
    <w:pPr>
      <w:spacing w:line="312" w:lineRule="atLeast"/>
    </w:pPr>
    <w:rPr>
      <w:szCs w:val="24"/>
    </w:rPr>
  </w:style>
  <w:style w:type="paragraph" w:customStyle="1" w:styleId="punktliste">
    <w:name w:val="punktliste"/>
    <w:basedOn w:val="Normal"/>
    <w:rsid w:val="005E054C"/>
    <w:pPr>
      <w:numPr>
        <w:numId w:val="2"/>
      </w:numPr>
      <w:spacing w:after="60"/>
    </w:pPr>
  </w:style>
  <w:style w:type="paragraph" w:customStyle="1" w:styleId="tabelltekst">
    <w:name w:val="tabelltekst"/>
    <w:basedOn w:val="Normal"/>
    <w:rsid w:val="00836C41"/>
  </w:style>
  <w:style w:type="paragraph" w:customStyle="1" w:styleId="Tabelltekst0">
    <w:name w:val="Tabelltekst"/>
    <w:basedOn w:val="Normal"/>
    <w:rsid w:val="00836C41"/>
  </w:style>
  <w:style w:type="character" w:styleId="Strong">
    <w:name w:val="Strong"/>
    <w:qFormat/>
    <w:rsid w:val="00477905"/>
    <w:rPr>
      <w:b/>
      <w:bCs/>
    </w:rPr>
  </w:style>
  <w:style w:type="paragraph" w:styleId="Caption">
    <w:name w:val="caption"/>
    <w:basedOn w:val="Normal"/>
    <w:next w:val="Normal"/>
    <w:unhideWhenUsed/>
    <w:qFormat/>
    <w:rsid w:val="00477905"/>
    <w:rPr>
      <w:b/>
      <w:bCs/>
      <w:sz w:val="20"/>
    </w:rPr>
  </w:style>
  <w:style w:type="character" w:customStyle="1" w:styleId="CommentTextChar">
    <w:name w:val="Comment Text Char"/>
    <w:link w:val="CommentText"/>
    <w:rsid w:val="00477905"/>
  </w:style>
  <w:style w:type="paragraph" w:styleId="Title">
    <w:name w:val="Title"/>
    <w:basedOn w:val="Normal"/>
    <w:next w:val="Normal"/>
    <w:link w:val="TitleChar"/>
    <w:qFormat/>
    <w:rsid w:val="008C533E"/>
    <w:pPr>
      <w:spacing w:before="240" w:after="60"/>
      <w:jc w:val="center"/>
      <w:outlineLvl w:val="0"/>
    </w:pPr>
    <w:rPr>
      <w:rFonts w:ascii="Cambria" w:hAnsi="Cambria"/>
      <w:b/>
      <w:bCs/>
      <w:kern w:val="28"/>
      <w:sz w:val="32"/>
      <w:szCs w:val="32"/>
    </w:rPr>
  </w:style>
  <w:style w:type="character" w:customStyle="1" w:styleId="TitleChar">
    <w:name w:val="Title Char"/>
    <w:link w:val="Title"/>
    <w:rsid w:val="008C533E"/>
    <w:rPr>
      <w:rFonts w:ascii="Cambria" w:eastAsia="Times New Roman" w:hAnsi="Cambria" w:cs="Times New Roman"/>
      <w:b/>
      <w:bCs/>
      <w:kern w:val="28"/>
      <w:sz w:val="32"/>
      <w:szCs w:val="32"/>
    </w:rPr>
  </w:style>
  <w:style w:type="paragraph" w:styleId="TOCHeading">
    <w:name w:val="TOC Heading"/>
    <w:basedOn w:val="Heading1"/>
    <w:next w:val="Normal"/>
    <w:uiPriority w:val="39"/>
    <w:unhideWhenUsed/>
    <w:qFormat/>
    <w:rsid w:val="008C533E"/>
    <w:pPr>
      <w:keepLines/>
      <w:numPr>
        <w:numId w:val="0"/>
      </w:numPr>
      <w:spacing w:before="480" w:after="0" w:line="276" w:lineRule="auto"/>
      <w:outlineLvl w:val="9"/>
    </w:pPr>
    <w:rPr>
      <w:rFonts w:ascii="Cambria" w:hAnsi="Cambria"/>
      <w:bCs/>
      <w:color w:val="365F91"/>
      <w:kern w:val="0"/>
    </w:rPr>
  </w:style>
  <w:style w:type="paragraph" w:styleId="TOC1">
    <w:name w:val="toc 1"/>
    <w:basedOn w:val="Normal"/>
    <w:next w:val="Normal"/>
    <w:autoRedefine/>
    <w:uiPriority w:val="39"/>
    <w:rsid w:val="009D79B8"/>
    <w:pPr>
      <w:tabs>
        <w:tab w:val="left" w:pos="480"/>
        <w:tab w:val="right" w:leader="dot" w:pos="9799"/>
      </w:tabs>
    </w:pPr>
    <w:rPr>
      <w:b/>
      <w:noProof/>
      <w:sz w:val="18"/>
      <w:szCs w:val="18"/>
    </w:rPr>
  </w:style>
  <w:style w:type="paragraph" w:styleId="TOC2">
    <w:name w:val="toc 2"/>
    <w:basedOn w:val="Normal"/>
    <w:next w:val="Normal"/>
    <w:autoRedefine/>
    <w:uiPriority w:val="39"/>
    <w:rsid w:val="00565D84"/>
    <w:pPr>
      <w:tabs>
        <w:tab w:val="left" w:pos="880"/>
        <w:tab w:val="right" w:leader="dot" w:pos="9799"/>
      </w:tabs>
      <w:ind w:left="240"/>
    </w:pPr>
    <w:rPr>
      <w:noProof/>
      <w:sz w:val="22"/>
    </w:rPr>
  </w:style>
  <w:style w:type="paragraph" w:styleId="TOC3">
    <w:name w:val="toc 3"/>
    <w:basedOn w:val="Normal"/>
    <w:next w:val="Normal"/>
    <w:autoRedefine/>
    <w:uiPriority w:val="39"/>
    <w:rsid w:val="008C533E"/>
    <w:pPr>
      <w:ind w:left="480"/>
    </w:pPr>
  </w:style>
  <w:style w:type="paragraph" w:styleId="ListParagraph">
    <w:name w:val="List Paragraph"/>
    <w:basedOn w:val="Normal"/>
    <w:uiPriority w:val="34"/>
    <w:qFormat/>
    <w:rsid w:val="001F1416"/>
    <w:pPr>
      <w:ind w:left="720"/>
      <w:contextualSpacing/>
    </w:pPr>
  </w:style>
  <w:style w:type="paragraph" w:styleId="Revision">
    <w:name w:val="Revision"/>
    <w:hidden/>
    <w:uiPriority w:val="99"/>
    <w:semiHidden/>
    <w:rsid w:val="005F0EFE"/>
    <w:rPr>
      <w:sz w:val="24"/>
    </w:rPr>
  </w:style>
  <w:style w:type="numbering" w:customStyle="1" w:styleId="Stil1">
    <w:name w:val="Stil1"/>
    <w:uiPriority w:val="99"/>
    <w:rsid w:val="0061594D"/>
    <w:pPr>
      <w:numPr>
        <w:numId w:val="4"/>
      </w:numPr>
    </w:pPr>
  </w:style>
  <w:style w:type="character" w:customStyle="1" w:styleId="mt">
    <w:name w:val="mt"/>
    <w:rsid w:val="00CF2B25"/>
  </w:style>
  <w:style w:type="character" w:customStyle="1" w:styleId="Heading1Char">
    <w:name w:val="Heading 1 Char"/>
    <w:link w:val="Heading1"/>
    <w:rsid w:val="00BF7B9E"/>
    <w:rPr>
      <w:b/>
      <w:kern w:val="28"/>
      <w:sz w:val="28"/>
      <w:szCs w:val="28"/>
    </w:rPr>
  </w:style>
  <w:style w:type="character" w:customStyle="1" w:styleId="FootnoteTextChar">
    <w:name w:val="Footnote Text Char"/>
    <w:link w:val="FootnoteText"/>
    <w:uiPriority w:val="99"/>
    <w:semiHidden/>
    <w:rsid w:val="00B07E65"/>
    <w:rPr>
      <w:rFonts w:ascii="Times" w:hAnsi="Times"/>
      <w:lang w:val="en-GB" w:eastAsia="en-US"/>
    </w:rPr>
  </w:style>
  <w:style w:type="paragraph" w:styleId="PlainText">
    <w:name w:val="Plain Text"/>
    <w:basedOn w:val="Normal"/>
    <w:link w:val="PlainTextChar"/>
    <w:uiPriority w:val="99"/>
    <w:unhideWhenUsed/>
    <w:rsid w:val="009F4178"/>
    <w:rPr>
      <w:rFonts w:ascii="Calibri" w:eastAsia="Calibri" w:hAnsi="Calibri" w:cs="Calibri"/>
      <w:sz w:val="22"/>
      <w:szCs w:val="22"/>
      <w:lang w:eastAsia="en-US"/>
    </w:rPr>
  </w:style>
  <w:style w:type="character" w:customStyle="1" w:styleId="PlainTextChar">
    <w:name w:val="Plain Text Char"/>
    <w:link w:val="PlainText"/>
    <w:uiPriority w:val="99"/>
    <w:rsid w:val="009F4178"/>
    <w:rPr>
      <w:rFonts w:ascii="Calibri" w:eastAsia="Calibri" w:hAnsi="Calibri" w:cs="Calibri"/>
      <w:sz w:val="22"/>
      <w:szCs w:val="22"/>
      <w:lang w:eastAsia="en-US"/>
    </w:rPr>
  </w:style>
  <w:style w:type="table" w:styleId="GridTable4-Accent3">
    <w:name w:val="Grid Table 4 Accent 3"/>
    <w:basedOn w:val="TableNormal"/>
    <w:uiPriority w:val="49"/>
    <w:rsid w:val="00481CF6"/>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684DF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8232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rsid w:val="008232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82327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10690885">
      <w:bodyDiv w:val="1"/>
      <w:marLeft w:val="0"/>
      <w:marRight w:val="0"/>
      <w:marTop w:val="0"/>
      <w:marBottom w:val="0"/>
      <w:divBdr>
        <w:top w:val="none" w:sz="0" w:space="0" w:color="auto"/>
        <w:left w:val="none" w:sz="0" w:space="0" w:color="auto"/>
        <w:bottom w:val="none" w:sz="0" w:space="0" w:color="auto"/>
        <w:right w:val="none" w:sz="0" w:space="0" w:color="auto"/>
      </w:divBdr>
    </w:div>
    <w:div w:id="28916980">
      <w:bodyDiv w:val="1"/>
      <w:marLeft w:val="0"/>
      <w:marRight w:val="0"/>
      <w:marTop w:val="0"/>
      <w:marBottom w:val="0"/>
      <w:divBdr>
        <w:top w:val="none" w:sz="0" w:space="0" w:color="auto"/>
        <w:left w:val="none" w:sz="0" w:space="0" w:color="auto"/>
        <w:bottom w:val="none" w:sz="0" w:space="0" w:color="auto"/>
        <w:right w:val="none" w:sz="0" w:space="0" w:color="auto"/>
      </w:divBdr>
    </w:div>
    <w:div w:id="37241297">
      <w:bodyDiv w:val="1"/>
      <w:marLeft w:val="0"/>
      <w:marRight w:val="0"/>
      <w:marTop w:val="0"/>
      <w:marBottom w:val="0"/>
      <w:divBdr>
        <w:top w:val="none" w:sz="0" w:space="0" w:color="auto"/>
        <w:left w:val="none" w:sz="0" w:space="0" w:color="auto"/>
        <w:bottom w:val="none" w:sz="0" w:space="0" w:color="auto"/>
        <w:right w:val="none" w:sz="0" w:space="0" w:color="auto"/>
      </w:divBdr>
    </w:div>
    <w:div w:id="56518060">
      <w:bodyDiv w:val="1"/>
      <w:marLeft w:val="0"/>
      <w:marRight w:val="0"/>
      <w:marTop w:val="0"/>
      <w:marBottom w:val="0"/>
      <w:divBdr>
        <w:top w:val="none" w:sz="0" w:space="0" w:color="auto"/>
        <w:left w:val="none" w:sz="0" w:space="0" w:color="auto"/>
        <w:bottom w:val="none" w:sz="0" w:space="0" w:color="auto"/>
        <w:right w:val="none" w:sz="0" w:space="0" w:color="auto"/>
      </w:divBdr>
    </w:div>
    <w:div w:id="74787195">
      <w:bodyDiv w:val="1"/>
      <w:marLeft w:val="0"/>
      <w:marRight w:val="0"/>
      <w:marTop w:val="0"/>
      <w:marBottom w:val="0"/>
      <w:divBdr>
        <w:top w:val="none" w:sz="0" w:space="0" w:color="auto"/>
        <w:left w:val="none" w:sz="0" w:space="0" w:color="auto"/>
        <w:bottom w:val="none" w:sz="0" w:space="0" w:color="auto"/>
        <w:right w:val="none" w:sz="0" w:space="0" w:color="auto"/>
      </w:divBdr>
    </w:div>
    <w:div w:id="76899492">
      <w:bodyDiv w:val="1"/>
      <w:marLeft w:val="0"/>
      <w:marRight w:val="0"/>
      <w:marTop w:val="0"/>
      <w:marBottom w:val="0"/>
      <w:divBdr>
        <w:top w:val="none" w:sz="0" w:space="0" w:color="auto"/>
        <w:left w:val="none" w:sz="0" w:space="0" w:color="auto"/>
        <w:bottom w:val="none" w:sz="0" w:space="0" w:color="auto"/>
        <w:right w:val="none" w:sz="0" w:space="0" w:color="auto"/>
      </w:divBdr>
      <w:divsChild>
        <w:div w:id="169101140">
          <w:marLeft w:val="274"/>
          <w:marRight w:val="0"/>
          <w:marTop w:val="0"/>
          <w:marBottom w:val="120"/>
          <w:divBdr>
            <w:top w:val="none" w:sz="0" w:space="0" w:color="auto"/>
            <w:left w:val="none" w:sz="0" w:space="0" w:color="auto"/>
            <w:bottom w:val="none" w:sz="0" w:space="0" w:color="auto"/>
            <w:right w:val="none" w:sz="0" w:space="0" w:color="auto"/>
          </w:divBdr>
        </w:div>
        <w:div w:id="542520525">
          <w:marLeft w:val="274"/>
          <w:marRight w:val="0"/>
          <w:marTop w:val="0"/>
          <w:marBottom w:val="120"/>
          <w:divBdr>
            <w:top w:val="none" w:sz="0" w:space="0" w:color="auto"/>
            <w:left w:val="none" w:sz="0" w:space="0" w:color="auto"/>
            <w:bottom w:val="none" w:sz="0" w:space="0" w:color="auto"/>
            <w:right w:val="none" w:sz="0" w:space="0" w:color="auto"/>
          </w:divBdr>
        </w:div>
        <w:div w:id="933788172">
          <w:marLeft w:val="274"/>
          <w:marRight w:val="0"/>
          <w:marTop w:val="0"/>
          <w:marBottom w:val="120"/>
          <w:divBdr>
            <w:top w:val="none" w:sz="0" w:space="0" w:color="auto"/>
            <w:left w:val="none" w:sz="0" w:space="0" w:color="auto"/>
            <w:bottom w:val="none" w:sz="0" w:space="0" w:color="auto"/>
            <w:right w:val="none" w:sz="0" w:space="0" w:color="auto"/>
          </w:divBdr>
        </w:div>
        <w:div w:id="1329014126">
          <w:marLeft w:val="850"/>
          <w:marRight w:val="0"/>
          <w:marTop w:val="0"/>
          <w:marBottom w:val="120"/>
          <w:divBdr>
            <w:top w:val="none" w:sz="0" w:space="0" w:color="auto"/>
            <w:left w:val="none" w:sz="0" w:space="0" w:color="auto"/>
            <w:bottom w:val="none" w:sz="0" w:space="0" w:color="auto"/>
            <w:right w:val="none" w:sz="0" w:space="0" w:color="auto"/>
          </w:divBdr>
        </w:div>
        <w:div w:id="1955400290">
          <w:marLeft w:val="274"/>
          <w:marRight w:val="0"/>
          <w:marTop w:val="0"/>
          <w:marBottom w:val="120"/>
          <w:divBdr>
            <w:top w:val="none" w:sz="0" w:space="0" w:color="auto"/>
            <w:left w:val="none" w:sz="0" w:space="0" w:color="auto"/>
            <w:bottom w:val="none" w:sz="0" w:space="0" w:color="auto"/>
            <w:right w:val="none" w:sz="0" w:space="0" w:color="auto"/>
          </w:divBdr>
        </w:div>
        <w:div w:id="2121100906">
          <w:marLeft w:val="850"/>
          <w:marRight w:val="0"/>
          <w:marTop w:val="0"/>
          <w:marBottom w:val="120"/>
          <w:divBdr>
            <w:top w:val="none" w:sz="0" w:space="0" w:color="auto"/>
            <w:left w:val="none" w:sz="0" w:space="0" w:color="auto"/>
            <w:bottom w:val="none" w:sz="0" w:space="0" w:color="auto"/>
            <w:right w:val="none" w:sz="0" w:space="0" w:color="auto"/>
          </w:divBdr>
        </w:div>
      </w:divsChild>
    </w:div>
    <w:div w:id="85270630">
      <w:bodyDiv w:val="1"/>
      <w:marLeft w:val="0"/>
      <w:marRight w:val="0"/>
      <w:marTop w:val="0"/>
      <w:marBottom w:val="0"/>
      <w:divBdr>
        <w:top w:val="none" w:sz="0" w:space="0" w:color="auto"/>
        <w:left w:val="none" w:sz="0" w:space="0" w:color="auto"/>
        <w:bottom w:val="none" w:sz="0" w:space="0" w:color="auto"/>
        <w:right w:val="none" w:sz="0" w:space="0" w:color="auto"/>
      </w:divBdr>
    </w:div>
    <w:div w:id="86459851">
      <w:bodyDiv w:val="1"/>
      <w:marLeft w:val="0"/>
      <w:marRight w:val="0"/>
      <w:marTop w:val="0"/>
      <w:marBottom w:val="0"/>
      <w:divBdr>
        <w:top w:val="none" w:sz="0" w:space="0" w:color="auto"/>
        <w:left w:val="none" w:sz="0" w:space="0" w:color="auto"/>
        <w:bottom w:val="none" w:sz="0" w:space="0" w:color="auto"/>
        <w:right w:val="none" w:sz="0" w:space="0" w:color="auto"/>
      </w:divBdr>
    </w:div>
    <w:div w:id="118768502">
      <w:bodyDiv w:val="1"/>
      <w:marLeft w:val="0"/>
      <w:marRight w:val="0"/>
      <w:marTop w:val="0"/>
      <w:marBottom w:val="0"/>
      <w:divBdr>
        <w:top w:val="none" w:sz="0" w:space="0" w:color="auto"/>
        <w:left w:val="none" w:sz="0" w:space="0" w:color="auto"/>
        <w:bottom w:val="none" w:sz="0" w:space="0" w:color="auto"/>
        <w:right w:val="none" w:sz="0" w:space="0" w:color="auto"/>
      </w:divBdr>
    </w:div>
    <w:div w:id="167253359">
      <w:bodyDiv w:val="1"/>
      <w:marLeft w:val="0"/>
      <w:marRight w:val="0"/>
      <w:marTop w:val="0"/>
      <w:marBottom w:val="0"/>
      <w:divBdr>
        <w:top w:val="none" w:sz="0" w:space="0" w:color="auto"/>
        <w:left w:val="none" w:sz="0" w:space="0" w:color="auto"/>
        <w:bottom w:val="none" w:sz="0" w:space="0" w:color="auto"/>
        <w:right w:val="none" w:sz="0" w:space="0" w:color="auto"/>
      </w:divBdr>
    </w:div>
    <w:div w:id="185677141">
      <w:bodyDiv w:val="1"/>
      <w:marLeft w:val="0"/>
      <w:marRight w:val="0"/>
      <w:marTop w:val="0"/>
      <w:marBottom w:val="0"/>
      <w:divBdr>
        <w:top w:val="none" w:sz="0" w:space="0" w:color="auto"/>
        <w:left w:val="none" w:sz="0" w:space="0" w:color="auto"/>
        <w:bottom w:val="none" w:sz="0" w:space="0" w:color="auto"/>
        <w:right w:val="none" w:sz="0" w:space="0" w:color="auto"/>
      </w:divBdr>
    </w:div>
    <w:div w:id="191723270">
      <w:bodyDiv w:val="1"/>
      <w:marLeft w:val="0"/>
      <w:marRight w:val="0"/>
      <w:marTop w:val="0"/>
      <w:marBottom w:val="0"/>
      <w:divBdr>
        <w:top w:val="none" w:sz="0" w:space="0" w:color="auto"/>
        <w:left w:val="none" w:sz="0" w:space="0" w:color="auto"/>
        <w:bottom w:val="none" w:sz="0" w:space="0" w:color="auto"/>
        <w:right w:val="none" w:sz="0" w:space="0" w:color="auto"/>
      </w:divBdr>
    </w:div>
    <w:div w:id="196168042">
      <w:bodyDiv w:val="1"/>
      <w:marLeft w:val="0"/>
      <w:marRight w:val="0"/>
      <w:marTop w:val="0"/>
      <w:marBottom w:val="0"/>
      <w:divBdr>
        <w:top w:val="none" w:sz="0" w:space="0" w:color="auto"/>
        <w:left w:val="none" w:sz="0" w:space="0" w:color="auto"/>
        <w:bottom w:val="none" w:sz="0" w:space="0" w:color="auto"/>
        <w:right w:val="none" w:sz="0" w:space="0" w:color="auto"/>
      </w:divBdr>
      <w:divsChild>
        <w:div w:id="378166619">
          <w:marLeft w:val="547"/>
          <w:marRight w:val="0"/>
          <w:marTop w:val="106"/>
          <w:marBottom w:val="0"/>
          <w:divBdr>
            <w:top w:val="none" w:sz="0" w:space="0" w:color="auto"/>
            <w:left w:val="none" w:sz="0" w:space="0" w:color="auto"/>
            <w:bottom w:val="none" w:sz="0" w:space="0" w:color="auto"/>
            <w:right w:val="none" w:sz="0" w:space="0" w:color="auto"/>
          </w:divBdr>
        </w:div>
        <w:div w:id="123011381">
          <w:marLeft w:val="547"/>
          <w:marRight w:val="0"/>
          <w:marTop w:val="106"/>
          <w:marBottom w:val="0"/>
          <w:divBdr>
            <w:top w:val="none" w:sz="0" w:space="0" w:color="auto"/>
            <w:left w:val="none" w:sz="0" w:space="0" w:color="auto"/>
            <w:bottom w:val="none" w:sz="0" w:space="0" w:color="auto"/>
            <w:right w:val="none" w:sz="0" w:space="0" w:color="auto"/>
          </w:divBdr>
        </w:div>
        <w:div w:id="162480591">
          <w:marLeft w:val="547"/>
          <w:marRight w:val="0"/>
          <w:marTop w:val="106"/>
          <w:marBottom w:val="0"/>
          <w:divBdr>
            <w:top w:val="none" w:sz="0" w:space="0" w:color="auto"/>
            <w:left w:val="none" w:sz="0" w:space="0" w:color="auto"/>
            <w:bottom w:val="none" w:sz="0" w:space="0" w:color="auto"/>
            <w:right w:val="none" w:sz="0" w:space="0" w:color="auto"/>
          </w:divBdr>
        </w:div>
        <w:div w:id="1117723024">
          <w:marLeft w:val="547"/>
          <w:marRight w:val="0"/>
          <w:marTop w:val="106"/>
          <w:marBottom w:val="0"/>
          <w:divBdr>
            <w:top w:val="none" w:sz="0" w:space="0" w:color="auto"/>
            <w:left w:val="none" w:sz="0" w:space="0" w:color="auto"/>
            <w:bottom w:val="none" w:sz="0" w:space="0" w:color="auto"/>
            <w:right w:val="none" w:sz="0" w:space="0" w:color="auto"/>
          </w:divBdr>
        </w:div>
        <w:div w:id="1413623952">
          <w:marLeft w:val="547"/>
          <w:marRight w:val="0"/>
          <w:marTop w:val="106"/>
          <w:marBottom w:val="0"/>
          <w:divBdr>
            <w:top w:val="none" w:sz="0" w:space="0" w:color="auto"/>
            <w:left w:val="none" w:sz="0" w:space="0" w:color="auto"/>
            <w:bottom w:val="none" w:sz="0" w:space="0" w:color="auto"/>
            <w:right w:val="none" w:sz="0" w:space="0" w:color="auto"/>
          </w:divBdr>
        </w:div>
      </w:divsChild>
    </w:div>
    <w:div w:id="197012158">
      <w:bodyDiv w:val="1"/>
      <w:marLeft w:val="0"/>
      <w:marRight w:val="0"/>
      <w:marTop w:val="0"/>
      <w:marBottom w:val="0"/>
      <w:divBdr>
        <w:top w:val="none" w:sz="0" w:space="0" w:color="auto"/>
        <w:left w:val="none" w:sz="0" w:space="0" w:color="auto"/>
        <w:bottom w:val="none" w:sz="0" w:space="0" w:color="auto"/>
        <w:right w:val="none" w:sz="0" w:space="0" w:color="auto"/>
      </w:divBdr>
    </w:div>
    <w:div w:id="201407363">
      <w:bodyDiv w:val="1"/>
      <w:marLeft w:val="0"/>
      <w:marRight w:val="0"/>
      <w:marTop w:val="0"/>
      <w:marBottom w:val="0"/>
      <w:divBdr>
        <w:top w:val="none" w:sz="0" w:space="0" w:color="auto"/>
        <w:left w:val="none" w:sz="0" w:space="0" w:color="auto"/>
        <w:bottom w:val="none" w:sz="0" w:space="0" w:color="auto"/>
        <w:right w:val="none" w:sz="0" w:space="0" w:color="auto"/>
      </w:divBdr>
      <w:divsChild>
        <w:div w:id="1426881138">
          <w:marLeft w:val="0"/>
          <w:marRight w:val="0"/>
          <w:marTop w:val="0"/>
          <w:marBottom w:val="0"/>
          <w:divBdr>
            <w:top w:val="none" w:sz="0" w:space="0" w:color="auto"/>
            <w:left w:val="none" w:sz="0" w:space="0" w:color="auto"/>
            <w:bottom w:val="none" w:sz="0" w:space="0" w:color="auto"/>
            <w:right w:val="none" w:sz="0" w:space="0" w:color="auto"/>
          </w:divBdr>
          <w:divsChild>
            <w:div w:id="356198034">
              <w:marLeft w:val="0"/>
              <w:marRight w:val="0"/>
              <w:marTop w:val="0"/>
              <w:marBottom w:val="0"/>
              <w:divBdr>
                <w:top w:val="none" w:sz="0" w:space="0" w:color="auto"/>
                <w:left w:val="none" w:sz="0" w:space="0" w:color="auto"/>
                <w:bottom w:val="none" w:sz="0" w:space="0" w:color="auto"/>
                <w:right w:val="none" w:sz="0" w:space="0" w:color="auto"/>
              </w:divBdr>
            </w:div>
            <w:div w:id="380371554">
              <w:marLeft w:val="0"/>
              <w:marRight w:val="0"/>
              <w:marTop w:val="0"/>
              <w:marBottom w:val="0"/>
              <w:divBdr>
                <w:top w:val="none" w:sz="0" w:space="0" w:color="auto"/>
                <w:left w:val="none" w:sz="0" w:space="0" w:color="auto"/>
                <w:bottom w:val="none" w:sz="0" w:space="0" w:color="auto"/>
                <w:right w:val="none" w:sz="0" w:space="0" w:color="auto"/>
              </w:divBdr>
            </w:div>
            <w:div w:id="920063154">
              <w:marLeft w:val="0"/>
              <w:marRight w:val="0"/>
              <w:marTop w:val="0"/>
              <w:marBottom w:val="0"/>
              <w:divBdr>
                <w:top w:val="none" w:sz="0" w:space="0" w:color="auto"/>
                <w:left w:val="none" w:sz="0" w:space="0" w:color="auto"/>
                <w:bottom w:val="none" w:sz="0" w:space="0" w:color="auto"/>
                <w:right w:val="none" w:sz="0" w:space="0" w:color="auto"/>
              </w:divBdr>
            </w:div>
            <w:div w:id="978413262">
              <w:marLeft w:val="0"/>
              <w:marRight w:val="0"/>
              <w:marTop w:val="0"/>
              <w:marBottom w:val="0"/>
              <w:divBdr>
                <w:top w:val="none" w:sz="0" w:space="0" w:color="auto"/>
                <w:left w:val="none" w:sz="0" w:space="0" w:color="auto"/>
                <w:bottom w:val="none" w:sz="0" w:space="0" w:color="auto"/>
                <w:right w:val="none" w:sz="0" w:space="0" w:color="auto"/>
              </w:divBdr>
            </w:div>
            <w:div w:id="1159226960">
              <w:marLeft w:val="0"/>
              <w:marRight w:val="0"/>
              <w:marTop w:val="0"/>
              <w:marBottom w:val="0"/>
              <w:divBdr>
                <w:top w:val="none" w:sz="0" w:space="0" w:color="auto"/>
                <w:left w:val="none" w:sz="0" w:space="0" w:color="auto"/>
                <w:bottom w:val="none" w:sz="0" w:space="0" w:color="auto"/>
                <w:right w:val="none" w:sz="0" w:space="0" w:color="auto"/>
              </w:divBdr>
            </w:div>
            <w:div w:id="1560942909">
              <w:marLeft w:val="0"/>
              <w:marRight w:val="0"/>
              <w:marTop w:val="0"/>
              <w:marBottom w:val="0"/>
              <w:divBdr>
                <w:top w:val="none" w:sz="0" w:space="0" w:color="auto"/>
                <w:left w:val="none" w:sz="0" w:space="0" w:color="auto"/>
                <w:bottom w:val="none" w:sz="0" w:space="0" w:color="auto"/>
                <w:right w:val="none" w:sz="0" w:space="0" w:color="auto"/>
              </w:divBdr>
            </w:div>
            <w:div w:id="19215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468">
      <w:bodyDiv w:val="1"/>
      <w:marLeft w:val="0"/>
      <w:marRight w:val="0"/>
      <w:marTop w:val="0"/>
      <w:marBottom w:val="0"/>
      <w:divBdr>
        <w:top w:val="none" w:sz="0" w:space="0" w:color="auto"/>
        <w:left w:val="none" w:sz="0" w:space="0" w:color="auto"/>
        <w:bottom w:val="none" w:sz="0" w:space="0" w:color="auto"/>
        <w:right w:val="none" w:sz="0" w:space="0" w:color="auto"/>
      </w:divBdr>
    </w:div>
    <w:div w:id="239366147">
      <w:bodyDiv w:val="1"/>
      <w:marLeft w:val="0"/>
      <w:marRight w:val="0"/>
      <w:marTop w:val="0"/>
      <w:marBottom w:val="0"/>
      <w:divBdr>
        <w:top w:val="none" w:sz="0" w:space="0" w:color="auto"/>
        <w:left w:val="none" w:sz="0" w:space="0" w:color="auto"/>
        <w:bottom w:val="none" w:sz="0" w:space="0" w:color="auto"/>
        <w:right w:val="none" w:sz="0" w:space="0" w:color="auto"/>
      </w:divBdr>
    </w:div>
    <w:div w:id="260990174">
      <w:bodyDiv w:val="1"/>
      <w:marLeft w:val="0"/>
      <w:marRight w:val="0"/>
      <w:marTop w:val="0"/>
      <w:marBottom w:val="0"/>
      <w:divBdr>
        <w:top w:val="none" w:sz="0" w:space="0" w:color="auto"/>
        <w:left w:val="none" w:sz="0" w:space="0" w:color="auto"/>
        <w:bottom w:val="none" w:sz="0" w:space="0" w:color="auto"/>
        <w:right w:val="none" w:sz="0" w:space="0" w:color="auto"/>
      </w:divBdr>
    </w:div>
    <w:div w:id="268700047">
      <w:bodyDiv w:val="1"/>
      <w:marLeft w:val="0"/>
      <w:marRight w:val="0"/>
      <w:marTop w:val="0"/>
      <w:marBottom w:val="0"/>
      <w:divBdr>
        <w:top w:val="none" w:sz="0" w:space="0" w:color="auto"/>
        <w:left w:val="none" w:sz="0" w:space="0" w:color="auto"/>
        <w:bottom w:val="none" w:sz="0" w:space="0" w:color="auto"/>
        <w:right w:val="none" w:sz="0" w:space="0" w:color="auto"/>
      </w:divBdr>
    </w:div>
    <w:div w:id="299504184">
      <w:bodyDiv w:val="1"/>
      <w:marLeft w:val="0"/>
      <w:marRight w:val="0"/>
      <w:marTop w:val="0"/>
      <w:marBottom w:val="0"/>
      <w:divBdr>
        <w:top w:val="none" w:sz="0" w:space="0" w:color="auto"/>
        <w:left w:val="none" w:sz="0" w:space="0" w:color="auto"/>
        <w:bottom w:val="none" w:sz="0" w:space="0" w:color="auto"/>
        <w:right w:val="none" w:sz="0" w:space="0" w:color="auto"/>
      </w:divBdr>
    </w:div>
    <w:div w:id="315645008">
      <w:bodyDiv w:val="1"/>
      <w:marLeft w:val="0"/>
      <w:marRight w:val="0"/>
      <w:marTop w:val="0"/>
      <w:marBottom w:val="0"/>
      <w:divBdr>
        <w:top w:val="none" w:sz="0" w:space="0" w:color="auto"/>
        <w:left w:val="none" w:sz="0" w:space="0" w:color="auto"/>
        <w:bottom w:val="none" w:sz="0" w:space="0" w:color="auto"/>
        <w:right w:val="none" w:sz="0" w:space="0" w:color="auto"/>
      </w:divBdr>
    </w:div>
    <w:div w:id="344135722">
      <w:bodyDiv w:val="1"/>
      <w:marLeft w:val="0"/>
      <w:marRight w:val="0"/>
      <w:marTop w:val="0"/>
      <w:marBottom w:val="0"/>
      <w:divBdr>
        <w:top w:val="none" w:sz="0" w:space="0" w:color="auto"/>
        <w:left w:val="none" w:sz="0" w:space="0" w:color="auto"/>
        <w:bottom w:val="none" w:sz="0" w:space="0" w:color="auto"/>
        <w:right w:val="none" w:sz="0" w:space="0" w:color="auto"/>
      </w:divBdr>
    </w:div>
    <w:div w:id="349451355">
      <w:bodyDiv w:val="1"/>
      <w:marLeft w:val="0"/>
      <w:marRight w:val="0"/>
      <w:marTop w:val="0"/>
      <w:marBottom w:val="0"/>
      <w:divBdr>
        <w:top w:val="none" w:sz="0" w:space="0" w:color="auto"/>
        <w:left w:val="none" w:sz="0" w:space="0" w:color="auto"/>
        <w:bottom w:val="none" w:sz="0" w:space="0" w:color="auto"/>
        <w:right w:val="none" w:sz="0" w:space="0" w:color="auto"/>
      </w:divBdr>
    </w:div>
    <w:div w:id="400374255">
      <w:bodyDiv w:val="1"/>
      <w:marLeft w:val="0"/>
      <w:marRight w:val="0"/>
      <w:marTop w:val="0"/>
      <w:marBottom w:val="0"/>
      <w:divBdr>
        <w:top w:val="none" w:sz="0" w:space="0" w:color="auto"/>
        <w:left w:val="none" w:sz="0" w:space="0" w:color="auto"/>
        <w:bottom w:val="none" w:sz="0" w:space="0" w:color="auto"/>
        <w:right w:val="none" w:sz="0" w:space="0" w:color="auto"/>
      </w:divBdr>
    </w:div>
    <w:div w:id="401484187">
      <w:bodyDiv w:val="1"/>
      <w:marLeft w:val="0"/>
      <w:marRight w:val="0"/>
      <w:marTop w:val="0"/>
      <w:marBottom w:val="0"/>
      <w:divBdr>
        <w:top w:val="none" w:sz="0" w:space="0" w:color="auto"/>
        <w:left w:val="none" w:sz="0" w:space="0" w:color="auto"/>
        <w:bottom w:val="none" w:sz="0" w:space="0" w:color="auto"/>
        <w:right w:val="none" w:sz="0" w:space="0" w:color="auto"/>
      </w:divBdr>
    </w:div>
    <w:div w:id="414134717">
      <w:bodyDiv w:val="1"/>
      <w:marLeft w:val="0"/>
      <w:marRight w:val="0"/>
      <w:marTop w:val="0"/>
      <w:marBottom w:val="0"/>
      <w:divBdr>
        <w:top w:val="none" w:sz="0" w:space="0" w:color="auto"/>
        <w:left w:val="none" w:sz="0" w:space="0" w:color="auto"/>
        <w:bottom w:val="none" w:sz="0" w:space="0" w:color="auto"/>
        <w:right w:val="none" w:sz="0" w:space="0" w:color="auto"/>
      </w:divBdr>
    </w:div>
    <w:div w:id="414715728">
      <w:bodyDiv w:val="1"/>
      <w:marLeft w:val="0"/>
      <w:marRight w:val="0"/>
      <w:marTop w:val="0"/>
      <w:marBottom w:val="0"/>
      <w:divBdr>
        <w:top w:val="none" w:sz="0" w:space="0" w:color="auto"/>
        <w:left w:val="none" w:sz="0" w:space="0" w:color="auto"/>
        <w:bottom w:val="none" w:sz="0" w:space="0" w:color="auto"/>
        <w:right w:val="none" w:sz="0" w:space="0" w:color="auto"/>
      </w:divBdr>
    </w:div>
    <w:div w:id="417362213">
      <w:bodyDiv w:val="1"/>
      <w:marLeft w:val="0"/>
      <w:marRight w:val="0"/>
      <w:marTop w:val="0"/>
      <w:marBottom w:val="0"/>
      <w:divBdr>
        <w:top w:val="none" w:sz="0" w:space="0" w:color="auto"/>
        <w:left w:val="none" w:sz="0" w:space="0" w:color="auto"/>
        <w:bottom w:val="none" w:sz="0" w:space="0" w:color="auto"/>
        <w:right w:val="none" w:sz="0" w:space="0" w:color="auto"/>
      </w:divBdr>
    </w:div>
    <w:div w:id="465663192">
      <w:bodyDiv w:val="1"/>
      <w:marLeft w:val="0"/>
      <w:marRight w:val="0"/>
      <w:marTop w:val="0"/>
      <w:marBottom w:val="0"/>
      <w:divBdr>
        <w:top w:val="none" w:sz="0" w:space="0" w:color="auto"/>
        <w:left w:val="none" w:sz="0" w:space="0" w:color="auto"/>
        <w:bottom w:val="none" w:sz="0" w:space="0" w:color="auto"/>
        <w:right w:val="none" w:sz="0" w:space="0" w:color="auto"/>
      </w:divBdr>
    </w:div>
    <w:div w:id="497498505">
      <w:bodyDiv w:val="1"/>
      <w:marLeft w:val="0"/>
      <w:marRight w:val="0"/>
      <w:marTop w:val="0"/>
      <w:marBottom w:val="0"/>
      <w:divBdr>
        <w:top w:val="none" w:sz="0" w:space="0" w:color="auto"/>
        <w:left w:val="none" w:sz="0" w:space="0" w:color="auto"/>
        <w:bottom w:val="none" w:sz="0" w:space="0" w:color="auto"/>
        <w:right w:val="none" w:sz="0" w:space="0" w:color="auto"/>
      </w:divBdr>
    </w:div>
    <w:div w:id="508301043">
      <w:bodyDiv w:val="1"/>
      <w:marLeft w:val="0"/>
      <w:marRight w:val="0"/>
      <w:marTop w:val="0"/>
      <w:marBottom w:val="0"/>
      <w:divBdr>
        <w:top w:val="none" w:sz="0" w:space="0" w:color="auto"/>
        <w:left w:val="none" w:sz="0" w:space="0" w:color="auto"/>
        <w:bottom w:val="none" w:sz="0" w:space="0" w:color="auto"/>
        <w:right w:val="none" w:sz="0" w:space="0" w:color="auto"/>
      </w:divBdr>
      <w:divsChild>
        <w:div w:id="1044212878">
          <w:marLeft w:val="547"/>
          <w:marRight w:val="0"/>
          <w:marTop w:val="240"/>
          <w:marBottom w:val="0"/>
          <w:divBdr>
            <w:top w:val="none" w:sz="0" w:space="0" w:color="auto"/>
            <w:left w:val="none" w:sz="0" w:space="0" w:color="auto"/>
            <w:bottom w:val="none" w:sz="0" w:space="0" w:color="auto"/>
            <w:right w:val="none" w:sz="0" w:space="0" w:color="auto"/>
          </w:divBdr>
        </w:div>
        <w:div w:id="1949701099">
          <w:marLeft w:val="547"/>
          <w:marRight w:val="0"/>
          <w:marTop w:val="240"/>
          <w:marBottom w:val="0"/>
          <w:divBdr>
            <w:top w:val="none" w:sz="0" w:space="0" w:color="auto"/>
            <w:left w:val="none" w:sz="0" w:space="0" w:color="auto"/>
            <w:bottom w:val="none" w:sz="0" w:space="0" w:color="auto"/>
            <w:right w:val="none" w:sz="0" w:space="0" w:color="auto"/>
          </w:divBdr>
        </w:div>
        <w:div w:id="1058548226">
          <w:marLeft w:val="547"/>
          <w:marRight w:val="0"/>
          <w:marTop w:val="240"/>
          <w:marBottom w:val="0"/>
          <w:divBdr>
            <w:top w:val="none" w:sz="0" w:space="0" w:color="auto"/>
            <w:left w:val="none" w:sz="0" w:space="0" w:color="auto"/>
            <w:bottom w:val="none" w:sz="0" w:space="0" w:color="auto"/>
            <w:right w:val="none" w:sz="0" w:space="0" w:color="auto"/>
          </w:divBdr>
        </w:div>
      </w:divsChild>
    </w:div>
    <w:div w:id="513497344">
      <w:bodyDiv w:val="1"/>
      <w:marLeft w:val="0"/>
      <w:marRight w:val="0"/>
      <w:marTop w:val="0"/>
      <w:marBottom w:val="0"/>
      <w:divBdr>
        <w:top w:val="none" w:sz="0" w:space="0" w:color="auto"/>
        <w:left w:val="none" w:sz="0" w:space="0" w:color="auto"/>
        <w:bottom w:val="none" w:sz="0" w:space="0" w:color="auto"/>
        <w:right w:val="none" w:sz="0" w:space="0" w:color="auto"/>
      </w:divBdr>
    </w:div>
    <w:div w:id="526216817">
      <w:bodyDiv w:val="1"/>
      <w:marLeft w:val="0"/>
      <w:marRight w:val="0"/>
      <w:marTop w:val="0"/>
      <w:marBottom w:val="0"/>
      <w:divBdr>
        <w:top w:val="none" w:sz="0" w:space="0" w:color="auto"/>
        <w:left w:val="none" w:sz="0" w:space="0" w:color="auto"/>
        <w:bottom w:val="none" w:sz="0" w:space="0" w:color="auto"/>
        <w:right w:val="none" w:sz="0" w:space="0" w:color="auto"/>
      </w:divBdr>
      <w:divsChild>
        <w:div w:id="1552421025">
          <w:marLeft w:val="547"/>
          <w:marRight w:val="0"/>
          <w:marTop w:val="120"/>
          <w:marBottom w:val="0"/>
          <w:divBdr>
            <w:top w:val="none" w:sz="0" w:space="0" w:color="auto"/>
            <w:left w:val="none" w:sz="0" w:space="0" w:color="auto"/>
            <w:bottom w:val="none" w:sz="0" w:space="0" w:color="auto"/>
            <w:right w:val="none" w:sz="0" w:space="0" w:color="auto"/>
          </w:divBdr>
        </w:div>
        <w:div w:id="1132479431">
          <w:marLeft w:val="547"/>
          <w:marRight w:val="0"/>
          <w:marTop w:val="120"/>
          <w:marBottom w:val="0"/>
          <w:divBdr>
            <w:top w:val="none" w:sz="0" w:space="0" w:color="auto"/>
            <w:left w:val="none" w:sz="0" w:space="0" w:color="auto"/>
            <w:bottom w:val="none" w:sz="0" w:space="0" w:color="auto"/>
            <w:right w:val="none" w:sz="0" w:space="0" w:color="auto"/>
          </w:divBdr>
        </w:div>
        <w:div w:id="255868012">
          <w:marLeft w:val="547"/>
          <w:marRight w:val="0"/>
          <w:marTop w:val="120"/>
          <w:marBottom w:val="0"/>
          <w:divBdr>
            <w:top w:val="none" w:sz="0" w:space="0" w:color="auto"/>
            <w:left w:val="none" w:sz="0" w:space="0" w:color="auto"/>
            <w:bottom w:val="none" w:sz="0" w:space="0" w:color="auto"/>
            <w:right w:val="none" w:sz="0" w:space="0" w:color="auto"/>
          </w:divBdr>
        </w:div>
        <w:div w:id="1743984319">
          <w:marLeft w:val="547"/>
          <w:marRight w:val="0"/>
          <w:marTop w:val="120"/>
          <w:marBottom w:val="0"/>
          <w:divBdr>
            <w:top w:val="none" w:sz="0" w:space="0" w:color="auto"/>
            <w:left w:val="none" w:sz="0" w:space="0" w:color="auto"/>
            <w:bottom w:val="none" w:sz="0" w:space="0" w:color="auto"/>
            <w:right w:val="none" w:sz="0" w:space="0" w:color="auto"/>
          </w:divBdr>
        </w:div>
        <w:div w:id="1604147529">
          <w:marLeft w:val="547"/>
          <w:marRight w:val="0"/>
          <w:marTop w:val="120"/>
          <w:marBottom w:val="0"/>
          <w:divBdr>
            <w:top w:val="none" w:sz="0" w:space="0" w:color="auto"/>
            <w:left w:val="none" w:sz="0" w:space="0" w:color="auto"/>
            <w:bottom w:val="none" w:sz="0" w:space="0" w:color="auto"/>
            <w:right w:val="none" w:sz="0" w:space="0" w:color="auto"/>
          </w:divBdr>
        </w:div>
        <w:div w:id="1355572515">
          <w:marLeft w:val="547"/>
          <w:marRight w:val="0"/>
          <w:marTop w:val="120"/>
          <w:marBottom w:val="0"/>
          <w:divBdr>
            <w:top w:val="none" w:sz="0" w:space="0" w:color="auto"/>
            <w:left w:val="none" w:sz="0" w:space="0" w:color="auto"/>
            <w:bottom w:val="none" w:sz="0" w:space="0" w:color="auto"/>
            <w:right w:val="none" w:sz="0" w:space="0" w:color="auto"/>
          </w:divBdr>
        </w:div>
      </w:divsChild>
    </w:div>
    <w:div w:id="538737369">
      <w:bodyDiv w:val="1"/>
      <w:marLeft w:val="0"/>
      <w:marRight w:val="0"/>
      <w:marTop w:val="0"/>
      <w:marBottom w:val="0"/>
      <w:divBdr>
        <w:top w:val="none" w:sz="0" w:space="0" w:color="auto"/>
        <w:left w:val="none" w:sz="0" w:space="0" w:color="auto"/>
        <w:bottom w:val="none" w:sz="0" w:space="0" w:color="auto"/>
        <w:right w:val="none" w:sz="0" w:space="0" w:color="auto"/>
      </w:divBdr>
    </w:div>
    <w:div w:id="575894026">
      <w:bodyDiv w:val="1"/>
      <w:marLeft w:val="0"/>
      <w:marRight w:val="0"/>
      <w:marTop w:val="0"/>
      <w:marBottom w:val="0"/>
      <w:divBdr>
        <w:top w:val="none" w:sz="0" w:space="0" w:color="auto"/>
        <w:left w:val="none" w:sz="0" w:space="0" w:color="auto"/>
        <w:bottom w:val="none" w:sz="0" w:space="0" w:color="auto"/>
        <w:right w:val="none" w:sz="0" w:space="0" w:color="auto"/>
      </w:divBdr>
    </w:div>
    <w:div w:id="578828947">
      <w:bodyDiv w:val="1"/>
      <w:marLeft w:val="0"/>
      <w:marRight w:val="0"/>
      <w:marTop w:val="0"/>
      <w:marBottom w:val="0"/>
      <w:divBdr>
        <w:top w:val="none" w:sz="0" w:space="0" w:color="auto"/>
        <w:left w:val="none" w:sz="0" w:space="0" w:color="auto"/>
        <w:bottom w:val="none" w:sz="0" w:space="0" w:color="auto"/>
        <w:right w:val="none" w:sz="0" w:space="0" w:color="auto"/>
      </w:divBdr>
    </w:div>
    <w:div w:id="585385808">
      <w:bodyDiv w:val="1"/>
      <w:marLeft w:val="0"/>
      <w:marRight w:val="0"/>
      <w:marTop w:val="0"/>
      <w:marBottom w:val="0"/>
      <w:divBdr>
        <w:top w:val="none" w:sz="0" w:space="0" w:color="auto"/>
        <w:left w:val="none" w:sz="0" w:space="0" w:color="auto"/>
        <w:bottom w:val="none" w:sz="0" w:space="0" w:color="auto"/>
        <w:right w:val="none" w:sz="0" w:space="0" w:color="auto"/>
      </w:divBdr>
    </w:div>
    <w:div w:id="587732523">
      <w:bodyDiv w:val="1"/>
      <w:marLeft w:val="0"/>
      <w:marRight w:val="0"/>
      <w:marTop w:val="0"/>
      <w:marBottom w:val="0"/>
      <w:divBdr>
        <w:top w:val="none" w:sz="0" w:space="0" w:color="auto"/>
        <w:left w:val="none" w:sz="0" w:space="0" w:color="auto"/>
        <w:bottom w:val="none" w:sz="0" w:space="0" w:color="auto"/>
        <w:right w:val="none" w:sz="0" w:space="0" w:color="auto"/>
      </w:divBdr>
    </w:div>
    <w:div w:id="595209688">
      <w:bodyDiv w:val="1"/>
      <w:marLeft w:val="0"/>
      <w:marRight w:val="0"/>
      <w:marTop w:val="0"/>
      <w:marBottom w:val="0"/>
      <w:divBdr>
        <w:top w:val="none" w:sz="0" w:space="0" w:color="auto"/>
        <w:left w:val="none" w:sz="0" w:space="0" w:color="auto"/>
        <w:bottom w:val="none" w:sz="0" w:space="0" w:color="auto"/>
        <w:right w:val="none" w:sz="0" w:space="0" w:color="auto"/>
      </w:divBdr>
    </w:div>
    <w:div w:id="604389653">
      <w:bodyDiv w:val="1"/>
      <w:marLeft w:val="0"/>
      <w:marRight w:val="0"/>
      <w:marTop w:val="0"/>
      <w:marBottom w:val="0"/>
      <w:divBdr>
        <w:top w:val="none" w:sz="0" w:space="0" w:color="auto"/>
        <w:left w:val="none" w:sz="0" w:space="0" w:color="auto"/>
        <w:bottom w:val="none" w:sz="0" w:space="0" w:color="auto"/>
        <w:right w:val="none" w:sz="0" w:space="0" w:color="auto"/>
      </w:divBdr>
    </w:div>
    <w:div w:id="607740008">
      <w:bodyDiv w:val="1"/>
      <w:marLeft w:val="0"/>
      <w:marRight w:val="0"/>
      <w:marTop w:val="0"/>
      <w:marBottom w:val="0"/>
      <w:divBdr>
        <w:top w:val="none" w:sz="0" w:space="0" w:color="auto"/>
        <w:left w:val="none" w:sz="0" w:space="0" w:color="auto"/>
        <w:bottom w:val="none" w:sz="0" w:space="0" w:color="auto"/>
        <w:right w:val="none" w:sz="0" w:space="0" w:color="auto"/>
      </w:divBdr>
    </w:div>
    <w:div w:id="617030158">
      <w:bodyDiv w:val="1"/>
      <w:marLeft w:val="0"/>
      <w:marRight w:val="0"/>
      <w:marTop w:val="0"/>
      <w:marBottom w:val="0"/>
      <w:divBdr>
        <w:top w:val="none" w:sz="0" w:space="0" w:color="auto"/>
        <w:left w:val="none" w:sz="0" w:space="0" w:color="auto"/>
        <w:bottom w:val="none" w:sz="0" w:space="0" w:color="auto"/>
        <w:right w:val="none" w:sz="0" w:space="0" w:color="auto"/>
      </w:divBdr>
    </w:div>
    <w:div w:id="624435080">
      <w:bodyDiv w:val="1"/>
      <w:marLeft w:val="0"/>
      <w:marRight w:val="0"/>
      <w:marTop w:val="0"/>
      <w:marBottom w:val="0"/>
      <w:divBdr>
        <w:top w:val="none" w:sz="0" w:space="0" w:color="auto"/>
        <w:left w:val="none" w:sz="0" w:space="0" w:color="auto"/>
        <w:bottom w:val="none" w:sz="0" w:space="0" w:color="auto"/>
        <w:right w:val="none" w:sz="0" w:space="0" w:color="auto"/>
      </w:divBdr>
    </w:div>
    <w:div w:id="666831912">
      <w:bodyDiv w:val="1"/>
      <w:marLeft w:val="0"/>
      <w:marRight w:val="0"/>
      <w:marTop w:val="0"/>
      <w:marBottom w:val="0"/>
      <w:divBdr>
        <w:top w:val="none" w:sz="0" w:space="0" w:color="auto"/>
        <w:left w:val="none" w:sz="0" w:space="0" w:color="auto"/>
        <w:bottom w:val="none" w:sz="0" w:space="0" w:color="auto"/>
        <w:right w:val="none" w:sz="0" w:space="0" w:color="auto"/>
      </w:divBdr>
    </w:div>
    <w:div w:id="679232865">
      <w:bodyDiv w:val="1"/>
      <w:marLeft w:val="0"/>
      <w:marRight w:val="0"/>
      <w:marTop w:val="0"/>
      <w:marBottom w:val="0"/>
      <w:divBdr>
        <w:top w:val="none" w:sz="0" w:space="0" w:color="auto"/>
        <w:left w:val="none" w:sz="0" w:space="0" w:color="auto"/>
        <w:bottom w:val="none" w:sz="0" w:space="0" w:color="auto"/>
        <w:right w:val="none" w:sz="0" w:space="0" w:color="auto"/>
      </w:divBdr>
    </w:div>
    <w:div w:id="684329045">
      <w:bodyDiv w:val="1"/>
      <w:marLeft w:val="0"/>
      <w:marRight w:val="0"/>
      <w:marTop w:val="0"/>
      <w:marBottom w:val="0"/>
      <w:divBdr>
        <w:top w:val="none" w:sz="0" w:space="0" w:color="auto"/>
        <w:left w:val="none" w:sz="0" w:space="0" w:color="auto"/>
        <w:bottom w:val="none" w:sz="0" w:space="0" w:color="auto"/>
        <w:right w:val="none" w:sz="0" w:space="0" w:color="auto"/>
      </w:divBdr>
    </w:div>
    <w:div w:id="689985734">
      <w:bodyDiv w:val="1"/>
      <w:marLeft w:val="0"/>
      <w:marRight w:val="0"/>
      <w:marTop w:val="0"/>
      <w:marBottom w:val="0"/>
      <w:divBdr>
        <w:top w:val="none" w:sz="0" w:space="0" w:color="auto"/>
        <w:left w:val="none" w:sz="0" w:space="0" w:color="auto"/>
        <w:bottom w:val="none" w:sz="0" w:space="0" w:color="auto"/>
        <w:right w:val="none" w:sz="0" w:space="0" w:color="auto"/>
      </w:divBdr>
      <w:divsChild>
        <w:div w:id="87510022">
          <w:marLeft w:val="0"/>
          <w:marRight w:val="0"/>
          <w:marTop w:val="0"/>
          <w:marBottom w:val="0"/>
          <w:divBdr>
            <w:top w:val="none" w:sz="0" w:space="0" w:color="auto"/>
            <w:left w:val="none" w:sz="0" w:space="0" w:color="auto"/>
            <w:bottom w:val="none" w:sz="0" w:space="0" w:color="auto"/>
            <w:right w:val="none" w:sz="0" w:space="0" w:color="auto"/>
          </w:divBdr>
          <w:divsChild>
            <w:div w:id="159390799">
              <w:marLeft w:val="0"/>
              <w:marRight w:val="0"/>
              <w:marTop w:val="0"/>
              <w:marBottom w:val="0"/>
              <w:divBdr>
                <w:top w:val="none" w:sz="0" w:space="0" w:color="auto"/>
                <w:left w:val="none" w:sz="0" w:space="0" w:color="auto"/>
                <w:bottom w:val="none" w:sz="0" w:space="0" w:color="auto"/>
                <w:right w:val="none" w:sz="0" w:space="0" w:color="auto"/>
              </w:divBdr>
            </w:div>
            <w:div w:id="302858877">
              <w:marLeft w:val="0"/>
              <w:marRight w:val="0"/>
              <w:marTop w:val="0"/>
              <w:marBottom w:val="0"/>
              <w:divBdr>
                <w:top w:val="none" w:sz="0" w:space="0" w:color="auto"/>
                <w:left w:val="none" w:sz="0" w:space="0" w:color="auto"/>
                <w:bottom w:val="none" w:sz="0" w:space="0" w:color="auto"/>
                <w:right w:val="none" w:sz="0" w:space="0" w:color="auto"/>
              </w:divBdr>
            </w:div>
            <w:div w:id="338124266">
              <w:marLeft w:val="0"/>
              <w:marRight w:val="0"/>
              <w:marTop w:val="0"/>
              <w:marBottom w:val="0"/>
              <w:divBdr>
                <w:top w:val="none" w:sz="0" w:space="0" w:color="auto"/>
                <w:left w:val="none" w:sz="0" w:space="0" w:color="auto"/>
                <w:bottom w:val="none" w:sz="0" w:space="0" w:color="auto"/>
                <w:right w:val="none" w:sz="0" w:space="0" w:color="auto"/>
              </w:divBdr>
            </w:div>
            <w:div w:id="586304192">
              <w:marLeft w:val="0"/>
              <w:marRight w:val="0"/>
              <w:marTop w:val="0"/>
              <w:marBottom w:val="0"/>
              <w:divBdr>
                <w:top w:val="none" w:sz="0" w:space="0" w:color="auto"/>
                <w:left w:val="none" w:sz="0" w:space="0" w:color="auto"/>
                <w:bottom w:val="none" w:sz="0" w:space="0" w:color="auto"/>
                <w:right w:val="none" w:sz="0" w:space="0" w:color="auto"/>
              </w:divBdr>
            </w:div>
            <w:div w:id="1634479191">
              <w:marLeft w:val="0"/>
              <w:marRight w:val="0"/>
              <w:marTop w:val="0"/>
              <w:marBottom w:val="0"/>
              <w:divBdr>
                <w:top w:val="none" w:sz="0" w:space="0" w:color="auto"/>
                <w:left w:val="none" w:sz="0" w:space="0" w:color="auto"/>
                <w:bottom w:val="none" w:sz="0" w:space="0" w:color="auto"/>
                <w:right w:val="none" w:sz="0" w:space="0" w:color="auto"/>
              </w:divBdr>
            </w:div>
            <w:div w:id="18839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2055">
      <w:bodyDiv w:val="1"/>
      <w:marLeft w:val="0"/>
      <w:marRight w:val="0"/>
      <w:marTop w:val="0"/>
      <w:marBottom w:val="0"/>
      <w:divBdr>
        <w:top w:val="none" w:sz="0" w:space="0" w:color="auto"/>
        <w:left w:val="none" w:sz="0" w:space="0" w:color="auto"/>
        <w:bottom w:val="none" w:sz="0" w:space="0" w:color="auto"/>
        <w:right w:val="none" w:sz="0" w:space="0" w:color="auto"/>
      </w:divBdr>
      <w:divsChild>
        <w:div w:id="1955868174">
          <w:marLeft w:val="547"/>
          <w:marRight w:val="0"/>
          <w:marTop w:val="53"/>
          <w:marBottom w:val="0"/>
          <w:divBdr>
            <w:top w:val="none" w:sz="0" w:space="0" w:color="auto"/>
            <w:left w:val="none" w:sz="0" w:space="0" w:color="auto"/>
            <w:bottom w:val="none" w:sz="0" w:space="0" w:color="auto"/>
            <w:right w:val="none" w:sz="0" w:space="0" w:color="auto"/>
          </w:divBdr>
        </w:div>
        <w:div w:id="316956350">
          <w:marLeft w:val="547"/>
          <w:marRight w:val="0"/>
          <w:marTop w:val="53"/>
          <w:marBottom w:val="0"/>
          <w:divBdr>
            <w:top w:val="none" w:sz="0" w:space="0" w:color="auto"/>
            <w:left w:val="none" w:sz="0" w:space="0" w:color="auto"/>
            <w:bottom w:val="none" w:sz="0" w:space="0" w:color="auto"/>
            <w:right w:val="none" w:sz="0" w:space="0" w:color="auto"/>
          </w:divBdr>
        </w:div>
        <w:div w:id="404954214">
          <w:marLeft w:val="547"/>
          <w:marRight w:val="0"/>
          <w:marTop w:val="53"/>
          <w:marBottom w:val="0"/>
          <w:divBdr>
            <w:top w:val="none" w:sz="0" w:space="0" w:color="auto"/>
            <w:left w:val="none" w:sz="0" w:space="0" w:color="auto"/>
            <w:bottom w:val="none" w:sz="0" w:space="0" w:color="auto"/>
            <w:right w:val="none" w:sz="0" w:space="0" w:color="auto"/>
          </w:divBdr>
        </w:div>
        <w:div w:id="2090422250">
          <w:marLeft w:val="547"/>
          <w:marRight w:val="0"/>
          <w:marTop w:val="53"/>
          <w:marBottom w:val="0"/>
          <w:divBdr>
            <w:top w:val="none" w:sz="0" w:space="0" w:color="auto"/>
            <w:left w:val="none" w:sz="0" w:space="0" w:color="auto"/>
            <w:bottom w:val="none" w:sz="0" w:space="0" w:color="auto"/>
            <w:right w:val="none" w:sz="0" w:space="0" w:color="auto"/>
          </w:divBdr>
        </w:div>
        <w:div w:id="107745244">
          <w:marLeft w:val="547"/>
          <w:marRight w:val="0"/>
          <w:marTop w:val="53"/>
          <w:marBottom w:val="0"/>
          <w:divBdr>
            <w:top w:val="none" w:sz="0" w:space="0" w:color="auto"/>
            <w:left w:val="none" w:sz="0" w:space="0" w:color="auto"/>
            <w:bottom w:val="none" w:sz="0" w:space="0" w:color="auto"/>
            <w:right w:val="none" w:sz="0" w:space="0" w:color="auto"/>
          </w:divBdr>
        </w:div>
        <w:div w:id="398138517">
          <w:marLeft w:val="547"/>
          <w:marRight w:val="0"/>
          <w:marTop w:val="53"/>
          <w:marBottom w:val="0"/>
          <w:divBdr>
            <w:top w:val="none" w:sz="0" w:space="0" w:color="auto"/>
            <w:left w:val="none" w:sz="0" w:space="0" w:color="auto"/>
            <w:bottom w:val="none" w:sz="0" w:space="0" w:color="auto"/>
            <w:right w:val="none" w:sz="0" w:space="0" w:color="auto"/>
          </w:divBdr>
        </w:div>
        <w:div w:id="1954826590">
          <w:marLeft w:val="547"/>
          <w:marRight w:val="0"/>
          <w:marTop w:val="53"/>
          <w:marBottom w:val="0"/>
          <w:divBdr>
            <w:top w:val="none" w:sz="0" w:space="0" w:color="auto"/>
            <w:left w:val="none" w:sz="0" w:space="0" w:color="auto"/>
            <w:bottom w:val="none" w:sz="0" w:space="0" w:color="auto"/>
            <w:right w:val="none" w:sz="0" w:space="0" w:color="auto"/>
          </w:divBdr>
        </w:div>
        <w:div w:id="673343573">
          <w:marLeft w:val="547"/>
          <w:marRight w:val="0"/>
          <w:marTop w:val="53"/>
          <w:marBottom w:val="0"/>
          <w:divBdr>
            <w:top w:val="none" w:sz="0" w:space="0" w:color="auto"/>
            <w:left w:val="none" w:sz="0" w:space="0" w:color="auto"/>
            <w:bottom w:val="none" w:sz="0" w:space="0" w:color="auto"/>
            <w:right w:val="none" w:sz="0" w:space="0" w:color="auto"/>
          </w:divBdr>
        </w:div>
        <w:div w:id="1259675899">
          <w:marLeft w:val="547"/>
          <w:marRight w:val="0"/>
          <w:marTop w:val="53"/>
          <w:marBottom w:val="0"/>
          <w:divBdr>
            <w:top w:val="none" w:sz="0" w:space="0" w:color="auto"/>
            <w:left w:val="none" w:sz="0" w:space="0" w:color="auto"/>
            <w:bottom w:val="none" w:sz="0" w:space="0" w:color="auto"/>
            <w:right w:val="none" w:sz="0" w:space="0" w:color="auto"/>
          </w:divBdr>
        </w:div>
        <w:div w:id="505830549">
          <w:marLeft w:val="547"/>
          <w:marRight w:val="0"/>
          <w:marTop w:val="53"/>
          <w:marBottom w:val="0"/>
          <w:divBdr>
            <w:top w:val="none" w:sz="0" w:space="0" w:color="auto"/>
            <w:left w:val="none" w:sz="0" w:space="0" w:color="auto"/>
            <w:bottom w:val="none" w:sz="0" w:space="0" w:color="auto"/>
            <w:right w:val="none" w:sz="0" w:space="0" w:color="auto"/>
          </w:divBdr>
        </w:div>
        <w:div w:id="1884563049">
          <w:marLeft w:val="547"/>
          <w:marRight w:val="0"/>
          <w:marTop w:val="53"/>
          <w:marBottom w:val="0"/>
          <w:divBdr>
            <w:top w:val="none" w:sz="0" w:space="0" w:color="auto"/>
            <w:left w:val="none" w:sz="0" w:space="0" w:color="auto"/>
            <w:bottom w:val="none" w:sz="0" w:space="0" w:color="auto"/>
            <w:right w:val="none" w:sz="0" w:space="0" w:color="auto"/>
          </w:divBdr>
        </w:div>
      </w:divsChild>
    </w:div>
    <w:div w:id="725447750">
      <w:bodyDiv w:val="1"/>
      <w:marLeft w:val="0"/>
      <w:marRight w:val="0"/>
      <w:marTop w:val="0"/>
      <w:marBottom w:val="0"/>
      <w:divBdr>
        <w:top w:val="none" w:sz="0" w:space="0" w:color="auto"/>
        <w:left w:val="none" w:sz="0" w:space="0" w:color="auto"/>
        <w:bottom w:val="none" w:sz="0" w:space="0" w:color="auto"/>
        <w:right w:val="none" w:sz="0" w:space="0" w:color="auto"/>
      </w:divBdr>
    </w:div>
    <w:div w:id="728303797">
      <w:bodyDiv w:val="1"/>
      <w:marLeft w:val="0"/>
      <w:marRight w:val="0"/>
      <w:marTop w:val="0"/>
      <w:marBottom w:val="0"/>
      <w:divBdr>
        <w:top w:val="none" w:sz="0" w:space="0" w:color="auto"/>
        <w:left w:val="none" w:sz="0" w:space="0" w:color="auto"/>
        <w:bottom w:val="none" w:sz="0" w:space="0" w:color="auto"/>
        <w:right w:val="none" w:sz="0" w:space="0" w:color="auto"/>
      </w:divBdr>
    </w:div>
    <w:div w:id="753353824">
      <w:bodyDiv w:val="1"/>
      <w:marLeft w:val="0"/>
      <w:marRight w:val="0"/>
      <w:marTop w:val="0"/>
      <w:marBottom w:val="0"/>
      <w:divBdr>
        <w:top w:val="none" w:sz="0" w:space="0" w:color="auto"/>
        <w:left w:val="none" w:sz="0" w:space="0" w:color="auto"/>
        <w:bottom w:val="none" w:sz="0" w:space="0" w:color="auto"/>
        <w:right w:val="none" w:sz="0" w:space="0" w:color="auto"/>
      </w:divBdr>
    </w:div>
    <w:div w:id="776410511">
      <w:bodyDiv w:val="1"/>
      <w:marLeft w:val="0"/>
      <w:marRight w:val="0"/>
      <w:marTop w:val="0"/>
      <w:marBottom w:val="0"/>
      <w:divBdr>
        <w:top w:val="none" w:sz="0" w:space="0" w:color="auto"/>
        <w:left w:val="none" w:sz="0" w:space="0" w:color="auto"/>
        <w:bottom w:val="none" w:sz="0" w:space="0" w:color="auto"/>
        <w:right w:val="none" w:sz="0" w:space="0" w:color="auto"/>
      </w:divBdr>
    </w:div>
    <w:div w:id="797799591">
      <w:bodyDiv w:val="1"/>
      <w:marLeft w:val="0"/>
      <w:marRight w:val="0"/>
      <w:marTop w:val="0"/>
      <w:marBottom w:val="0"/>
      <w:divBdr>
        <w:top w:val="none" w:sz="0" w:space="0" w:color="auto"/>
        <w:left w:val="none" w:sz="0" w:space="0" w:color="auto"/>
        <w:bottom w:val="none" w:sz="0" w:space="0" w:color="auto"/>
        <w:right w:val="none" w:sz="0" w:space="0" w:color="auto"/>
      </w:divBdr>
    </w:div>
    <w:div w:id="802306270">
      <w:bodyDiv w:val="1"/>
      <w:marLeft w:val="0"/>
      <w:marRight w:val="0"/>
      <w:marTop w:val="0"/>
      <w:marBottom w:val="0"/>
      <w:divBdr>
        <w:top w:val="none" w:sz="0" w:space="0" w:color="auto"/>
        <w:left w:val="none" w:sz="0" w:space="0" w:color="auto"/>
        <w:bottom w:val="none" w:sz="0" w:space="0" w:color="auto"/>
        <w:right w:val="none" w:sz="0" w:space="0" w:color="auto"/>
      </w:divBdr>
    </w:div>
    <w:div w:id="804079763">
      <w:bodyDiv w:val="1"/>
      <w:marLeft w:val="0"/>
      <w:marRight w:val="0"/>
      <w:marTop w:val="0"/>
      <w:marBottom w:val="0"/>
      <w:divBdr>
        <w:top w:val="none" w:sz="0" w:space="0" w:color="auto"/>
        <w:left w:val="none" w:sz="0" w:space="0" w:color="auto"/>
        <w:bottom w:val="none" w:sz="0" w:space="0" w:color="auto"/>
        <w:right w:val="none" w:sz="0" w:space="0" w:color="auto"/>
      </w:divBdr>
    </w:div>
    <w:div w:id="841706239">
      <w:bodyDiv w:val="1"/>
      <w:marLeft w:val="0"/>
      <w:marRight w:val="0"/>
      <w:marTop w:val="0"/>
      <w:marBottom w:val="0"/>
      <w:divBdr>
        <w:top w:val="none" w:sz="0" w:space="0" w:color="auto"/>
        <w:left w:val="none" w:sz="0" w:space="0" w:color="auto"/>
        <w:bottom w:val="none" w:sz="0" w:space="0" w:color="auto"/>
        <w:right w:val="none" w:sz="0" w:space="0" w:color="auto"/>
      </w:divBdr>
    </w:div>
    <w:div w:id="844319363">
      <w:bodyDiv w:val="1"/>
      <w:marLeft w:val="0"/>
      <w:marRight w:val="0"/>
      <w:marTop w:val="0"/>
      <w:marBottom w:val="0"/>
      <w:divBdr>
        <w:top w:val="none" w:sz="0" w:space="0" w:color="auto"/>
        <w:left w:val="none" w:sz="0" w:space="0" w:color="auto"/>
        <w:bottom w:val="none" w:sz="0" w:space="0" w:color="auto"/>
        <w:right w:val="none" w:sz="0" w:space="0" w:color="auto"/>
      </w:divBdr>
      <w:divsChild>
        <w:div w:id="674653287">
          <w:marLeft w:val="547"/>
          <w:marRight w:val="0"/>
          <w:marTop w:val="115"/>
          <w:marBottom w:val="0"/>
          <w:divBdr>
            <w:top w:val="none" w:sz="0" w:space="0" w:color="auto"/>
            <w:left w:val="none" w:sz="0" w:space="0" w:color="auto"/>
            <w:bottom w:val="none" w:sz="0" w:space="0" w:color="auto"/>
            <w:right w:val="none" w:sz="0" w:space="0" w:color="auto"/>
          </w:divBdr>
        </w:div>
        <w:div w:id="796993733">
          <w:marLeft w:val="547"/>
          <w:marRight w:val="0"/>
          <w:marTop w:val="115"/>
          <w:marBottom w:val="0"/>
          <w:divBdr>
            <w:top w:val="none" w:sz="0" w:space="0" w:color="auto"/>
            <w:left w:val="none" w:sz="0" w:space="0" w:color="auto"/>
            <w:bottom w:val="none" w:sz="0" w:space="0" w:color="auto"/>
            <w:right w:val="none" w:sz="0" w:space="0" w:color="auto"/>
          </w:divBdr>
        </w:div>
        <w:div w:id="989820837">
          <w:marLeft w:val="547"/>
          <w:marRight w:val="0"/>
          <w:marTop w:val="115"/>
          <w:marBottom w:val="0"/>
          <w:divBdr>
            <w:top w:val="none" w:sz="0" w:space="0" w:color="auto"/>
            <w:left w:val="none" w:sz="0" w:space="0" w:color="auto"/>
            <w:bottom w:val="none" w:sz="0" w:space="0" w:color="auto"/>
            <w:right w:val="none" w:sz="0" w:space="0" w:color="auto"/>
          </w:divBdr>
        </w:div>
        <w:div w:id="1396858739">
          <w:marLeft w:val="547"/>
          <w:marRight w:val="0"/>
          <w:marTop w:val="115"/>
          <w:marBottom w:val="0"/>
          <w:divBdr>
            <w:top w:val="none" w:sz="0" w:space="0" w:color="auto"/>
            <w:left w:val="none" w:sz="0" w:space="0" w:color="auto"/>
            <w:bottom w:val="none" w:sz="0" w:space="0" w:color="auto"/>
            <w:right w:val="none" w:sz="0" w:space="0" w:color="auto"/>
          </w:divBdr>
        </w:div>
        <w:div w:id="1479683053">
          <w:marLeft w:val="547"/>
          <w:marRight w:val="0"/>
          <w:marTop w:val="115"/>
          <w:marBottom w:val="0"/>
          <w:divBdr>
            <w:top w:val="none" w:sz="0" w:space="0" w:color="auto"/>
            <w:left w:val="none" w:sz="0" w:space="0" w:color="auto"/>
            <w:bottom w:val="none" w:sz="0" w:space="0" w:color="auto"/>
            <w:right w:val="none" w:sz="0" w:space="0" w:color="auto"/>
          </w:divBdr>
        </w:div>
        <w:div w:id="1534726552">
          <w:marLeft w:val="547"/>
          <w:marRight w:val="0"/>
          <w:marTop w:val="115"/>
          <w:marBottom w:val="0"/>
          <w:divBdr>
            <w:top w:val="none" w:sz="0" w:space="0" w:color="auto"/>
            <w:left w:val="none" w:sz="0" w:space="0" w:color="auto"/>
            <w:bottom w:val="none" w:sz="0" w:space="0" w:color="auto"/>
            <w:right w:val="none" w:sz="0" w:space="0" w:color="auto"/>
          </w:divBdr>
        </w:div>
        <w:div w:id="2016031084">
          <w:marLeft w:val="547"/>
          <w:marRight w:val="0"/>
          <w:marTop w:val="115"/>
          <w:marBottom w:val="0"/>
          <w:divBdr>
            <w:top w:val="none" w:sz="0" w:space="0" w:color="auto"/>
            <w:left w:val="none" w:sz="0" w:space="0" w:color="auto"/>
            <w:bottom w:val="none" w:sz="0" w:space="0" w:color="auto"/>
            <w:right w:val="none" w:sz="0" w:space="0" w:color="auto"/>
          </w:divBdr>
        </w:div>
      </w:divsChild>
    </w:div>
    <w:div w:id="853954685">
      <w:bodyDiv w:val="1"/>
      <w:marLeft w:val="0"/>
      <w:marRight w:val="0"/>
      <w:marTop w:val="0"/>
      <w:marBottom w:val="0"/>
      <w:divBdr>
        <w:top w:val="none" w:sz="0" w:space="0" w:color="auto"/>
        <w:left w:val="none" w:sz="0" w:space="0" w:color="auto"/>
        <w:bottom w:val="none" w:sz="0" w:space="0" w:color="auto"/>
        <w:right w:val="none" w:sz="0" w:space="0" w:color="auto"/>
      </w:divBdr>
    </w:div>
    <w:div w:id="858742642">
      <w:bodyDiv w:val="1"/>
      <w:marLeft w:val="0"/>
      <w:marRight w:val="0"/>
      <w:marTop w:val="0"/>
      <w:marBottom w:val="0"/>
      <w:divBdr>
        <w:top w:val="none" w:sz="0" w:space="0" w:color="auto"/>
        <w:left w:val="none" w:sz="0" w:space="0" w:color="auto"/>
        <w:bottom w:val="none" w:sz="0" w:space="0" w:color="auto"/>
        <w:right w:val="none" w:sz="0" w:space="0" w:color="auto"/>
      </w:divBdr>
    </w:div>
    <w:div w:id="868181297">
      <w:bodyDiv w:val="1"/>
      <w:marLeft w:val="0"/>
      <w:marRight w:val="0"/>
      <w:marTop w:val="0"/>
      <w:marBottom w:val="0"/>
      <w:divBdr>
        <w:top w:val="none" w:sz="0" w:space="0" w:color="auto"/>
        <w:left w:val="none" w:sz="0" w:space="0" w:color="auto"/>
        <w:bottom w:val="none" w:sz="0" w:space="0" w:color="auto"/>
        <w:right w:val="none" w:sz="0" w:space="0" w:color="auto"/>
      </w:divBdr>
    </w:div>
    <w:div w:id="905803098">
      <w:bodyDiv w:val="1"/>
      <w:marLeft w:val="0"/>
      <w:marRight w:val="0"/>
      <w:marTop w:val="0"/>
      <w:marBottom w:val="0"/>
      <w:divBdr>
        <w:top w:val="none" w:sz="0" w:space="0" w:color="auto"/>
        <w:left w:val="none" w:sz="0" w:space="0" w:color="auto"/>
        <w:bottom w:val="none" w:sz="0" w:space="0" w:color="auto"/>
        <w:right w:val="none" w:sz="0" w:space="0" w:color="auto"/>
      </w:divBdr>
    </w:div>
    <w:div w:id="927536946">
      <w:bodyDiv w:val="1"/>
      <w:marLeft w:val="0"/>
      <w:marRight w:val="0"/>
      <w:marTop w:val="0"/>
      <w:marBottom w:val="0"/>
      <w:divBdr>
        <w:top w:val="none" w:sz="0" w:space="0" w:color="auto"/>
        <w:left w:val="none" w:sz="0" w:space="0" w:color="auto"/>
        <w:bottom w:val="none" w:sz="0" w:space="0" w:color="auto"/>
        <w:right w:val="none" w:sz="0" w:space="0" w:color="auto"/>
      </w:divBdr>
    </w:div>
    <w:div w:id="930620513">
      <w:bodyDiv w:val="1"/>
      <w:marLeft w:val="0"/>
      <w:marRight w:val="0"/>
      <w:marTop w:val="0"/>
      <w:marBottom w:val="0"/>
      <w:divBdr>
        <w:top w:val="none" w:sz="0" w:space="0" w:color="auto"/>
        <w:left w:val="none" w:sz="0" w:space="0" w:color="auto"/>
        <w:bottom w:val="none" w:sz="0" w:space="0" w:color="auto"/>
        <w:right w:val="none" w:sz="0" w:space="0" w:color="auto"/>
      </w:divBdr>
    </w:div>
    <w:div w:id="938098905">
      <w:bodyDiv w:val="1"/>
      <w:marLeft w:val="0"/>
      <w:marRight w:val="0"/>
      <w:marTop w:val="0"/>
      <w:marBottom w:val="0"/>
      <w:divBdr>
        <w:top w:val="none" w:sz="0" w:space="0" w:color="auto"/>
        <w:left w:val="none" w:sz="0" w:space="0" w:color="auto"/>
        <w:bottom w:val="none" w:sz="0" w:space="0" w:color="auto"/>
        <w:right w:val="none" w:sz="0" w:space="0" w:color="auto"/>
      </w:divBdr>
    </w:div>
    <w:div w:id="941187581">
      <w:bodyDiv w:val="1"/>
      <w:marLeft w:val="0"/>
      <w:marRight w:val="0"/>
      <w:marTop w:val="0"/>
      <w:marBottom w:val="0"/>
      <w:divBdr>
        <w:top w:val="none" w:sz="0" w:space="0" w:color="auto"/>
        <w:left w:val="none" w:sz="0" w:space="0" w:color="auto"/>
        <w:bottom w:val="none" w:sz="0" w:space="0" w:color="auto"/>
        <w:right w:val="none" w:sz="0" w:space="0" w:color="auto"/>
      </w:divBdr>
    </w:div>
    <w:div w:id="949971513">
      <w:bodyDiv w:val="1"/>
      <w:marLeft w:val="0"/>
      <w:marRight w:val="0"/>
      <w:marTop w:val="0"/>
      <w:marBottom w:val="0"/>
      <w:divBdr>
        <w:top w:val="none" w:sz="0" w:space="0" w:color="auto"/>
        <w:left w:val="none" w:sz="0" w:space="0" w:color="auto"/>
        <w:bottom w:val="none" w:sz="0" w:space="0" w:color="auto"/>
        <w:right w:val="none" w:sz="0" w:space="0" w:color="auto"/>
      </w:divBdr>
      <w:divsChild>
        <w:div w:id="114642237">
          <w:marLeft w:val="835"/>
          <w:marRight w:val="0"/>
          <w:marTop w:val="96"/>
          <w:marBottom w:val="0"/>
          <w:divBdr>
            <w:top w:val="none" w:sz="0" w:space="0" w:color="auto"/>
            <w:left w:val="none" w:sz="0" w:space="0" w:color="auto"/>
            <w:bottom w:val="none" w:sz="0" w:space="0" w:color="auto"/>
            <w:right w:val="none" w:sz="0" w:space="0" w:color="auto"/>
          </w:divBdr>
        </w:div>
      </w:divsChild>
    </w:div>
    <w:div w:id="958143699">
      <w:bodyDiv w:val="1"/>
      <w:marLeft w:val="0"/>
      <w:marRight w:val="0"/>
      <w:marTop w:val="0"/>
      <w:marBottom w:val="0"/>
      <w:divBdr>
        <w:top w:val="none" w:sz="0" w:space="0" w:color="auto"/>
        <w:left w:val="none" w:sz="0" w:space="0" w:color="auto"/>
        <w:bottom w:val="none" w:sz="0" w:space="0" w:color="auto"/>
        <w:right w:val="none" w:sz="0" w:space="0" w:color="auto"/>
      </w:divBdr>
    </w:div>
    <w:div w:id="964969759">
      <w:bodyDiv w:val="1"/>
      <w:marLeft w:val="0"/>
      <w:marRight w:val="0"/>
      <w:marTop w:val="0"/>
      <w:marBottom w:val="0"/>
      <w:divBdr>
        <w:top w:val="none" w:sz="0" w:space="0" w:color="auto"/>
        <w:left w:val="none" w:sz="0" w:space="0" w:color="auto"/>
        <w:bottom w:val="none" w:sz="0" w:space="0" w:color="auto"/>
        <w:right w:val="none" w:sz="0" w:space="0" w:color="auto"/>
      </w:divBdr>
    </w:div>
    <w:div w:id="970745281">
      <w:bodyDiv w:val="1"/>
      <w:marLeft w:val="0"/>
      <w:marRight w:val="0"/>
      <w:marTop w:val="0"/>
      <w:marBottom w:val="0"/>
      <w:divBdr>
        <w:top w:val="none" w:sz="0" w:space="0" w:color="auto"/>
        <w:left w:val="none" w:sz="0" w:space="0" w:color="auto"/>
        <w:bottom w:val="none" w:sz="0" w:space="0" w:color="auto"/>
        <w:right w:val="none" w:sz="0" w:space="0" w:color="auto"/>
      </w:divBdr>
    </w:div>
    <w:div w:id="991254420">
      <w:bodyDiv w:val="1"/>
      <w:marLeft w:val="0"/>
      <w:marRight w:val="0"/>
      <w:marTop w:val="0"/>
      <w:marBottom w:val="0"/>
      <w:divBdr>
        <w:top w:val="none" w:sz="0" w:space="0" w:color="auto"/>
        <w:left w:val="none" w:sz="0" w:space="0" w:color="auto"/>
        <w:bottom w:val="none" w:sz="0" w:space="0" w:color="auto"/>
        <w:right w:val="none" w:sz="0" w:space="0" w:color="auto"/>
      </w:divBdr>
    </w:div>
    <w:div w:id="1026324990">
      <w:bodyDiv w:val="1"/>
      <w:marLeft w:val="0"/>
      <w:marRight w:val="0"/>
      <w:marTop w:val="0"/>
      <w:marBottom w:val="0"/>
      <w:divBdr>
        <w:top w:val="none" w:sz="0" w:space="0" w:color="auto"/>
        <w:left w:val="none" w:sz="0" w:space="0" w:color="auto"/>
        <w:bottom w:val="none" w:sz="0" w:space="0" w:color="auto"/>
        <w:right w:val="none" w:sz="0" w:space="0" w:color="auto"/>
      </w:divBdr>
    </w:div>
    <w:div w:id="1036396057">
      <w:bodyDiv w:val="1"/>
      <w:marLeft w:val="0"/>
      <w:marRight w:val="0"/>
      <w:marTop w:val="0"/>
      <w:marBottom w:val="0"/>
      <w:divBdr>
        <w:top w:val="none" w:sz="0" w:space="0" w:color="auto"/>
        <w:left w:val="none" w:sz="0" w:space="0" w:color="auto"/>
        <w:bottom w:val="none" w:sz="0" w:space="0" w:color="auto"/>
        <w:right w:val="none" w:sz="0" w:space="0" w:color="auto"/>
      </w:divBdr>
    </w:div>
    <w:div w:id="1072234609">
      <w:bodyDiv w:val="1"/>
      <w:marLeft w:val="0"/>
      <w:marRight w:val="0"/>
      <w:marTop w:val="0"/>
      <w:marBottom w:val="0"/>
      <w:divBdr>
        <w:top w:val="none" w:sz="0" w:space="0" w:color="auto"/>
        <w:left w:val="none" w:sz="0" w:space="0" w:color="auto"/>
        <w:bottom w:val="none" w:sz="0" w:space="0" w:color="auto"/>
        <w:right w:val="none" w:sz="0" w:space="0" w:color="auto"/>
      </w:divBdr>
    </w:div>
    <w:div w:id="1107769151">
      <w:bodyDiv w:val="1"/>
      <w:marLeft w:val="0"/>
      <w:marRight w:val="0"/>
      <w:marTop w:val="0"/>
      <w:marBottom w:val="0"/>
      <w:divBdr>
        <w:top w:val="none" w:sz="0" w:space="0" w:color="auto"/>
        <w:left w:val="none" w:sz="0" w:space="0" w:color="auto"/>
        <w:bottom w:val="none" w:sz="0" w:space="0" w:color="auto"/>
        <w:right w:val="none" w:sz="0" w:space="0" w:color="auto"/>
      </w:divBdr>
    </w:div>
    <w:div w:id="1110324106">
      <w:bodyDiv w:val="1"/>
      <w:marLeft w:val="0"/>
      <w:marRight w:val="0"/>
      <w:marTop w:val="0"/>
      <w:marBottom w:val="0"/>
      <w:divBdr>
        <w:top w:val="none" w:sz="0" w:space="0" w:color="auto"/>
        <w:left w:val="none" w:sz="0" w:space="0" w:color="auto"/>
        <w:bottom w:val="none" w:sz="0" w:space="0" w:color="auto"/>
        <w:right w:val="none" w:sz="0" w:space="0" w:color="auto"/>
      </w:divBdr>
    </w:div>
    <w:div w:id="1136752567">
      <w:bodyDiv w:val="1"/>
      <w:marLeft w:val="0"/>
      <w:marRight w:val="0"/>
      <w:marTop w:val="0"/>
      <w:marBottom w:val="0"/>
      <w:divBdr>
        <w:top w:val="none" w:sz="0" w:space="0" w:color="auto"/>
        <w:left w:val="none" w:sz="0" w:space="0" w:color="auto"/>
        <w:bottom w:val="none" w:sz="0" w:space="0" w:color="auto"/>
        <w:right w:val="none" w:sz="0" w:space="0" w:color="auto"/>
      </w:divBdr>
    </w:div>
    <w:div w:id="1146046656">
      <w:bodyDiv w:val="1"/>
      <w:marLeft w:val="0"/>
      <w:marRight w:val="0"/>
      <w:marTop w:val="0"/>
      <w:marBottom w:val="0"/>
      <w:divBdr>
        <w:top w:val="none" w:sz="0" w:space="0" w:color="auto"/>
        <w:left w:val="none" w:sz="0" w:space="0" w:color="auto"/>
        <w:bottom w:val="none" w:sz="0" w:space="0" w:color="auto"/>
        <w:right w:val="none" w:sz="0" w:space="0" w:color="auto"/>
      </w:divBdr>
    </w:div>
    <w:div w:id="1147278446">
      <w:bodyDiv w:val="1"/>
      <w:marLeft w:val="0"/>
      <w:marRight w:val="0"/>
      <w:marTop w:val="0"/>
      <w:marBottom w:val="0"/>
      <w:divBdr>
        <w:top w:val="none" w:sz="0" w:space="0" w:color="auto"/>
        <w:left w:val="none" w:sz="0" w:space="0" w:color="auto"/>
        <w:bottom w:val="none" w:sz="0" w:space="0" w:color="auto"/>
        <w:right w:val="none" w:sz="0" w:space="0" w:color="auto"/>
      </w:divBdr>
    </w:div>
    <w:div w:id="1204830940">
      <w:bodyDiv w:val="1"/>
      <w:marLeft w:val="0"/>
      <w:marRight w:val="0"/>
      <w:marTop w:val="0"/>
      <w:marBottom w:val="0"/>
      <w:divBdr>
        <w:top w:val="none" w:sz="0" w:space="0" w:color="auto"/>
        <w:left w:val="none" w:sz="0" w:space="0" w:color="auto"/>
        <w:bottom w:val="none" w:sz="0" w:space="0" w:color="auto"/>
        <w:right w:val="none" w:sz="0" w:space="0" w:color="auto"/>
      </w:divBdr>
    </w:div>
    <w:div w:id="1211069920">
      <w:bodyDiv w:val="1"/>
      <w:marLeft w:val="0"/>
      <w:marRight w:val="0"/>
      <w:marTop w:val="0"/>
      <w:marBottom w:val="0"/>
      <w:divBdr>
        <w:top w:val="none" w:sz="0" w:space="0" w:color="auto"/>
        <w:left w:val="none" w:sz="0" w:space="0" w:color="auto"/>
        <w:bottom w:val="none" w:sz="0" w:space="0" w:color="auto"/>
        <w:right w:val="none" w:sz="0" w:space="0" w:color="auto"/>
      </w:divBdr>
      <w:divsChild>
        <w:div w:id="398600086">
          <w:marLeft w:val="547"/>
          <w:marRight w:val="0"/>
          <w:marTop w:val="115"/>
          <w:marBottom w:val="0"/>
          <w:divBdr>
            <w:top w:val="none" w:sz="0" w:space="0" w:color="auto"/>
            <w:left w:val="none" w:sz="0" w:space="0" w:color="auto"/>
            <w:bottom w:val="none" w:sz="0" w:space="0" w:color="auto"/>
            <w:right w:val="none" w:sz="0" w:space="0" w:color="auto"/>
          </w:divBdr>
        </w:div>
        <w:div w:id="906305240">
          <w:marLeft w:val="547"/>
          <w:marRight w:val="0"/>
          <w:marTop w:val="115"/>
          <w:marBottom w:val="0"/>
          <w:divBdr>
            <w:top w:val="none" w:sz="0" w:space="0" w:color="auto"/>
            <w:left w:val="none" w:sz="0" w:space="0" w:color="auto"/>
            <w:bottom w:val="none" w:sz="0" w:space="0" w:color="auto"/>
            <w:right w:val="none" w:sz="0" w:space="0" w:color="auto"/>
          </w:divBdr>
        </w:div>
      </w:divsChild>
    </w:div>
    <w:div w:id="1225489725">
      <w:bodyDiv w:val="1"/>
      <w:marLeft w:val="0"/>
      <w:marRight w:val="0"/>
      <w:marTop w:val="0"/>
      <w:marBottom w:val="0"/>
      <w:divBdr>
        <w:top w:val="none" w:sz="0" w:space="0" w:color="auto"/>
        <w:left w:val="none" w:sz="0" w:space="0" w:color="auto"/>
        <w:bottom w:val="none" w:sz="0" w:space="0" w:color="auto"/>
        <w:right w:val="none" w:sz="0" w:space="0" w:color="auto"/>
      </w:divBdr>
    </w:div>
    <w:div w:id="1225868868">
      <w:bodyDiv w:val="1"/>
      <w:marLeft w:val="0"/>
      <w:marRight w:val="0"/>
      <w:marTop w:val="0"/>
      <w:marBottom w:val="0"/>
      <w:divBdr>
        <w:top w:val="none" w:sz="0" w:space="0" w:color="auto"/>
        <w:left w:val="none" w:sz="0" w:space="0" w:color="auto"/>
        <w:bottom w:val="none" w:sz="0" w:space="0" w:color="auto"/>
        <w:right w:val="none" w:sz="0" w:space="0" w:color="auto"/>
      </w:divBdr>
    </w:div>
    <w:div w:id="1242906537">
      <w:bodyDiv w:val="1"/>
      <w:marLeft w:val="0"/>
      <w:marRight w:val="0"/>
      <w:marTop w:val="0"/>
      <w:marBottom w:val="0"/>
      <w:divBdr>
        <w:top w:val="none" w:sz="0" w:space="0" w:color="auto"/>
        <w:left w:val="none" w:sz="0" w:space="0" w:color="auto"/>
        <w:bottom w:val="none" w:sz="0" w:space="0" w:color="auto"/>
        <w:right w:val="none" w:sz="0" w:space="0" w:color="auto"/>
      </w:divBdr>
    </w:div>
    <w:div w:id="1242910773">
      <w:bodyDiv w:val="1"/>
      <w:marLeft w:val="0"/>
      <w:marRight w:val="0"/>
      <w:marTop w:val="0"/>
      <w:marBottom w:val="0"/>
      <w:divBdr>
        <w:top w:val="none" w:sz="0" w:space="0" w:color="auto"/>
        <w:left w:val="none" w:sz="0" w:space="0" w:color="auto"/>
        <w:bottom w:val="none" w:sz="0" w:space="0" w:color="auto"/>
        <w:right w:val="none" w:sz="0" w:space="0" w:color="auto"/>
      </w:divBdr>
    </w:div>
    <w:div w:id="1257790986">
      <w:bodyDiv w:val="1"/>
      <w:marLeft w:val="0"/>
      <w:marRight w:val="0"/>
      <w:marTop w:val="0"/>
      <w:marBottom w:val="0"/>
      <w:divBdr>
        <w:top w:val="none" w:sz="0" w:space="0" w:color="auto"/>
        <w:left w:val="none" w:sz="0" w:space="0" w:color="auto"/>
        <w:bottom w:val="none" w:sz="0" w:space="0" w:color="auto"/>
        <w:right w:val="none" w:sz="0" w:space="0" w:color="auto"/>
      </w:divBdr>
    </w:div>
    <w:div w:id="1298949094">
      <w:bodyDiv w:val="1"/>
      <w:marLeft w:val="0"/>
      <w:marRight w:val="0"/>
      <w:marTop w:val="0"/>
      <w:marBottom w:val="0"/>
      <w:divBdr>
        <w:top w:val="none" w:sz="0" w:space="0" w:color="auto"/>
        <w:left w:val="none" w:sz="0" w:space="0" w:color="auto"/>
        <w:bottom w:val="none" w:sz="0" w:space="0" w:color="auto"/>
        <w:right w:val="none" w:sz="0" w:space="0" w:color="auto"/>
      </w:divBdr>
    </w:div>
    <w:div w:id="1311865611">
      <w:bodyDiv w:val="1"/>
      <w:marLeft w:val="0"/>
      <w:marRight w:val="0"/>
      <w:marTop w:val="0"/>
      <w:marBottom w:val="0"/>
      <w:divBdr>
        <w:top w:val="none" w:sz="0" w:space="0" w:color="auto"/>
        <w:left w:val="none" w:sz="0" w:space="0" w:color="auto"/>
        <w:bottom w:val="none" w:sz="0" w:space="0" w:color="auto"/>
        <w:right w:val="none" w:sz="0" w:space="0" w:color="auto"/>
      </w:divBdr>
    </w:div>
    <w:div w:id="1312903526">
      <w:bodyDiv w:val="1"/>
      <w:marLeft w:val="0"/>
      <w:marRight w:val="0"/>
      <w:marTop w:val="0"/>
      <w:marBottom w:val="0"/>
      <w:divBdr>
        <w:top w:val="none" w:sz="0" w:space="0" w:color="auto"/>
        <w:left w:val="none" w:sz="0" w:space="0" w:color="auto"/>
        <w:bottom w:val="none" w:sz="0" w:space="0" w:color="auto"/>
        <w:right w:val="none" w:sz="0" w:space="0" w:color="auto"/>
      </w:divBdr>
    </w:div>
    <w:div w:id="1341859761">
      <w:bodyDiv w:val="1"/>
      <w:marLeft w:val="0"/>
      <w:marRight w:val="0"/>
      <w:marTop w:val="0"/>
      <w:marBottom w:val="0"/>
      <w:divBdr>
        <w:top w:val="none" w:sz="0" w:space="0" w:color="auto"/>
        <w:left w:val="none" w:sz="0" w:space="0" w:color="auto"/>
        <w:bottom w:val="none" w:sz="0" w:space="0" w:color="auto"/>
        <w:right w:val="none" w:sz="0" w:space="0" w:color="auto"/>
      </w:divBdr>
    </w:div>
    <w:div w:id="1366515663">
      <w:bodyDiv w:val="1"/>
      <w:marLeft w:val="0"/>
      <w:marRight w:val="0"/>
      <w:marTop w:val="0"/>
      <w:marBottom w:val="0"/>
      <w:divBdr>
        <w:top w:val="none" w:sz="0" w:space="0" w:color="auto"/>
        <w:left w:val="none" w:sz="0" w:space="0" w:color="auto"/>
        <w:bottom w:val="none" w:sz="0" w:space="0" w:color="auto"/>
        <w:right w:val="none" w:sz="0" w:space="0" w:color="auto"/>
      </w:divBdr>
    </w:div>
    <w:div w:id="1372805115">
      <w:bodyDiv w:val="1"/>
      <w:marLeft w:val="0"/>
      <w:marRight w:val="0"/>
      <w:marTop w:val="0"/>
      <w:marBottom w:val="0"/>
      <w:divBdr>
        <w:top w:val="none" w:sz="0" w:space="0" w:color="auto"/>
        <w:left w:val="none" w:sz="0" w:space="0" w:color="auto"/>
        <w:bottom w:val="none" w:sz="0" w:space="0" w:color="auto"/>
        <w:right w:val="none" w:sz="0" w:space="0" w:color="auto"/>
      </w:divBdr>
    </w:div>
    <w:div w:id="1377705838">
      <w:bodyDiv w:val="1"/>
      <w:marLeft w:val="0"/>
      <w:marRight w:val="0"/>
      <w:marTop w:val="0"/>
      <w:marBottom w:val="0"/>
      <w:divBdr>
        <w:top w:val="none" w:sz="0" w:space="0" w:color="auto"/>
        <w:left w:val="none" w:sz="0" w:space="0" w:color="auto"/>
        <w:bottom w:val="none" w:sz="0" w:space="0" w:color="auto"/>
        <w:right w:val="none" w:sz="0" w:space="0" w:color="auto"/>
      </w:divBdr>
      <w:divsChild>
        <w:div w:id="21905361">
          <w:marLeft w:val="835"/>
          <w:marRight w:val="0"/>
          <w:marTop w:val="96"/>
          <w:marBottom w:val="0"/>
          <w:divBdr>
            <w:top w:val="none" w:sz="0" w:space="0" w:color="auto"/>
            <w:left w:val="none" w:sz="0" w:space="0" w:color="auto"/>
            <w:bottom w:val="none" w:sz="0" w:space="0" w:color="auto"/>
            <w:right w:val="none" w:sz="0" w:space="0" w:color="auto"/>
          </w:divBdr>
        </w:div>
        <w:div w:id="165171759">
          <w:marLeft w:val="835"/>
          <w:marRight w:val="0"/>
          <w:marTop w:val="96"/>
          <w:marBottom w:val="0"/>
          <w:divBdr>
            <w:top w:val="none" w:sz="0" w:space="0" w:color="auto"/>
            <w:left w:val="none" w:sz="0" w:space="0" w:color="auto"/>
            <w:bottom w:val="none" w:sz="0" w:space="0" w:color="auto"/>
            <w:right w:val="none" w:sz="0" w:space="0" w:color="auto"/>
          </w:divBdr>
        </w:div>
        <w:div w:id="448623377">
          <w:marLeft w:val="835"/>
          <w:marRight w:val="0"/>
          <w:marTop w:val="96"/>
          <w:marBottom w:val="0"/>
          <w:divBdr>
            <w:top w:val="none" w:sz="0" w:space="0" w:color="auto"/>
            <w:left w:val="none" w:sz="0" w:space="0" w:color="auto"/>
            <w:bottom w:val="none" w:sz="0" w:space="0" w:color="auto"/>
            <w:right w:val="none" w:sz="0" w:space="0" w:color="auto"/>
          </w:divBdr>
        </w:div>
        <w:div w:id="646125663">
          <w:marLeft w:val="835"/>
          <w:marRight w:val="0"/>
          <w:marTop w:val="96"/>
          <w:marBottom w:val="0"/>
          <w:divBdr>
            <w:top w:val="none" w:sz="0" w:space="0" w:color="auto"/>
            <w:left w:val="none" w:sz="0" w:space="0" w:color="auto"/>
            <w:bottom w:val="none" w:sz="0" w:space="0" w:color="auto"/>
            <w:right w:val="none" w:sz="0" w:space="0" w:color="auto"/>
          </w:divBdr>
        </w:div>
        <w:div w:id="727143310">
          <w:marLeft w:val="835"/>
          <w:marRight w:val="0"/>
          <w:marTop w:val="96"/>
          <w:marBottom w:val="0"/>
          <w:divBdr>
            <w:top w:val="none" w:sz="0" w:space="0" w:color="auto"/>
            <w:left w:val="none" w:sz="0" w:space="0" w:color="auto"/>
            <w:bottom w:val="none" w:sz="0" w:space="0" w:color="auto"/>
            <w:right w:val="none" w:sz="0" w:space="0" w:color="auto"/>
          </w:divBdr>
        </w:div>
        <w:div w:id="966204087">
          <w:marLeft w:val="835"/>
          <w:marRight w:val="0"/>
          <w:marTop w:val="96"/>
          <w:marBottom w:val="0"/>
          <w:divBdr>
            <w:top w:val="none" w:sz="0" w:space="0" w:color="auto"/>
            <w:left w:val="none" w:sz="0" w:space="0" w:color="auto"/>
            <w:bottom w:val="none" w:sz="0" w:space="0" w:color="auto"/>
            <w:right w:val="none" w:sz="0" w:space="0" w:color="auto"/>
          </w:divBdr>
        </w:div>
        <w:div w:id="1251045019">
          <w:marLeft w:val="835"/>
          <w:marRight w:val="0"/>
          <w:marTop w:val="96"/>
          <w:marBottom w:val="0"/>
          <w:divBdr>
            <w:top w:val="none" w:sz="0" w:space="0" w:color="auto"/>
            <w:left w:val="none" w:sz="0" w:space="0" w:color="auto"/>
            <w:bottom w:val="none" w:sz="0" w:space="0" w:color="auto"/>
            <w:right w:val="none" w:sz="0" w:space="0" w:color="auto"/>
          </w:divBdr>
        </w:div>
      </w:divsChild>
    </w:div>
    <w:div w:id="1389959541">
      <w:bodyDiv w:val="1"/>
      <w:marLeft w:val="0"/>
      <w:marRight w:val="0"/>
      <w:marTop w:val="0"/>
      <w:marBottom w:val="0"/>
      <w:divBdr>
        <w:top w:val="none" w:sz="0" w:space="0" w:color="auto"/>
        <w:left w:val="none" w:sz="0" w:space="0" w:color="auto"/>
        <w:bottom w:val="none" w:sz="0" w:space="0" w:color="auto"/>
        <w:right w:val="none" w:sz="0" w:space="0" w:color="auto"/>
      </w:divBdr>
    </w:div>
    <w:div w:id="1402943177">
      <w:bodyDiv w:val="1"/>
      <w:marLeft w:val="0"/>
      <w:marRight w:val="0"/>
      <w:marTop w:val="0"/>
      <w:marBottom w:val="0"/>
      <w:divBdr>
        <w:top w:val="none" w:sz="0" w:space="0" w:color="auto"/>
        <w:left w:val="none" w:sz="0" w:space="0" w:color="auto"/>
        <w:bottom w:val="none" w:sz="0" w:space="0" w:color="auto"/>
        <w:right w:val="none" w:sz="0" w:space="0" w:color="auto"/>
      </w:divBdr>
    </w:div>
    <w:div w:id="1407410906">
      <w:bodyDiv w:val="1"/>
      <w:marLeft w:val="0"/>
      <w:marRight w:val="0"/>
      <w:marTop w:val="0"/>
      <w:marBottom w:val="0"/>
      <w:divBdr>
        <w:top w:val="none" w:sz="0" w:space="0" w:color="auto"/>
        <w:left w:val="none" w:sz="0" w:space="0" w:color="auto"/>
        <w:bottom w:val="none" w:sz="0" w:space="0" w:color="auto"/>
        <w:right w:val="none" w:sz="0" w:space="0" w:color="auto"/>
      </w:divBdr>
      <w:divsChild>
        <w:div w:id="100338811">
          <w:marLeft w:val="720"/>
          <w:marRight w:val="0"/>
          <w:marTop w:val="86"/>
          <w:marBottom w:val="0"/>
          <w:divBdr>
            <w:top w:val="none" w:sz="0" w:space="0" w:color="auto"/>
            <w:left w:val="none" w:sz="0" w:space="0" w:color="auto"/>
            <w:bottom w:val="none" w:sz="0" w:space="0" w:color="auto"/>
            <w:right w:val="none" w:sz="0" w:space="0" w:color="auto"/>
          </w:divBdr>
        </w:div>
        <w:div w:id="1073237636">
          <w:marLeft w:val="720"/>
          <w:marRight w:val="0"/>
          <w:marTop w:val="86"/>
          <w:marBottom w:val="0"/>
          <w:divBdr>
            <w:top w:val="none" w:sz="0" w:space="0" w:color="auto"/>
            <w:left w:val="none" w:sz="0" w:space="0" w:color="auto"/>
            <w:bottom w:val="none" w:sz="0" w:space="0" w:color="auto"/>
            <w:right w:val="none" w:sz="0" w:space="0" w:color="auto"/>
          </w:divBdr>
        </w:div>
        <w:div w:id="1126236240">
          <w:marLeft w:val="720"/>
          <w:marRight w:val="0"/>
          <w:marTop w:val="86"/>
          <w:marBottom w:val="0"/>
          <w:divBdr>
            <w:top w:val="none" w:sz="0" w:space="0" w:color="auto"/>
            <w:left w:val="none" w:sz="0" w:space="0" w:color="auto"/>
            <w:bottom w:val="none" w:sz="0" w:space="0" w:color="auto"/>
            <w:right w:val="none" w:sz="0" w:space="0" w:color="auto"/>
          </w:divBdr>
        </w:div>
        <w:div w:id="1495560338">
          <w:marLeft w:val="720"/>
          <w:marRight w:val="0"/>
          <w:marTop w:val="86"/>
          <w:marBottom w:val="0"/>
          <w:divBdr>
            <w:top w:val="none" w:sz="0" w:space="0" w:color="auto"/>
            <w:left w:val="none" w:sz="0" w:space="0" w:color="auto"/>
            <w:bottom w:val="none" w:sz="0" w:space="0" w:color="auto"/>
            <w:right w:val="none" w:sz="0" w:space="0" w:color="auto"/>
          </w:divBdr>
        </w:div>
        <w:div w:id="1752002302">
          <w:marLeft w:val="720"/>
          <w:marRight w:val="0"/>
          <w:marTop w:val="86"/>
          <w:marBottom w:val="0"/>
          <w:divBdr>
            <w:top w:val="none" w:sz="0" w:space="0" w:color="auto"/>
            <w:left w:val="none" w:sz="0" w:space="0" w:color="auto"/>
            <w:bottom w:val="none" w:sz="0" w:space="0" w:color="auto"/>
            <w:right w:val="none" w:sz="0" w:space="0" w:color="auto"/>
          </w:divBdr>
        </w:div>
      </w:divsChild>
    </w:div>
    <w:div w:id="1408843583">
      <w:bodyDiv w:val="1"/>
      <w:marLeft w:val="0"/>
      <w:marRight w:val="0"/>
      <w:marTop w:val="0"/>
      <w:marBottom w:val="0"/>
      <w:divBdr>
        <w:top w:val="none" w:sz="0" w:space="0" w:color="auto"/>
        <w:left w:val="none" w:sz="0" w:space="0" w:color="auto"/>
        <w:bottom w:val="none" w:sz="0" w:space="0" w:color="auto"/>
        <w:right w:val="none" w:sz="0" w:space="0" w:color="auto"/>
      </w:divBdr>
    </w:div>
    <w:div w:id="1413967515">
      <w:bodyDiv w:val="1"/>
      <w:marLeft w:val="0"/>
      <w:marRight w:val="0"/>
      <w:marTop w:val="0"/>
      <w:marBottom w:val="0"/>
      <w:divBdr>
        <w:top w:val="none" w:sz="0" w:space="0" w:color="auto"/>
        <w:left w:val="none" w:sz="0" w:space="0" w:color="auto"/>
        <w:bottom w:val="none" w:sz="0" w:space="0" w:color="auto"/>
        <w:right w:val="none" w:sz="0" w:space="0" w:color="auto"/>
      </w:divBdr>
    </w:div>
    <w:div w:id="1428308385">
      <w:bodyDiv w:val="1"/>
      <w:marLeft w:val="0"/>
      <w:marRight w:val="0"/>
      <w:marTop w:val="0"/>
      <w:marBottom w:val="0"/>
      <w:divBdr>
        <w:top w:val="none" w:sz="0" w:space="0" w:color="auto"/>
        <w:left w:val="none" w:sz="0" w:space="0" w:color="auto"/>
        <w:bottom w:val="none" w:sz="0" w:space="0" w:color="auto"/>
        <w:right w:val="none" w:sz="0" w:space="0" w:color="auto"/>
      </w:divBdr>
      <w:divsChild>
        <w:div w:id="341861073">
          <w:marLeft w:val="720"/>
          <w:marRight w:val="0"/>
          <w:marTop w:val="72"/>
          <w:marBottom w:val="0"/>
          <w:divBdr>
            <w:top w:val="none" w:sz="0" w:space="0" w:color="auto"/>
            <w:left w:val="none" w:sz="0" w:space="0" w:color="auto"/>
            <w:bottom w:val="none" w:sz="0" w:space="0" w:color="auto"/>
            <w:right w:val="none" w:sz="0" w:space="0" w:color="auto"/>
          </w:divBdr>
        </w:div>
        <w:div w:id="365109084">
          <w:marLeft w:val="720"/>
          <w:marRight w:val="0"/>
          <w:marTop w:val="72"/>
          <w:marBottom w:val="0"/>
          <w:divBdr>
            <w:top w:val="none" w:sz="0" w:space="0" w:color="auto"/>
            <w:left w:val="none" w:sz="0" w:space="0" w:color="auto"/>
            <w:bottom w:val="none" w:sz="0" w:space="0" w:color="auto"/>
            <w:right w:val="none" w:sz="0" w:space="0" w:color="auto"/>
          </w:divBdr>
        </w:div>
        <w:div w:id="750196740">
          <w:marLeft w:val="720"/>
          <w:marRight w:val="0"/>
          <w:marTop w:val="72"/>
          <w:marBottom w:val="0"/>
          <w:divBdr>
            <w:top w:val="none" w:sz="0" w:space="0" w:color="auto"/>
            <w:left w:val="none" w:sz="0" w:space="0" w:color="auto"/>
            <w:bottom w:val="none" w:sz="0" w:space="0" w:color="auto"/>
            <w:right w:val="none" w:sz="0" w:space="0" w:color="auto"/>
          </w:divBdr>
        </w:div>
        <w:div w:id="888028504">
          <w:marLeft w:val="720"/>
          <w:marRight w:val="0"/>
          <w:marTop w:val="72"/>
          <w:marBottom w:val="0"/>
          <w:divBdr>
            <w:top w:val="none" w:sz="0" w:space="0" w:color="auto"/>
            <w:left w:val="none" w:sz="0" w:space="0" w:color="auto"/>
            <w:bottom w:val="none" w:sz="0" w:space="0" w:color="auto"/>
            <w:right w:val="none" w:sz="0" w:space="0" w:color="auto"/>
          </w:divBdr>
        </w:div>
        <w:div w:id="1129057569">
          <w:marLeft w:val="720"/>
          <w:marRight w:val="0"/>
          <w:marTop w:val="72"/>
          <w:marBottom w:val="0"/>
          <w:divBdr>
            <w:top w:val="none" w:sz="0" w:space="0" w:color="auto"/>
            <w:left w:val="none" w:sz="0" w:space="0" w:color="auto"/>
            <w:bottom w:val="none" w:sz="0" w:space="0" w:color="auto"/>
            <w:right w:val="none" w:sz="0" w:space="0" w:color="auto"/>
          </w:divBdr>
        </w:div>
        <w:div w:id="1232085576">
          <w:marLeft w:val="720"/>
          <w:marRight w:val="0"/>
          <w:marTop w:val="72"/>
          <w:marBottom w:val="0"/>
          <w:divBdr>
            <w:top w:val="none" w:sz="0" w:space="0" w:color="auto"/>
            <w:left w:val="none" w:sz="0" w:space="0" w:color="auto"/>
            <w:bottom w:val="none" w:sz="0" w:space="0" w:color="auto"/>
            <w:right w:val="none" w:sz="0" w:space="0" w:color="auto"/>
          </w:divBdr>
        </w:div>
        <w:div w:id="1586037589">
          <w:marLeft w:val="720"/>
          <w:marRight w:val="0"/>
          <w:marTop w:val="72"/>
          <w:marBottom w:val="0"/>
          <w:divBdr>
            <w:top w:val="none" w:sz="0" w:space="0" w:color="auto"/>
            <w:left w:val="none" w:sz="0" w:space="0" w:color="auto"/>
            <w:bottom w:val="none" w:sz="0" w:space="0" w:color="auto"/>
            <w:right w:val="none" w:sz="0" w:space="0" w:color="auto"/>
          </w:divBdr>
        </w:div>
        <w:div w:id="1667780401">
          <w:marLeft w:val="720"/>
          <w:marRight w:val="0"/>
          <w:marTop w:val="72"/>
          <w:marBottom w:val="0"/>
          <w:divBdr>
            <w:top w:val="none" w:sz="0" w:space="0" w:color="auto"/>
            <w:left w:val="none" w:sz="0" w:space="0" w:color="auto"/>
            <w:bottom w:val="none" w:sz="0" w:space="0" w:color="auto"/>
            <w:right w:val="none" w:sz="0" w:space="0" w:color="auto"/>
          </w:divBdr>
        </w:div>
        <w:div w:id="1841384165">
          <w:marLeft w:val="720"/>
          <w:marRight w:val="0"/>
          <w:marTop w:val="72"/>
          <w:marBottom w:val="0"/>
          <w:divBdr>
            <w:top w:val="none" w:sz="0" w:space="0" w:color="auto"/>
            <w:left w:val="none" w:sz="0" w:space="0" w:color="auto"/>
            <w:bottom w:val="none" w:sz="0" w:space="0" w:color="auto"/>
            <w:right w:val="none" w:sz="0" w:space="0" w:color="auto"/>
          </w:divBdr>
        </w:div>
        <w:div w:id="1935092249">
          <w:marLeft w:val="720"/>
          <w:marRight w:val="0"/>
          <w:marTop w:val="72"/>
          <w:marBottom w:val="0"/>
          <w:divBdr>
            <w:top w:val="none" w:sz="0" w:space="0" w:color="auto"/>
            <w:left w:val="none" w:sz="0" w:space="0" w:color="auto"/>
            <w:bottom w:val="none" w:sz="0" w:space="0" w:color="auto"/>
            <w:right w:val="none" w:sz="0" w:space="0" w:color="auto"/>
          </w:divBdr>
        </w:div>
        <w:div w:id="1964312342">
          <w:marLeft w:val="720"/>
          <w:marRight w:val="0"/>
          <w:marTop w:val="72"/>
          <w:marBottom w:val="0"/>
          <w:divBdr>
            <w:top w:val="none" w:sz="0" w:space="0" w:color="auto"/>
            <w:left w:val="none" w:sz="0" w:space="0" w:color="auto"/>
            <w:bottom w:val="none" w:sz="0" w:space="0" w:color="auto"/>
            <w:right w:val="none" w:sz="0" w:space="0" w:color="auto"/>
          </w:divBdr>
        </w:div>
        <w:div w:id="1985693186">
          <w:marLeft w:val="720"/>
          <w:marRight w:val="0"/>
          <w:marTop w:val="72"/>
          <w:marBottom w:val="0"/>
          <w:divBdr>
            <w:top w:val="none" w:sz="0" w:space="0" w:color="auto"/>
            <w:left w:val="none" w:sz="0" w:space="0" w:color="auto"/>
            <w:bottom w:val="none" w:sz="0" w:space="0" w:color="auto"/>
            <w:right w:val="none" w:sz="0" w:space="0" w:color="auto"/>
          </w:divBdr>
        </w:div>
      </w:divsChild>
    </w:div>
    <w:div w:id="1441754917">
      <w:bodyDiv w:val="1"/>
      <w:marLeft w:val="0"/>
      <w:marRight w:val="0"/>
      <w:marTop w:val="0"/>
      <w:marBottom w:val="0"/>
      <w:divBdr>
        <w:top w:val="none" w:sz="0" w:space="0" w:color="auto"/>
        <w:left w:val="none" w:sz="0" w:space="0" w:color="auto"/>
        <w:bottom w:val="none" w:sz="0" w:space="0" w:color="auto"/>
        <w:right w:val="none" w:sz="0" w:space="0" w:color="auto"/>
      </w:divBdr>
    </w:div>
    <w:div w:id="1474370640">
      <w:bodyDiv w:val="1"/>
      <w:marLeft w:val="0"/>
      <w:marRight w:val="0"/>
      <w:marTop w:val="0"/>
      <w:marBottom w:val="0"/>
      <w:divBdr>
        <w:top w:val="none" w:sz="0" w:space="0" w:color="auto"/>
        <w:left w:val="none" w:sz="0" w:space="0" w:color="auto"/>
        <w:bottom w:val="none" w:sz="0" w:space="0" w:color="auto"/>
        <w:right w:val="none" w:sz="0" w:space="0" w:color="auto"/>
      </w:divBdr>
      <w:divsChild>
        <w:div w:id="1140464830">
          <w:marLeft w:val="720"/>
          <w:marRight w:val="0"/>
          <w:marTop w:val="72"/>
          <w:marBottom w:val="0"/>
          <w:divBdr>
            <w:top w:val="none" w:sz="0" w:space="0" w:color="auto"/>
            <w:left w:val="none" w:sz="0" w:space="0" w:color="auto"/>
            <w:bottom w:val="none" w:sz="0" w:space="0" w:color="auto"/>
            <w:right w:val="none" w:sz="0" w:space="0" w:color="auto"/>
          </w:divBdr>
        </w:div>
        <w:div w:id="1344933566">
          <w:marLeft w:val="720"/>
          <w:marRight w:val="0"/>
          <w:marTop w:val="72"/>
          <w:marBottom w:val="0"/>
          <w:divBdr>
            <w:top w:val="none" w:sz="0" w:space="0" w:color="auto"/>
            <w:left w:val="none" w:sz="0" w:space="0" w:color="auto"/>
            <w:bottom w:val="none" w:sz="0" w:space="0" w:color="auto"/>
            <w:right w:val="none" w:sz="0" w:space="0" w:color="auto"/>
          </w:divBdr>
        </w:div>
        <w:div w:id="1651210144">
          <w:marLeft w:val="720"/>
          <w:marRight w:val="0"/>
          <w:marTop w:val="72"/>
          <w:marBottom w:val="0"/>
          <w:divBdr>
            <w:top w:val="none" w:sz="0" w:space="0" w:color="auto"/>
            <w:left w:val="none" w:sz="0" w:space="0" w:color="auto"/>
            <w:bottom w:val="none" w:sz="0" w:space="0" w:color="auto"/>
            <w:right w:val="none" w:sz="0" w:space="0" w:color="auto"/>
          </w:divBdr>
        </w:div>
        <w:div w:id="1522891780">
          <w:marLeft w:val="720"/>
          <w:marRight w:val="0"/>
          <w:marTop w:val="72"/>
          <w:marBottom w:val="0"/>
          <w:divBdr>
            <w:top w:val="none" w:sz="0" w:space="0" w:color="auto"/>
            <w:left w:val="none" w:sz="0" w:space="0" w:color="auto"/>
            <w:bottom w:val="none" w:sz="0" w:space="0" w:color="auto"/>
            <w:right w:val="none" w:sz="0" w:space="0" w:color="auto"/>
          </w:divBdr>
        </w:div>
      </w:divsChild>
    </w:div>
    <w:div w:id="1507161892">
      <w:bodyDiv w:val="1"/>
      <w:marLeft w:val="0"/>
      <w:marRight w:val="0"/>
      <w:marTop w:val="0"/>
      <w:marBottom w:val="0"/>
      <w:divBdr>
        <w:top w:val="none" w:sz="0" w:space="0" w:color="auto"/>
        <w:left w:val="none" w:sz="0" w:space="0" w:color="auto"/>
        <w:bottom w:val="none" w:sz="0" w:space="0" w:color="auto"/>
        <w:right w:val="none" w:sz="0" w:space="0" w:color="auto"/>
      </w:divBdr>
      <w:divsChild>
        <w:div w:id="1825585700">
          <w:marLeft w:val="547"/>
          <w:marRight w:val="0"/>
          <w:marTop w:val="120"/>
          <w:marBottom w:val="0"/>
          <w:divBdr>
            <w:top w:val="none" w:sz="0" w:space="0" w:color="auto"/>
            <w:left w:val="none" w:sz="0" w:space="0" w:color="auto"/>
            <w:bottom w:val="none" w:sz="0" w:space="0" w:color="auto"/>
            <w:right w:val="none" w:sz="0" w:space="0" w:color="auto"/>
          </w:divBdr>
        </w:div>
        <w:div w:id="1845122057">
          <w:marLeft w:val="1166"/>
          <w:marRight w:val="0"/>
          <w:marTop w:val="120"/>
          <w:marBottom w:val="0"/>
          <w:divBdr>
            <w:top w:val="none" w:sz="0" w:space="0" w:color="auto"/>
            <w:left w:val="none" w:sz="0" w:space="0" w:color="auto"/>
            <w:bottom w:val="none" w:sz="0" w:space="0" w:color="auto"/>
            <w:right w:val="none" w:sz="0" w:space="0" w:color="auto"/>
          </w:divBdr>
        </w:div>
        <w:div w:id="258606743">
          <w:marLeft w:val="1166"/>
          <w:marRight w:val="0"/>
          <w:marTop w:val="120"/>
          <w:marBottom w:val="0"/>
          <w:divBdr>
            <w:top w:val="none" w:sz="0" w:space="0" w:color="auto"/>
            <w:left w:val="none" w:sz="0" w:space="0" w:color="auto"/>
            <w:bottom w:val="none" w:sz="0" w:space="0" w:color="auto"/>
            <w:right w:val="none" w:sz="0" w:space="0" w:color="auto"/>
          </w:divBdr>
        </w:div>
      </w:divsChild>
    </w:div>
    <w:div w:id="1521430163">
      <w:bodyDiv w:val="1"/>
      <w:marLeft w:val="0"/>
      <w:marRight w:val="0"/>
      <w:marTop w:val="0"/>
      <w:marBottom w:val="0"/>
      <w:divBdr>
        <w:top w:val="none" w:sz="0" w:space="0" w:color="auto"/>
        <w:left w:val="none" w:sz="0" w:space="0" w:color="auto"/>
        <w:bottom w:val="none" w:sz="0" w:space="0" w:color="auto"/>
        <w:right w:val="none" w:sz="0" w:space="0" w:color="auto"/>
      </w:divBdr>
    </w:div>
    <w:div w:id="1548487610">
      <w:bodyDiv w:val="1"/>
      <w:marLeft w:val="0"/>
      <w:marRight w:val="0"/>
      <w:marTop w:val="0"/>
      <w:marBottom w:val="0"/>
      <w:divBdr>
        <w:top w:val="none" w:sz="0" w:space="0" w:color="auto"/>
        <w:left w:val="none" w:sz="0" w:space="0" w:color="auto"/>
        <w:bottom w:val="none" w:sz="0" w:space="0" w:color="auto"/>
        <w:right w:val="none" w:sz="0" w:space="0" w:color="auto"/>
      </w:divBdr>
    </w:div>
    <w:div w:id="1562331143">
      <w:bodyDiv w:val="1"/>
      <w:marLeft w:val="0"/>
      <w:marRight w:val="0"/>
      <w:marTop w:val="0"/>
      <w:marBottom w:val="0"/>
      <w:divBdr>
        <w:top w:val="none" w:sz="0" w:space="0" w:color="auto"/>
        <w:left w:val="none" w:sz="0" w:space="0" w:color="auto"/>
        <w:bottom w:val="none" w:sz="0" w:space="0" w:color="auto"/>
        <w:right w:val="none" w:sz="0" w:space="0" w:color="auto"/>
      </w:divBdr>
      <w:divsChild>
        <w:div w:id="934552568">
          <w:marLeft w:val="850"/>
          <w:marRight w:val="0"/>
          <w:marTop w:val="0"/>
          <w:marBottom w:val="0"/>
          <w:divBdr>
            <w:top w:val="none" w:sz="0" w:space="0" w:color="auto"/>
            <w:left w:val="none" w:sz="0" w:space="0" w:color="auto"/>
            <w:bottom w:val="none" w:sz="0" w:space="0" w:color="auto"/>
            <w:right w:val="none" w:sz="0" w:space="0" w:color="auto"/>
          </w:divBdr>
        </w:div>
        <w:div w:id="1376539308">
          <w:marLeft w:val="850"/>
          <w:marRight w:val="0"/>
          <w:marTop w:val="0"/>
          <w:marBottom w:val="0"/>
          <w:divBdr>
            <w:top w:val="none" w:sz="0" w:space="0" w:color="auto"/>
            <w:left w:val="none" w:sz="0" w:space="0" w:color="auto"/>
            <w:bottom w:val="none" w:sz="0" w:space="0" w:color="auto"/>
            <w:right w:val="none" w:sz="0" w:space="0" w:color="auto"/>
          </w:divBdr>
        </w:div>
        <w:div w:id="1664972327">
          <w:marLeft w:val="850"/>
          <w:marRight w:val="0"/>
          <w:marTop w:val="0"/>
          <w:marBottom w:val="0"/>
          <w:divBdr>
            <w:top w:val="none" w:sz="0" w:space="0" w:color="auto"/>
            <w:left w:val="none" w:sz="0" w:space="0" w:color="auto"/>
            <w:bottom w:val="none" w:sz="0" w:space="0" w:color="auto"/>
            <w:right w:val="none" w:sz="0" w:space="0" w:color="auto"/>
          </w:divBdr>
        </w:div>
        <w:div w:id="1969504637">
          <w:marLeft w:val="850"/>
          <w:marRight w:val="0"/>
          <w:marTop w:val="0"/>
          <w:marBottom w:val="0"/>
          <w:divBdr>
            <w:top w:val="none" w:sz="0" w:space="0" w:color="auto"/>
            <w:left w:val="none" w:sz="0" w:space="0" w:color="auto"/>
            <w:bottom w:val="none" w:sz="0" w:space="0" w:color="auto"/>
            <w:right w:val="none" w:sz="0" w:space="0" w:color="auto"/>
          </w:divBdr>
        </w:div>
        <w:div w:id="1979215381">
          <w:marLeft w:val="850"/>
          <w:marRight w:val="0"/>
          <w:marTop w:val="0"/>
          <w:marBottom w:val="0"/>
          <w:divBdr>
            <w:top w:val="none" w:sz="0" w:space="0" w:color="auto"/>
            <w:left w:val="none" w:sz="0" w:space="0" w:color="auto"/>
            <w:bottom w:val="none" w:sz="0" w:space="0" w:color="auto"/>
            <w:right w:val="none" w:sz="0" w:space="0" w:color="auto"/>
          </w:divBdr>
        </w:div>
      </w:divsChild>
    </w:div>
    <w:div w:id="1563171964">
      <w:bodyDiv w:val="1"/>
      <w:marLeft w:val="0"/>
      <w:marRight w:val="0"/>
      <w:marTop w:val="0"/>
      <w:marBottom w:val="0"/>
      <w:divBdr>
        <w:top w:val="none" w:sz="0" w:space="0" w:color="auto"/>
        <w:left w:val="none" w:sz="0" w:space="0" w:color="auto"/>
        <w:bottom w:val="none" w:sz="0" w:space="0" w:color="auto"/>
        <w:right w:val="none" w:sz="0" w:space="0" w:color="auto"/>
      </w:divBdr>
    </w:div>
    <w:div w:id="1576889635">
      <w:bodyDiv w:val="1"/>
      <w:marLeft w:val="0"/>
      <w:marRight w:val="0"/>
      <w:marTop w:val="0"/>
      <w:marBottom w:val="0"/>
      <w:divBdr>
        <w:top w:val="none" w:sz="0" w:space="0" w:color="auto"/>
        <w:left w:val="none" w:sz="0" w:space="0" w:color="auto"/>
        <w:bottom w:val="none" w:sz="0" w:space="0" w:color="auto"/>
        <w:right w:val="none" w:sz="0" w:space="0" w:color="auto"/>
      </w:divBdr>
    </w:div>
    <w:div w:id="1586526874">
      <w:bodyDiv w:val="1"/>
      <w:marLeft w:val="0"/>
      <w:marRight w:val="0"/>
      <w:marTop w:val="0"/>
      <w:marBottom w:val="0"/>
      <w:divBdr>
        <w:top w:val="none" w:sz="0" w:space="0" w:color="auto"/>
        <w:left w:val="none" w:sz="0" w:space="0" w:color="auto"/>
        <w:bottom w:val="none" w:sz="0" w:space="0" w:color="auto"/>
        <w:right w:val="none" w:sz="0" w:space="0" w:color="auto"/>
      </w:divBdr>
    </w:div>
    <w:div w:id="1602685841">
      <w:bodyDiv w:val="1"/>
      <w:marLeft w:val="0"/>
      <w:marRight w:val="0"/>
      <w:marTop w:val="0"/>
      <w:marBottom w:val="0"/>
      <w:divBdr>
        <w:top w:val="none" w:sz="0" w:space="0" w:color="auto"/>
        <w:left w:val="none" w:sz="0" w:space="0" w:color="auto"/>
        <w:bottom w:val="none" w:sz="0" w:space="0" w:color="auto"/>
        <w:right w:val="none" w:sz="0" w:space="0" w:color="auto"/>
      </w:divBdr>
    </w:div>
    <w:div w:id="1612321077">
      <w:bodyDiv w:val="1"/>
      <w:marLeft w:val="0"/>
      <w:marRight w:val="0"/>
      <w:marTop w:val="0"/>
      <w:marBottom w:val="0"/>
      <w:divBdr>
        <w:top w:val="none" w:sz="0" w:space="0" w:color="auto"/>
        <w:left w:val="none" w:sz="0" w:space="0" w:color="auto"/>
        <w:bottom w:val="none" w:sz="0" w:space="0" w:color="auto"/>
        <w:right w:val="none" w:sz="0" w:space="0" w:color="auto"/>
      </w:divBdr>
    </w:div>
    <w:div w:id="1615090210">
      <w:bodyDiv w:val="1"/>
      <w:marLeft w:val="0"/>
      <w:marRight w:val="0"/>
      <w:marTop w:val="0"/>
      <w:marBottom w:val="0"/>
      <w:divBdr>
        <w:top w:val="none" w:sz="0" w:space="0" w:color="auto"/>
        <w:left w:val="none" w:sz="0" w:space="0" w:color="auto"/>
        <w:bottom w:val="none" w:sz="0" w:space="0" w:color="auto"/>
        <w:right w:val="none" w:sz="0" w:space="0" w:color="auto"/>
      </w:divBdr>
    </w:div>
    <w:div w:id="1656372725">
      <w:bodyDiv w:val="1"/>
      <w:marLeft w:val="0"/>
      <w:marRight w:val="0"/>
      <w:marTop w:val="0"/>
      <w:marBottom w:val="0"/>
      <w:divBdr>
        <w:top w:val="none" w:sz="0" w:space="0" w:color="auto"/>
        <w:left w:val="none" w:sz="0" w:space="0" w:color="auto"/>
        <w:bottom w:val="none" w:sz="0" w:space="0" w:color="auto"/>
        <w:right w:val="none" w:sz="0" w:space="0" w:color="auto"/>
      </w:divBdr>
    </w:div>
    <w:div w:id="1667199591">
      <w:bodyDiv w:val="1"/>
      <w:marLeft w:val="0"/>
      <w:marRight w:val="0"/>
      <w:marTop w:val="0"/>
      <w:marBottom w:val="0"/>
      <w:divBdr>
        <w:top w:val="none" w:sz="0" w:space="0" w:color="auto"/>
        <w:left w:val="none" w:sz="0" w:space="0" w:color="auto"/>
        <w:bottom w:val="none" w:sz="0" w:space="0" w:color="auto"/>
        <w:right w:val="none" w:sz="0" w:space="0" w:color="auto"/>
      </w:divBdr>
    </w:div>
    <w:div w:id="1670402666">
      <w:bodyDiv w:val="1"/>
      <w:marLeft w:val="0"/>
      <w:marRight w:val="0"/>
      <w:marTop w:val="0"/>
      <w:marBottom w:val="0"/>
      <w:divBdr>
        <w:top w:val="none" w:sz="0" w:space="0" w:color="auto"/>
        <w:left w:val="none" w:sz="0" w:space="0" w:color="auto"/>
        <w:bottom w:val="none" w:sz="0" w:space="0" w:color="auto"/>
        <w:right w:val="none" w:sz="0" w:space="0" w:color="auto"/>
      </w:divBdr>
    </w:div>
    <w:div w:id="1673872259">
      <w:bodyDiv w:val="1"/>
      <w:marLeft w:val="0"/>
      <w:marRight w:val="0"/>
      <w:marTop w:val="0"/>
      <w:marBottom w:val="0"/>
      <w:divBdr>
        <w:top w:val="none" w:sz="0" w:space="0" w:color="auto"/>
        <w:left w:val="none" w:sz="0" w:space="0" w:color="auto"/>
        <w:bottom w:val="none" w:sz="0" w:space="0" w:color="auto"/>
        <w:right w:val="none" w:sz="0" w:space="0" w:color="auto"/>
      </w:divBdr>
    </w:div>
    <w:div w:id="1690908304">
      <w:bodyDiv w:val="1"/>
      <w:marLeft w:val="0"/>
      <w:marRight w:val="0"/>
      <w:marTop w:val="0"/>
      <w:marBottom w:val="0"/>
      <w:divBdr>
        <w:top w:val="none" w:sz="0" w:space="0" w:color="auto"/>
        <w:left w:val="none" w:sz="0" w:space="0" w:color="auto"/>
        <w:bottom w:val="none" w:sz="0" w:space="0" w:color="auto"/>
        <w:right w:val="none" w:sz="0" w:space="0" w:color="auto"/>
      </w:divBdr>
    </w:div>
    <w:div w:id="1705212435">
      <w:bodyDiv w:val="1"/>
      <w:marLeft w:val="0"/>
      <w:marRight w:val="0"/>
      <w:marTop w:val="0"/>
      <w:marBottom w:val="0"/>
      <w:divBdr>
        <w:top w:val="none" w:sz="0" w:space="0" w:color="auto"/>
        <w:left w:val="none" w:sz="0" w:space="0" w:color="auto"/>
        <w:bottom w:val="none" w:sz="0" w:space="0" w:color="auto"/>
        <w:right w:val="none" w:sz="0" w:space="0" w:color="auto"/>
      </w:divBdr>
    </w:div>
    <w:div w:id="1729692781">
      <w:bodyDiv w:val="1"/>
      <w:marLeft w:val="0"/>
      <w:marRight w:val="0"/>
      <w:marTop w:val="0"/>
      <w:marBottom w:val="0"/>
      <w:divBdr>
        <w:top w:val="none" w:sz="0" w:space="0" w:color="auto"/>
        <w:left w:val="none" w:sz="0" w:space="0" w:color="auto"/>
        <w:bottom w:val="none" w:sz="0" w:space="0" w:color="auto"/>
        <w:right w:val="none" w:sz="0" w:space="0" w:color="auto"/>
      </w:divBdr>
    </w:div>
    <w:div w:id="1732918264">
      <w:bodyDiv w:val="1"/>
      <w:marLeft w:val="0"/>
      <w:marRight w:val="0"/>
      <w:marTop w:val="0"/>
      <w:marBottom w:val="0"/>
      <w:divBdr>
        <w:top w:val="none" w:sz="0" w:space="0" w:color="auto"/>
        <w:left w:val="none" w:sz="0" w:space="0" w:color="auto"/>
        <w:bottom w:val="none" w:sz="0" w:space="0" w:color="auto"/>
        <w:right w:val="none" w:sz="0" w:space="0" w:color="auto"/>
      </w:divBdr>
    </w:div>
    <w:div w:id="1744444881">
      <w:bodyDiv w:val="1"/>
      <w:marLeft w:val="0"/>
      <w:marRight w:val="0"/>
      <w:marTop w:val="0"/>
      <w:marBottom w:val="0"/>
      <w:divBdr>
        <w:top w:val="none" w:sz="0" w:space="0" w:color="auto"/>
        <w:left w:val="none" w:sz="0" w:space="0" w:color="auto"/>
        <w:bottom w:val="none" w:sz="0" w:space="0" w:color="auto"/>
        <w:right w:val="none" w:sz="0" w:space="0" w:color="auto"/>
      </w:divBdr>
    </w:div>
    <w:div w:id="1752772816">
      <w:bodyDiv w:val="1"/>
      <w:marLeft w:val="0"/>
      <w:marRight w:val="0"/>
      <w:marTop w:val="0"/>
      <w:marBottom w:val="0"/>
      <w:divBdr>
        <w:top w:val="none" w:sz="0" w:space="0" w:color="auto"/>
        <w:left w:val="none" w:sz="0" w:space="0" w:color="auto"/>
        <w:bottom w:val="none" w:sz="0" w:space="0" w:color="auto"/>
        <w:right w:val="none" w:sz="0" w:space="0" w:color="auto"/>
      </w:divBdr>
    </w:div>
    <w:div w:id="1761831710">
      <w:bodyDiv w:val="1"/>
      <w:marLeft w:val="0"/>
      <w:marRight w:val="0"/>
      <w:marTop w:val="0"/>
      <w:marBottom w:val="0"/>
      <w:divBdr>
        <w:top w:val="none" w:sz="0" w:space="0" w:color="auto"/>
        <w:left w:val="none" w:sz="0" w:space="0" w:color="auto"/>
        <w:bottom w:val="none" w:sz="0" w:space="0" w:color="auto"/>
        <w:right w:val="none" w:sz="0" w:space="0" w:color="auto"/>
      </w:divBdr>
      <w:divsChild>
        <w:div w:id="767695336">
          <w:marLeft w:val="1166"/>
          <w:marRight w:val="0"/>
          <w:marTop w:val="91"/>
          <w:marBottom w:val="0"/>
          <w:divBdr>
            <w:top w:val="none" w:sz="0" w:space="0" w:color="auto"/>
            <w:left w:val="none" w:sz="0" w:space="0" w:color="auto"/>
            <w:bottom w:val="none" w:sz="0" w:space="0" w:color="auto"/>
            <w:right w:val="none" w:sz="0" w:space="0" w:color="auto"/>
          </w:divBdr>
        </w:div>
      </w:divsChild>
    </w:div>
    <w:div w:id="1776440505">
      <w:bodyDiv w:val="1"/>
      <w:marLeft w:val="0"/>
      <w:marRight w:val="0"/>
      <w:marTop w:val="0"/>
      <w:marBottom w:val="0"/>
      <w:divBdr>
        <w:top w:val="none" w:sz="0" w:space="0" w:color="auto"/>
        <w:left w:val="none" w:sz="0" w:space="0" w:color="auto"/>
        <w:bottom w:val="none" w:sz="0" w:space="0" w:color="auto"/>
        <w:right w:val="none" w:sz="0" w:space="0" w:color="auto"/>
      </w:divBdr>
    </w:div>
    <w:div w:id="1811941418">
      <w:bodyDiv w:val="1"/>
      <w:marLeft w:val="0"/>
      <w:marRight w:val="0"/>
      <w:marTop w:val="0"/>
      <w:marBottom w:val="0"/>
      <w:divBdr>
        <w:top w:val="none" w:sz="0" w:space="0" w:color="auto"/>
        <w:left w:val="none" w:sz="0" w:space="0" w:color="auto"/>
        <w:bottom w:val="none" w:sz="0" w:space="0" w:color="auto"/>
        <w:right w:val="none" w:sz="0" w:space="0" w:color="auto"/>
      </w:divBdr>
    </w:div>
    <w:div w:id="1818571010">
      <w:bodyDiv w:val="1"/>
      <w:marLeft w:val="0"/>
      <w:marRight w:val="0"/>
      <w:marTop w:val="0"/>
      <w:marBottom w:val="0"/>
      <w:divBdr>
        <w:top w:val="none" w:sz="0" w:space="0" w:color="auto"/>
        <w:left w:val="none" w:sz="0" w:space="0" w:color="auto"/>
        <w:bottom w:val="none" w:sz="0" w:space="0" w:color="auto"/>
        <w:right w:val="none" w:sz="0" w:space="0" w:color="auto"/>
      </w:divBdr>
    </w:div>
    <w:div w:id="1821534450">
      <w:bodyDiv w:val="1"/>
      <w:marLeft w:val="0"/>
      <w:marRight w:val="0"/>
      <w:marTop w:val="0"/>
      <w:marBottom w:val="0"/>
      <w:divBdr>
        <w:top w:val="none" w:sz="0" w:space="0" w:color="auto"/>
        <w:left w:val="none" w:sz="0" w:space="0" w:color="auto"/>
        <w:bottom w:val="none" w:sz="0" w:space="0" w:color="auto"/>
        <w:right w:val="none" w:sz="0" w:space="0" w:color="auto"/>
      </w:divBdr>
    </w:div>
    <w:div w:id="1851793553">
      <w:bodyDiv w:val="1"/>
      <w:marLeft w:val="0"/>
      <w:marRight w:val="0"/>
      <w:marTop w:val="0"/>
      <w:marBottom w:val="0"/>
      <w:divBdr>
        <w:top w:val="none" w:sz="0" w:space="0" w:color="auto"/>
        <w:left w:val="none" w:sz="0" w:space="0" w:color="auto"/>
        <w:bottom w:val="none" w:sz="0" w:space="0" w:color="auto"/>
        <w:right w:val="none" w:sz="0" w:space="0" w:color="auto"/>
      </w:divBdr>
      <w:divsChild>
        <w:div w:id="34816595">
          <w:marLeft w:val="274"/>
          <w:marRight w:val="0"/>
          <w:marTop w:val="0"/>
          <w:marBottom w:val="120"/>
          <w:divBdr>
            <w:top w:val="none" w:sz="0" w:space="0" w:color="auto"/>
            <w:left w:val="none" w:sz="0" w:space="0" w:color="auto"/>
            <w:bottom w:val="none" w:sz="0" w:space="0" w:color="auto"/>
            <w:right w:val="none" w:sz="0" w:space="0" w:color="auto"/>
          </w:divBdr>
        </w:div>
        <w:div w:id="677461670">
          <w:marLeft w:val="274"/>
          <w:marRight w:val="0"/>
          <w:marTop w:val="0"/>
          <w:marBottom w:val="120"/>
          <w:divBdr>
            <w:top w:val="none" w:sz="0" w:space="0" w:color="auto"/>
            <w:left w:val="none" w:sz="0" w:space="0" w:color="auto"/>
            <w:bottom w:val="none" w:sz="0" w:space="0" w:color="auto"/>
            <w:right w:val="none" w:sz="0" w:space="0" w:color="auto"/>
          </w:divBdr>
        </w:div>
        <w:div w:id="1234124846">
          <w:marLeft w:val="274"/>
          <w:marRight w:val="0"/>
          <w:marTop w:val="0"/>
          <w:marBottom w:val="120"/>
          <w:divBdr>
            <w:top w:val="none" w:sz="0" w:space="0" w:color="auto"/>
            <w:left w:val="none" w:sz="0" w:space="0" w:color="auto"/>
            <w:bottom w:val="none" w:sz="0" w:space="0" w:color="auto"/>
            <w:right w:val="none" w:sz="0" w:space="0" w:color="auto"/>
          </w:divBdr>
        </w:div>
        <w:div w:id="1514104256">
          <w:marLeft w:val="274"/>
          <w:marRight w:val="0"/>
          <w:marTop w:val="0"/>
          <w:marBottom w:val="120"/>
          <w:divBdr>
            <w:top w:val="none" w:sz="0" w:space="0" w:color="auto"/>
            <w:left w:val="none" w:sz="0" w:space="0" w:color="auto"/>
            <w:bottom w:val="none" w:sz="0" w:space="0" w:color="auto"/>
            <w:right w:val="none" w:sz="0" w:space="0" w:color="auto"/>
          </w:divBdr>
        </w:div>
      </w:divsChild>
    </w:div>
    <w:div w:id="1853180501">
      <w:bodyDiv w:val="1"/>
      <w:marLeft w:val="0"/>
      <w:marRight w:val="0"/>
      <w:marTop w:val="0"/>
      <w:marBottom w:val="0"/>
      <w:divBdr>
        <w:top w:val="none" w:sz="0" w:space="0" w:color="auto"/>
        <w:left w:val="none" w:sz="0" w:space="0" w:color="auto"/>
        <w:bottom w:val="none" w:sz="0" w:space="0" w:color="auto"/>
        <w:right w:val="none" w:sz="0" w:space="0" w:color="auto"/>
      </w:divBdr>
      <w:divsChild>
        <w:div w:id="360057634">
          <w:marLeft w:val="720"/>
          <w:marRight w:val="0"/>
          <w:marTop w:val="72"/>
          <w:marBottom w:val="0"/>
          <w:divBdr>
            <w:top w:val="none" w:sz="0" w:space="0" w:color="auto"/>
            <w:left w:val="none" w:sz="0" w:space="0" w:color="auto"/>
            <w:bottom w:val="none" w:sz="0" w:space="0" w:color="auto"/>
            <w:right w:val="none" w:sz="0" w:space="0" w:color="auto"/>
          </w:divBdr>
        </w:div>
        <w:div w:id="1285310919">
          <w:marLeft w:val="720"/>
          <w:marRight w:val="0"/>
          <w:marTop w:val="72"/>
          <w:marBottom w:val="0"/>
          <w:divBdr>
            <w:top w:val="none" w:sz="0" w:space="0" w:color="auto"/>
            <w:left w:val="none" w:sz="0" w:space="0" w:color="auto"/>
            <w:bottom w:val="none" w:sz="0" w:space="0" w:color="auto"/>
            <w:right w:val="none" w:sz="0" w:space="0" w:color="auto"/>
          </w:divBdr>
        </w:div>
        <w:div w:id="127750119">
          <w:marLeft w:val="720"/>
          <w:marRight w:val="0"/>
          <w:marTop w:val="72"/>
          <w:marBottom w:val="0"/>
          <w:divBdr>
            <w:top w:val="none" w:sz="0" w:space="0" w:color="auto"/>
            <w:left w:val="none" w:sz="0" w:space="0" w:color="auto"/>
            <w:bottom w:val="none" w:sz="0" w:space="0" w:color="auto"/>
            <w:right w:val="none" w:sz="0" w:space="0" w:color="auto"/>
          </w:divBdr>
        </w:div>
        <w:div w:id="2105953371">
          <w:marLeft w:val="720"/>
          <w:marRight w:val="0"/>
          <w:marTop w:val="72"/>
          <w:marBottom w:val="0"/>
          <w:divBdr>
            <w:top w:val="none" w:sz="0" w:space="0" w:color="auto"/>
            <w:left w:val="none" w:sz="0" w:space="0" w:color="auto"/>
            <w:bottom w:val="none" w:sz="0" w:space="0" w:color="auto"/>
            <w:right w:val="none" w:sz="0" w:space="0" w:color="auto"/>
          </w:divBdr>
        </w:div>
        <w:div w:id="988481371">
          <w:marLeft w:val="720"/>
          <w:marRight w:val="0"/>
          <w:marTop w:val="72"/>
          <w:marBottom w:val="0"/>
          <w:divBdr>
            <w:top w:val="none" w:sz="0" w:space="0" w:color="auto"/>
            <w:left w:val="none" w:sz="0" w:space="0" w:color="auto"/>
            <w:bottom w:val="none" w:sz="0" w:space="0" w:color="auto"/>
            <w:right w:val="none" w:sz="0" w:space="0" w:color="auto"/>
          </w:divBdr>
        </w:div>
        <w:div w:id="28454277">
          <w:marLeft w:val="720"/>
          <w:marRight w:val="0"/>
          <w:marTop w:val="72"/>
          <w:marBottom w:val="0"/>
          <w:divBdr>
            <w:top w:val="none" w:sz="0" w:space="0" w:color="auto"/>
            <w:left w:val="none" w:sz="0" w:space="0" w:color="auto"/>
            <w:bottom w:val="none" w:sz="0" w:space="0" w:color="auto"/>
            <w:right w:val="none" w:sz="0" w:space="0" w:color="auto"/>
          </w:divBdr>
        </w:div>
        <w:div w:id="2032611834">
          <w:marLeft w:val="720"/>
          <w:marRight w:val="0"/>
          <w:marTop w:val="72"/>
          <w:marBottom w:val="0"/>
          <w:divBdr>
            <w:top w:val="none" w:sz="0" w:space="0" w:color="auto"/>
            <w:left w:val="none" w:sz="0" w:space="0" w:color="auto"/>
            <w:bottom w:val="none" w:sz="0" w:space="0" w:color="auto"/>
            <w:right w:val="none" w:sz="0" w:space="0" w:color="auto"/>
          </w:divBdr>
        </w:div>
        <w:div w:id="1504665793">
          <w:marLeft w:val="720"/>
          <w:marRight w:val="0"/>
          <w:marTop w:val="72"/>
          <w:marBottom w:val="0"/>
          <w:divBdr>
            <w:top w:val="none" w:sz="0" w:space="0" w:color="auto"/>
            <w:left w:val="none" w:sz="0" w:space="0" w:color="auto"/>
            <w:bottom w:val="none" w:sz="0" w:space="0" w:color="auto"/>
            <w:right w:val="none" w:sz="0" w:space="0" w:color="auto"/>
          </w:divBdr>
        </w:div>
        <w:div w:id="271128333">
          <w:marLeft w:val="720"/>
          <w:marRight w:val="0"/>
          <w:marTop w:val="72"/>
          <w:marBottom w:val="0"/>
          <w:divBdr>
            <w:top w:val="none" w:sz="0" w:space="0" w:color="auto"/>
            <w:left w:val="none" w:sz="0" w:space="0" w:color="auto"/>
            <w:bottom w:val="none" w:sz="0" w:space="0" w:color="auto"/>
            <w:right w:val="none" w:sz="0" w:space="0" w:color="auto"/>
          </w:divBdr>
        </w:div>
      </w:divsChild>
    </w:div>
    <w:div w:id="1854492311">
      <w:bodyDiv w:val="1"/>
      <w:marLeft w:val="0"/>
      <w:marRight w:val="0"/>
      <w:marTop w:val="0"/>
      <w:marBottom w:val="0"/>
      <w:divBdr>
        <w:top w:val="none" w:sz="0" w:space="0" w:color="auto"/>
        <w:left w:val="none" w:sz="0" w:space="0" w:color="auto"/>
        <w:bottom w:val="none" w:sz="0" w:space="0" w:color="auto"/>
        <w:right w:val="none" w:sz="0" w:space="0" w:color="auto"/>
      </w:divBdr>
    </w:div>
    <w:div w:id="1878925418">
      <w:bodyDiv w:val="1"/>
      <w:marLeft w:val="0"/>
      <w:marRight w:val="0"/>
      <w:marTop w:val="0"/>
      <w:marBottom w:val="0"/>
      <w:divBdr>
        <w:top w:val="none" w:sz="0" w:space="0" w:color="auto"/>
        <w:left w:val="none" w:sz="0" w:space="0" w:color="auto"/>
        <w:bottom w:val="none" w:sz="0" w:space="0" w:color="auto"/>
        <w:right w:val="none" w:sz="0" w:space="0" w:color="auto"/>
      </w:divBdr>
    </w:div>
    <w:div w:id="1898053651">
      <w:bodyDiv w:val="1"/>
      <w:marLeft w:val="0"/>
      <w:marRight w:val="0"/>
      <w:marTop w:val="0"/>
      <w:marBottom w:val="0"/>
      <w:divBdr>
        <w:top w:val="none" w:sz="0" w:space="0" w:color="auto"/>
        <w:left w:val="none" w:sz="0" w:space="0" w:color="auto"/>
        <w:bottom w:val="none" w:sz="0" w:space="0" w:color="auto"/>
        <w:right w:val="none" w:sz="0" w:space="0" w:color="auto"/>
      </w:divBdr>
    </w:div>
    <w:div w:id="1915122094">
      <w:bodyDiv w:val="1"/>
      <w:marLeft w:val="0"/>
      <w:marRight w:val="0"/>
      <w:marTop w:val="0"/>
      <w:marBottom w:val="0"/>
      <w:divBdr>
        <w:top w:val="none" w:sz="0" w:space="0" w:color="auto"/>
        <w:left w:val="none" w:sz="0" w:space="0" w:color="auto"/>
        <w:bottom w:val="none" w:sz="0" w:space="0" w:color="auto"/>
        <w:right w:val="none" w:sz="0" w:space="0" w:color="auto"/>
      </w:divBdr>
    </w:div>
    <w:div w:id="1918974180">
      <w:bodyDiv w:val="1"/>
      <w:marLeft w:val="0"/>
      <w:marRight w:val="0"/>
      <w:marTop w:val="0"/>
      <w:marBottom w:val="0"/>
      <w:divBdr>
        <w:top w:val="none" w:sz="0" w:space="0" w:color="auto"/>
        <w:left w:val="none" w:sz="0" w:space="0" w:color="auto"/>
        <w:bottom w:val="none" w:sz="0" w:space="0" w:color="auto"/>
        <w:right w:val="none" w:sz="0" w:space="0" w:color="auto"/>
      </w:divBdr>
    </w:div>
    <w:div w:id="1938715213">
      <w:bodyDiv w:val="1"/>
      <w:marLeft w:val="0"/>
      <w:marRight w:val="0"/>
      <w:marTop w:val="0"/>
      <w:marBottom w:val="0"/>
      <w:divBdr>
        <w:top w:val="none" w:sz="0" w:space="0" w:color="auto"/>
        <w:left w:val="none" w:sz="0" w:space="0" w:color="auto"/>
        <w:bottom w:val="none" w:sz="0" w:space="0" w:color="auto"/>
        <w:right w:val="none" w:sz="0" w:space="0" w:color="auto"/>
      </w:divBdr>
    </w:div>
    <w:div w:id="1941790795">
      <w:bodyDiv w:val="1"/>
      <w:marLeft w:val="0"/>
      <w:marRight w:val="0"/>
      <w:marTop w:val="0"/>
      <w:marBottom w:val="0"/>
      <w:divBdr>
        <w:top w:val="none" w:sz="0" w:space="0" w:color="auto"/>
        <w:left w:val="none" w:sz="0" w:space="0" w:color="auto"/>
        <w:bottom w:val="none" w:sz="0" w:space="0" w:color="auto"/>
        <w:right w:val="none" w:sz="0" w:space="0" w:color="auto"/>
      </w:divBdr>
    </w:div>
    <w:div w:id="1945183905">
      <w:bodyDiv w:val="1"/>
      <w:marLeft w:val="0"/>
      <w:marRight w:val="0"/>
      <w:marTop w:val="0"/>
      <w:marBottom w:val="0"/>
      <w:divBdr>
        <w:top w:val="none" w:sz="0" w:space="0" w:color="auto"/>
        <w:left w:val="none" w:sz="0" w:space="0" w:color="auto"/>
        <w:bottom w:val="none" w:sz="0" w:space="0" w:color="auto"/>
        <w:right w:val="none" w:sz="0" w:space="0" w:color="auto"/>
      </w:divBdr>
    </w:div>
    <w:div w:id="1954824289">
      <w:bodyDiv w:val="1"/>
      <w:marLeft w:val="0"/>
      <w:marRight w:val="0"/>
      <w:marTop w:val="0"/>
      <w:marBottom w:val="0"/>
      <w:divBdr>
        <w:top w:val="none" w:sz="0" w:space="0" w:color="auto"/>
        <w:left w:val="none" w:sz="0" w:space="0" w:color="auto"/>
        <w:bottom w:val="none" w:sz="0" w:space="0" w:color="auto"/>
        <w:right w:val="none" w:sz="0" w:space="0" w:color="auto"/>
      </w:divBdr>
    </w:div>
    <w:div w:id="1982464361">
      <w:bodyDiv w:val="1"/>
      <w:marLeft w:val="0"/>
      <w:marRight w:val="0"/>
      <w:marTop w:val="0"/>
      <w:marBottom w:val="0"/>
      <w:divBdr>
        <w:top w:val="none" w:sz="0" w:space="0" w:color="auto"/>
        <w:left w:val="none" w:sz="0" w:space="0" w:color="auto"/>
        <w:bottom w:val="none" w:sz="0" w:space="0" w:color="auto"/>
        <w:right w:val="none" w:sz="0" w:space="0" w:color="auto"/>
      </w:divBdr>
      <w:divsChild>
        <w:div w:id="1263033886">
          <w:marLeft w:val="274"/>
          <w:marRight w:val="0"/>
          <w:marTop w:val="0"/>
          <w:marBottom w:val="120"/>
          <w:divBdr>
            <w:top w:val="none" w:sz="0" w:space="0" w:color="auto"/>
            <w:left w:val="none" w:sz="0" w:space="0" w:color="auto"/>
            <w:bottom w:val="none" w:sz="0" w:space="0" w:color="auto"/>
            <w:right w:val="none" w:sz="0" w:space="0" w:color="auto"/>
          </w:divBdr>
        </w:div>
        <w:div w:id="1874534362">
          <w:marLeft w:val="274"/>
          <w:marRight w:val="0"/>
          <w:marTop w:val="0"/>
          <w:marBottom w:val="120"/>
          <w:divBdr>
            <w:top w:val="none" w:sz="0" w:space="0" w:color="auto"/>
            <w:left w:val="none" w:sz="0" w:space="0" w:color="auto"/>
            <w:bottom w:val="none" w:sz="0" w:space="0" w:color="auto"/>
            <w:right w:val="none" w:sz="0" w:space="0" w:color="auto"/>
          </w:divBdr>
        </w:div>
        <w:div w:id="2032876508">
          <w:marLeft w:val="274"/>
          <w:marRight w:val="0"/>
          <w:marTop w:val="0"/>
          <w:marBottom w:val="120"/>
          <w:divBdr>
            <w:top w:val="none" w:sz="0" w:space="0" w:color="auto"/>
            <w:left w:val="none" w:sz="0" w:space="0" w:color="auto"/>
            <w:bottom w:val="none" w:sz="0" w:space="0" w:color="auto"/>
            <w:right w:val="none" w:sz="0" w:space="0" w:color="auto"/>
          </w:divBdr>
        </w:div>
      </w:divsChild>
    </w:div>
    <w:div w:id="1989361456">
      <w:bodyDiv w:val="1"/>
      <w:marLeft w:val="0"/>
      <w:marRight w:val="0"/>
      <w:marTop w:val="0"/>
      <w:marBottom w:val="0"/>
      <w:divBdr>
        <w:top w:val="none" w:sz="0" w:space="0" w:color="auto"/>
        <w:left w:val="none" w:sz="0" w:space="0" w:color="auto"/>
        <w:bottom w:val="none" w:sz="0" w:space="0" w:color="auto"/>
        <w:right w:val="none" w:sz="0" w:space="0" w:color="auto"/>
      </w:divBdr>
    </w:div>
    <w:div w:id="1991134877">
      <w:bodyDiv w:val="1"/>
      <w:marLeft w:val="0"/>
      <w:marRight w:val="0"/>
      <w:marTop w:val="0"/>
      <w:marBottom w:val="0"/>
      <w:divBdr>
        <w:top w:val="none" w:sz="0" w:space="0" w:color="auto"/>
        <w:left w:val="none" w:sz="0" w:space="0" w:color="auto"/>
        <w:bottom w:val="none" w:sz="0" w:space="0" w:color="auto"/>
        <w:right w:val="none" w:sz="0" w:space="0" w:color="auto"/>
      </w:divBdr>
    </w:div>
    <w:div w:id="1994412700">
      <w:bodyDiv w:val="1"/>
      <w:marLeft w:val="0"/>
      <w:marRight w:val="0"/>
      <w:marTop w:val="0"/>
      <w:marBottom w:val="0"/>
      <w:divBdr>
        <w:top w:val="none" w:sz="0" w:space="0" w:color="auto"/>
        <w:left w:val="none" w:sz="0" w:space="0" w:color="auto"/>
        <w:bottom w:val="none" w:sz="0" w:space="0" w:color="auto"/>
        <w:right w:val="none" w:sz="0" w:space="0" w:color="auto"/>
      </w:divBdr>
      <w:divsChild>
        <w:div w:id="796222078">
          <w:marLeft w:val="547"/>
          <w:marRight w:val="0"/>
          <w:marTop w:val="240"/>
          <w:marBottom w:val="0"/>
          <w:divBdr>
            <w:top w:val="none" w:sz="0" w:space="0" w:color="auto"/>
            <w:left w:val="none" w:sz="0" w:space="0" w:color="auto"/>
            <w:bottom w:val="none" w:sz="0" w:space="0" w:color="auto"/>
            <w:right w:val="none" w:sz="0" w:space="0" w:color="auto"/>
          </w:divBdr>
        </w:div>
        <w:div w:id="251010646">
          <w:marLeft w:val="547"/>
          <w:marRight w:val="0"/>
          <w:marTop w:val="240"/>
          <w:marBottom w:val="0"/>
          <w:divBdr>
            <w:top w:val="none" w:sz="0" w:space="0" w:color="auto"/>
            <w:left w:val="none" w:sz="0" w:space="0" w:color="auto"/>
            <w:bottom w:val="none" w:sz="0" w:space="0" w:color="auto"/>
            <w:right w:val="none" w:sz="0" w:space="0" w:color="auto"/>
          </w:divBdr>
        </w:div>
        <w:div w:id="1790978268">
          <w:marLeft w:val="1166"/>
          <w:marRight w:val="0"/>
          <w:marTop w:val="240"/>
          <w:marBottom w:val="0"/>
          <w:divBdr>
            <w:top w:val="none" w:sz="0" w:space="0" w:color="auto"/>
            <w:left w:val="none" w:sz="0" w:space="0" w:color="auto"/>
            <w:bottom w:val="none" w:sz="0" w:space="0" w:color="auto"/>
            <w:right w:val="none" w:sz="0" w:space="0" w:color="auto"/>
          </w:divBdr>
        </w:div>
        <w:div w:id="1959095226">
          <w:marLeft w:val="1166"/>
          <w:marRight w:val="0"/>
          <w:marTop w:val="240"/>
          <w:marBottom w:val="0"/>
          <w:divBdr>
            <w:top w:val="none" w:sz="0" w:space="0" w:color="auto"/>
            <w:left w:val="none" w:sz="0" w:space="0" w:color="auto"/>
            <w:bottom w:val="none" w:sz="0" w:space="0" w:color="auto"/>
            <w:right w:val="none" w:sz="0" w:space="0" w:color="auto"/>
          </w:divBdr>
        </w:div>
      </w:divsChild>
    </w:div>
    <w:div w:id="1997610362">
      <w:bodyDiv w:val="1"/>
      <w:marLeft w:val="0"/>
      <w:marRight w:val="0"/>
      <w:marTop w:val="0"/>
      <w:marBottom w:val="0"/>
      <w:divBdr>
        <w:top w:val="none" w:sz="0" w:space="0" w:color="auto"/>
        <w:left w:val="none" w:sz="0" w:space="0" w:color="auto"/>
        <w:bottom w:val="none" w:sz="0" w:space="0" w:color="auto"/>
        <w:right w:val="none" w:sz="0" w:space="0" w:color="auto"/>
      </w:divBdr>
    </w:div>
    <w:div w:id="2004972503">
      <w:bodyDiv w:val="1"/>
      <w:marLeft w:val="0"/>
      <w:marRight w:val="0"/>
      <w:marTop w:val="0"/>
      <w:marBottom w:val="0"/>
      <w:divBdr>
        <w:top w:val="none" w:sz="0" w:space="0" w:color="auto"/>
        <w:left w:val="none" w:sz="0" w:space="0" w:color="auto"/>
        <w:bottom w:val="none" w:sz="0" w:space="0" w:color="auto"/>
        <w:right w:val="none" w:sz="0" w:space="0" w:color="auto"/>
      </w:divBdr>
    </w:div>
    <w:div w:id="2005429695">
      <w:bodyDiv w:val="1"/>
      <w:marLeft w:val="0"/>
      <w:marRight w:val="0"/>
      <w:marTop w:val="0"/>
      <w:marBottom w:val="0"/>
      <w:divBdr>
        <w:top w:val="none" w:sz="0" w:space="0" w:color="auto"/>
        <w:left w:val="none" w:sz="0" w:space="0" w:color="auto"/>
        <w:bottom w:val="none" w:sz="0" w:space="0" w:color="auto"/>
        <w:right w:val="none" w:sz="0" w:space="0" w:color="auto"/>
      </w:divBdr>
    </w:div>
    <w:div w:id="2013023885">
      <w:bodyDiv w:val="1"/>
      <w:marLeft w:val="0"/>
      <w:marRight w:val="0"/>
      <w:marTop w:val="0"/>
      <w:marBottom w:val="0"/>
      <w:divBdr>
        <w:top w:val="none" w:sz="0" w:space="0" w:color="auto"/>
        <w:left w:val="none" w:sz="0" w:space="0" w:color="auto"/>
        <w:bottom w:val="none" w:sz="0" w:space="0" w:color="auto"/>
        <w:right w:val="none" w:sz="0" w:space="0" w:color="auto"/>
      </w:divBdr>
    </w:div>
    <w:div w:id="2020035877">
      <w:bodyDiv w:val="1"/>
      <w:marLeft w:val="0"/>
      <w:marRight w:val="0"/>
      <w:marTop w:val="0"/>
      <w:marBottom w:val="0"/>
      <w:divBdr>
        <w:top w:val="none" w:sz="0" w:space="0" w:color="auto"/>
        <w:left w:val="none" w:sz="0" w:space="0" w:color="auto"/>
        <w:bottom w:val="none" w:sz="0" w:space="0" w:color="auto"/>
        <w:right w:val="none" w:sz="0" w:space="0" w:color="auto"/>
      </w:divBdr>
      <w:divsChild>
        <w:div w:id="53896275">
          <w:marLeft w:val="374"/>
          <w:marRight w:val="0"/>
          <w:marTop w:val="0"/>
          <w:marBottom w:val="0"/>
          <w:divBdr>
            <w:top w:val="none" w:sz="0" w:space="0" w:color="auto"/>
            <w:left w:val="none" w:sz="0" w:space="0" w:color="auto"/>
            <w:bottom w:val="none" w:sz="0" w:space="0" w:color="auto"/>
            <w:right w:val="none" w:sz="0" w:space="0" w:color="auto"/>
          </w:divBdr>
        </w:div>
        <w:div w:id="450975762">
          <w:marLeft w:val="1123"/>
          <w:marRight w:val="0"/>
          <w:marTop w:val="0"/>
          <w:marBottom w:val="0"/>
          <w:divBdr>
            <w:top w:val="none" w:sz="0" w:space="0" w:color="auto"/>
            <w:left w:val="none" w:sz="0" w:space="0" w:color="auto"/>
            <w:bottom w:val="none" w:sz="0" w:space="0" w:color="auto"/>
            <w:right w:val="none" w:sz="0" w:space="0" w:color="auto"/>
          </w:divBdr>
        </w:div>
        <w:div w:id="761218550">
          <w:marLeft w:val="1123"/>
          <w:marRight w:val="0"/>
          <w:marTop w:val="0"/>
          <w:marBottom w:val="0"/>
          <w:divBdr>
            <w:top w:val="none" w:sz="0" w:space="0" w:color="auto"/>
            <w:left w:val="none" w:sz="0" w:space="0" w:color="auto"/>
            <w:bottom w:val="none" w:sz="0" w:space="0" w:color="auto"/>
            <w:right w:val="none" w:sz="0" w:space="0" w:color="auto"/>
          </w:divBdr>
        </w:div>
        <w:div w:id="831683017">
          <w:marLeft w:val="1123"/>
          <w:marRight w:val="0"/>
          <w:marTop w:val="0"/>
          <w:marBottom w:val="0"/>
          <w:divBdr>
            <w:top w:val="none" w:sz="0" w:space="0" w:color="auto"/>
            <w:left w:val="none" w:sz="0" w:space="0" w:color="auto"/>
            <w:bottom w:val="none" w:sz="0" w:space="0" w:color="auto"/>
            <w:right w:val="none" w:sz="0" w:space="0" w:color="auto"/>
          </w:divBdr>
        </w:div>
        <w:div w:id="966853804">
          <w:marLeft w:val="1123"/>
          <w:marRight w:val="0"/>
          <w:marTop w:val="0"/>
          <w:marBottom w:val="0"/>
          <w:divBdr>
            <w:top w:val="none" w:sz="0" w:space="0" w:color="auto"/>
            <w:left w:val="none" w:sz="0" w:space="0" w:color="auto"/>
            <w:bottom w:val="none" w:sz="0" w:space="0" w:color="auto"/>
            <w:right w:val="none" w:sz="0" w:space="0" w:color="auto"/>
          </w:divBdr>
        </w:div>
        <w:div w:id="1256403132">
          <w:marLeft w:val="1123"/>
          <w:marRight w:val="0"/>
          <w:marTop w:val="0"/>
          <w:marBottom w:val="0"/>
          <w:divBdr>
            <w:top w:val="none" w:sz="0" w:space="0" w:color="auto"/>
            <w:left w:val="none" w:sz="0" w:space="0" w:color="auto"/>
            <w:bottom w:val="none" w:sz="0" w:space="0" w:color="auto"/>
            <w:right w:val="none" w:sz="0" w:space="0" w:color="auto"/>
          </w:divBdr>
        </w:div>
        <w:div w:id="1558130869">
          <w:marLeft w:val="1886"/>
          <w:marRight w:val="0"/>
          <w:marTop w:val="0"/>
          <w:marBottom w:val="0"/>
          <w:divBdr>
            <w:top w:val="none" w:sz="0" w:space="0" w:color="auto"/>
            <w:left w:val="none" w:sz="0" w:space="0" w:color="auto"/>
            <w:bottom w:val="none" w:sz="0" w:space="0" w:color="auto"/>
            <w:right w:val="none" w:sz="0" w:space="0" w:color="auto"/>
          </w:divBdr>
        </w:div>
        <w:div w:id="1576283196">
          <w:marLeft w:val="374"/>
          <w:marRight w:val="0"/>
          <w:marTop w:val="0"/>
          <w:marBottom w:val="0"/>
          <w:divBdr>
            <w:top w:val="none" w:sz="0" w:space="0" w:color="auto"/>
            <w:left w:val="none" w:sz="0" w:space="0" w:color="auto"/>
            <w:bottom w:val="none" w:sz="0" w:space="0" w:color="auto"/>
            <w:right w:val="none" w:sz="0" w:space="0" w:color="auto"/>
          </w:divBdr>
        </w:div>
        <w:div w:id="1658263830">
          <w:marLeft w:val="374"/>
          <w:marRight w:val="0"/>
          <w:marTop w:val="0"/>
          <w:marBottom w:val="0"/>
          <w:divBdr>
            <w:top w:val="none" w:sz="0" w:space="0" w:color="auto"/>
            <w:left w:val="none" w:sz="0" w:space="0" w:color="auto"/>
            <w:bottom w:val="none" w:sz="0" w:space="0" w:color="auto"/>
            <w:right w:val="none" w:sz="0" w:space="0" w:color="auto"/>
          </w:divBdr>
        </w:div>
        <w:div w:id="1743412075">
          <w:marLeft w:val="1123"/>
          <w:marRight w:val="0"/>
          <w:marTop w:val="0"/>
          <w:marBottom w:val="0"/>
          <w:divBdr>
            <w:top w:val="none" w:sz="0" w:space="0" w:color="auto"/>
            <w:left w:val="none" w:sz="0" w:space="0" w:color="auto"/>
            <w:bottom w:val="none" w:sz="0" w:space="0" w:color="auto"/>
            <w:right w:val="none" w:sz="0" w:space="0" w:color="auto"/>
          </w:divBdr>
        </w:div>
        <w:div w:id="1835490855">
          <w:marLeft w:val="1123"/>
          <w:marRight w:val="0"/>
          <w:marTop w:val="0"/>
          <w:marBottom w:val="0"/>
          <w:divBdr>
            <w:top w:val="none" w:sz="0" w:space="0" w:color="auto"/>
            <w:left w:val="none" w:sz="0" w:space="0" w:color="auto"/>
            <w:bottom w:val="none" w:sz="0" w:space="0" w:color="auto"/>
            <w:right w:val="none" w:sz="0" w:space="0" w:color="auto"/>
          </w:divBdr>
        </w:div>
        <w:div w:id="1869296266">
          <w:marLeft w:val="1123"/>
          <w:marRight w:val="0"/>
          <w:marTop w:val="0"/>
          <w:marBottom w:val="0"/>
          <w:divBdr>
            <w:top w:val="none" w:sz="0" w:space="0" w:color="auto"/>
            <w:left w:val="none" w:sz="0" w:space="0" w:color="auto"/>
            <w:bottom w:val="none" w:sz="0" w:space="0" w:color="auto"/>
            <w:right w:val="none" w:sz="0" w:space="0" w:color="auto"/>
          </w:divBdr>
        </w:div>
      </w:divsChild>
    </w:div>
    <w:div w:id="2030063459">
      <w:bodyDiv w:val="1"/>
      <w:marLeft w:val="0"/>
      <w:marRight w:val="0"/>
      <w:marTop w:val="0"/>
      <w:marBottom w:val="0"/>
      <w:divBdr>
        <w:top w:val="none" w:sz="0" w:space="0" w:color="auto"/>
        <w:left w:val="none" w:sz="0" w:space="0" w:color="auto"/>
        <w:bottom w:val="none" w:sz="0" w:space="0" w:color="auto"/>
        <w:right w:val="none" w:sz="0" w:space="0" w:color="auto"/>
      </w:divBdr>
    </w:div>
    <w:div w:id="2030331052">
      <w:bodyDiv w:val="1"/>
      <w:marLeft w:val="0"/>
      <w:marRight w:val="0"/>
      <w:marTop w:val="0"/>
      <w:marBottom w:val="0"/>
      <w:divBdr>
        <w:top w:val="none" w:sz="0" w:space="0" w:color="auto"/>
        <w:left w:val="none" w:sz="0" w:space="0" w:color="auto"/>
        <w:bottom w:val="none" w:sz="0" w:space="0" w:color="auto"/>
        <w:right w:val="none" w:sz="0" w:space="0" w:color="auto"/>
      </w:divBdr>
      <w:divsChild>
        <w:div w:id="1564947421">
          <w:marLeft w:val="720"/>
          <w:marRight w:val="0"/>
          <w:marTop w:val="240"/>
          <w:marBottom w:val="0"/>
          <w:divBdr>
            <w:top w:val="none" w:sz="0" w:space="0" w:color="auto"/>
            <w:left w:val="none" w:sz="0" w:space="0" w:color="auto"/>
            <w:bottom w:val="none" w:sz="0" w:space="0" w:color="auto"/>
            <w:right w:val="none" w:sz="0" w:space="0" w:color="auto"/>
          </w:divBdr>
        </w:div>
        <w:div w:id="1951160386">
          <w:marLeft w:val="720"/>
          <w:marRight w:val="0"/>
          <w:marTop w:val="240"/>
          <w:marBottom w:val="0"/>
          <w:divBdr>
            <w:top w:val="none" w:sz="0" w:space="0" w:color="auto"/>
            <w:left w:val="none" w:sz="0" w:space="0" w:color="auto"/>
            <w:bottom w:val="none" w:sz="0" w:space="0" w:color="auto"/>
            <w:right w:val="none" w:sz="0" w:space="0" w:color="auto"/>
          </w:divBdr>
        </w:div>
        <w:div w:id="1432777073">
          <w:marLeft w:val="720"/>
          <w:marRight w:val="0"/>
          <w:marTop w:val="240"/>
          <w:marBottom w:val="0"/>
          <w:divBdr>
            <w:top w:val="none" w:sz="0" w:space="0" w:color="auto"/>
            <w:left w:val="none" w:sz="0" w:space="0" w:color="auto"/>
            <w:bottom w:val="none" w:sz="0" w:space="0" w:color="auto"/>
            <w:right w:val="none" w:sz="0" w:space="0" w:color="auto"/>
          </w:divBdr>
        </w:div>
        <w:div w:id="175996002">
          <w:marLeft w:val="720"/>
          <w:marRight w:val="0"/>
          <w:marTop w:val="240"/>
          <w:marBottom w:val="0"/>
          <w:divBdr>
            <w:top w:val="none" w:sz="0" w:space="0" w:color="auto"/>
            <w:left w:val="none" w:sz="0" w:space="0" w:color="auto"/>
            <w:bottom w:val="none" w:sz="0" w:space="0" w:color="auto"/>
            <w:right w:val="none" w:sz="0" w:space="0" w:color="auto"/>
          </w:divBdr>
        </w:div>
      </w:divsChild>
    </w:div>
    <w:div w:id="2034112299">
      <w:bodyDiv w:val="1"/>
      <w:marLeft w:val="0"/>
      <w:marRight w:val="0"/>
      <w:marTop w:val="0"/>
      <w:marBottom w:val="0"/>
      <w:divBdr>
        <w:top w:val="none" w:sz="0" w:space="0" w:color="auto"/>
        <w:left w:val="none" w:sz="0" w:space="0" w:color="auto"/>
        <w:bottom w:val="none" w:sz="0" w:space="0" w:color="auto"/>
        <w:right w:val="none" w:sz="0" w:space="0" w:color="auto"/>
      </w:divBdr>
    </w:div>
    <w:div w:id="2050913682">
      <w:bodyDiv w:val="1"/>
      <w:marLeft w:val="0"/>
      <w:marRight w:val="0"/>
      <w:marTop w:val="0"/>
      <w:marBottom w:val="0"/>
      <w:divBdr>
        <w:top w:val="none" w:sz="0" w:space="0" w:color="auto"/>
        <w:left w:val="none" w:sz="0" w:space="0" w:color="auto"/>
        <w:bottom w:val="none" w:sz="0" w:space="0" w:color="auto"/>
        <w:right w:val="none" w:sz="0" w:space="0" w:color="auto"/>
      </w:divBdr>
      <w:divsChild>
        <w:div w:id="1821145382">
          <w:marLeft w:val="720"/>
          <w:marRight w:val="0"/>
          <w:marTop w:val="86"/>
          <w:marBottom w:val="0"/>
          <w:divBdr>
            <w:top w:val="none" w:sz="0" w:space="0" w:color="auto"/>
            <w:left w:val="none" w:sz="0" w:space="0" w:color="auto"/>
            <w:bottom w:val="none" w:sz="0" w:space="0" w:color="auto"/>
            <w:right w:val="none" w:sz="0" w:space="0" w:color="auto"/>
          </w:divBdr>
        </w:div>
        <w:div w:id="1879975313">
          <w:marLeft w:val="720"/>
          <w:marRight w:val="0"/>
          <w:marTop w:val="86"/>
          <w:marBottom w:val="0"/>
          <w:divBdr>
            <w:top w:val="none" w:sz="0" w:space="0" w:color="auto"/>
            <w:left w:val="none" w:sz="0" w:space="0" w:color="auto"/>
            <w:bottom w:val="none" w:sz="0" w:space="0" w:color="auto"/>
            <w:right w:val="none" w:sz="0" w:space="0" w:color="auto"/>
          </w:divBdr>
        </w:div>
        <w:div w:id="1991473887">
          <w:marLeft w:val="720"/>
          <w:marRight w:val="0"/>
          <w:marTop w:val="86"/>
          <w:marBottom w:val="0"/>
          <w:divBdr>
            <w:top w:val="none" w:sz="0" w:space="0" w:color="auto"/>
            <w:left w:val="none" w:sz="0" w:space="0" w:color="auto"/>
            <w:bottom w:val="none" w:sz="0" w:space="0" w:color="auto"/>
            <w:right w:val="none" w:sz="0" w:space="0" w:color="auto"/>
          </w:divBdr>
        </w:div>
        <w:div w:id="1994138933">
          <w:marLeft w:val="720"/>
          <w:marRight w:val="0"/>
          <w:marTop w:val="86"/>
          <w:marBottom w:val="0"/>
          <w:divBdr>
            <w:top w:val="none" w:sz="0" w:space="0" w:color="auto"/>
            <w:left w:val="none" w:sz="0" w:space="0" w:color="auto"/>
            <w:bottom w:val="none" w:sz="0" w:space="0" w:color="auto"/>
            <w:right w:val="none" w:sz="0" w:space="0" w:color="auto"/>
          </w:divBdr>
        </w:div>
      </w:divsChild>
    </w:div>
    <w:div w:id="2065910055">
      <w:bodyDiv w:val="1"/>
      <w:marLeft w:val="0"/>
      <w:marRight w:val="0"/>
      <w:marTop w:val="0"/>
      <w:marBottom w:val="0"/>
      <w:divBdr>
        <w:top w:val="none" w:sz="0" w:space="0" w:color="auto"/>
        <w:left w:val="none" w:sz="0" w:space="0" w:color="auto"/>
        <w:bottom w:val="none" w:sz="0" w:space="0" w:color="auto"/>
        <w:right w:val="none" w:sz="0" w:space="0" w:color="auto"/>
      </w:divBdr>
    </w:div>
    <w:div w:id="2094235242">
      <w:bodyDiv w:val="1"/>
      <w:marLeft w:val="0"/>
      <w:marRight w:val="0"/>
      <w:marTop w:val="0"/>
      <w:marBottom w:val="0"/>
      <w:divBdr>
        <w:top w:val="none" w:sz="0" w:space="0" w:color="auto"/>
        <w:left w:val="none" w:sz="0" w:space="0" w:color="auto"/>
        <w:bottom w:val="none" w:sz="0" w:space="0" w:color="auto"/>
        <w:right w:val="none" w:sz="0" w:space="0" w:color="auto"/>
      </w:divBdr>
    </w:div>
    <w:div w:id="2104261856">
      <w:bodyDiv w:val="1"/>
      <w:marLeft w:val="0"/>
      <w:marRight w:val="0"/>
      <w:marTop w:val="0"/>
      <w:marBottom w:val="0"/>
      <w:divBdr>
        <w:top w:val="none" w:sz="0" w:space="0" w:color="auto"/>
        <w:left w:val="none" w:sz="0" w:space="0" w:color="auto"/>
        <w:bottom w:val="none" w:sz="0" w:space="0" w:color="auto"/>
        <w:right w:val="none" w:sz="0" w:space="0" w:color="auto"/>
      </w:divBdr>
    </w:div>
    <w:div w:id="2120760083">
      <w:bodyDiv w:val="1"/>
      <w:marLeft w:val="0"/>
      <w:marRight w:val="0"/>
      <w:marTop w:val="0"/>
      <w:marBottom w:val="0"/>
      <w:divBdr>
        <w:top w:val="none" w:sz="0" w:space="0" w:color="auto"/>
        <w:left w:val="none" w:sz="0" w:space="0" w:color="auto"/>
        <w:bottom w:val="none" w:sz="0" w:space="0" w:color="auto"/>
        <w:right w:val="none" w:sz="0" w:space="0" w:color="auto"/>
      </w:divBdr>
    </w:div>
    <w:div w:id="2122141603">
      <w:bodyDiv w:val="1"/>
      <w:marLeft w:val="0"/>
      <w:marRight w:val="0"/>
      <w:marTop w:val="0"/>
      <w:marBottom w:val="0"/>
      <w:divBdr>
        <w:top w:val="none" w:sz="0" w:space="0" w:color="auto"/>
        <w:left w:val="none" w:sz="0" w:space="0" w:color="auto"/>
        <w:bottom w:val="none" w:sz="0" w:space="0" w:color="auto"/>
        <w:right w:val="none" w:sz="0" w:space="0" w:color="auto"/>
      </w:divBdr>
    </w:div>
    <w:div w:id="21273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[Pivot sammenstilt.xlsx]Pivot!Pivottabell1</c:name>
    <c:fmtId val="-1"/>
  </c:pivotSource>
  <c:chart>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
        <c:idx val="37"/>
        <c:spPr>
          <a:solidFill>
            <a:schemeClr val="accent1"/>
          </a:solidFill>
          <a:ln w="28575" cap="rnd">
            <a:solidFill>
              <a:schemeClr val="accent1"/>
            </a:solidFill>
            <a:round/>
          </a:ln>
          <a:effectLst/>
        </c:spPr>
        <c:marker>
          <c:symbol val="none"/>
        </c:marker>
      </c:pivotFmt>
      <c:pivotFmt>
        <c:idx val="38"/>
        <c:spPr>
          <a:solidFill>
            <a:schemeClr val="accent1"/>
          </a:solidFill>
          <a:ln w="28575" cap="rnd">
            <a:solidFill>
              <a:schemeClr val="accent1"/>
            </a:solidFill>
            <a:round/>
          </a:ln>
          <a:effectLst/>
        </c:spPr>
        <c:marker>
          <c:symbol val="none"/>
        </c:marker>
      </c:pivotFmt>
      <c:pivotFmt>
        <c:idx val="39"/>
        <c:spPr>
          <a:solidFill>
            <a:schemeClr val="accent1"/>
          </a:solidFill>
          <a:ln w="28575" cap="rnd">
            <a:solidFill>
              <a:schemeClr val="accent1"/>
            </a:solidFill>
            <a:round/>
          </a:ln>
          <a:effectLst/>
        </c:spPr>
        <c:marker>
          <c:symbol val="none"/>
        </c:marker>
      </c:pivotFmt>
      <c:pivotFmt>
        <c:idx val="40"/>
        <c:spPr>
          <a:solidFill>
            <a:schemeClr val="accent1"/>
          </a:solidFill>
          <a:ln w="28575" cap="rnd">
            <a:solidFill>
              <a:schemeClr val="accent1"/>
            </a:solidFill>
            <a:round/>
          </a:ln>
          <a:effectLst/>
        </c:spPr>
        <c:marker>
          <c:symbol val="none"/>
        </c:marker>
      </c:pivotFmt>
      <c:pivotFmt>
        <c:idx val="41"/>
        <c:spPr>
          <a:solidFill>
            <a:schemeClr val="accent1"/>
          </a:solidFill>
          <a:ln w="28575" cap="rnd">
            <a:solidFill>
              <a:schemeClr val="accent1"/>
            </a:solidFill>
            <a:round/>
          </a:ln>
          <a:effectLst/>
        </c:spPr>
        <c:marker>
          <c:symbol val="none"/>
        </c:marker>
      </c:pivotFmt>
      <c:pivotFmt>
        <c:idx val="42"/>
        <c:spPr>
          <a:solidFill>
            <a:schemeClr val="accent1"/>
          </a:solidFill>
          <a:ln w="28575" cap="rnd">
            <a:solidFill>
              <a:schemeClr val="accent1"/>
            </a:solidFill>
            <a:round/>
          </a:ln>
          <a:effectLst/>
        </c:spPr>
        <c:marker>
          <c:symbol val="none"/>
        </c:marker>
      </c:pivotFmt>
      <c:pivotFmt>
        <c:idx val="43"/>
        <c:spPr>
          <a:solidFill>
            <a:schemeClr val="accent1"/>
          </a:solidFill>
          <a:ln w="28575" cap="rnd">
            <a:solidFill>
              <a:schemeClr val="accent1"/>
            </a:solidFill>
            <a:round/>
          </a:ln>
          <a:effectLst/>
        </c:spPr>
        <c:marker>
          <c:symbol val="none"/>
        </c:marker>
      </c:pivotFmt>
      <c:pivotFmt>
        <c:idx val="44"/>
        <c:spPr>
          <a:solidFill>
            <a:schemeClr val="accent1"/>
          </a:solidFill>
          <a:ln w="28575" cap="rnd">
            <a:solidFill>
              <a:schemeClr val="accent1"/>
            </a:solidFill>
            <a:round/>
          </a:ln>
          <a:effectLst/>
        </c:spPr>
        <c:marker>
          <c:symbol val="none"/>
        </c:marker>
      </c:pivotFmt>
      <c:pivotFmt>
        <c:idx val="45"/>
        <c:spPr>
          <a:solidFill>
            <a:schemeClr val="accent1"/>
          </a:solidFill>
          <a:ln w="28575" cap="rnd">
            <a:solidFill>
              <a:schemeClr val="accent1"/>
            </a:solidFill>
            <a:round/>
          </a:ln>
          <a:effectLst/>
        </c:spPr>
        <c:marker>
          <c:symbol val="none"/>
        </c:marker>
      </c:pivotFmt>
      <c:pivotFmt>
        <c:idx val="46"/>
        <c:spPr>
          <a:solidFill>
            <a:schemeClr val="accent1"/>
          </a:solidFill>
          <a:ln w="28575" cap="rnd">
            <a:solidFill>
              <a:schemeClr val="accent1"/>
            </a:solidFill>
            <a:round/>
          </a:ln>
          <a:effectLst/>
        </c:spPr>
        <c:marker>
          <c:symbol val="none"/>
        </c:marker>
      </c:pivotFmt>
      <c:pivotFmt>
        <c:idx val="47"/>
        <c:spPr>
          <a:solidFill>
            <a:schemeClr val="accent1"/>
          </a:solidFill>
          <a:ln w="28575" cap="rnd">
            <a:solidFill>
              <a:schemeClr val="accent1"/>
            </a:solidFill>
            <a:round/>
          </a:ln>
          <a:effectLst/>
        </c:spPr>
        <c:marker>
          <c:symbol val="none"/>
        </c:marker>
      </c:pivotFmt>
      <c:pivotFmt>
        <c:idx val="48"/>
        <c:spPr>
          <a:solidFill>
            <a:schemeClr val="accent1"/>
          </a:solidFill>
          <a:ln w="28575" cap="rnd">
            <a:solidFill>
              <a:schemeClr val="accent1"/>
            </a:solidFill>
            <a:round/>
          </a:ln>
          <a:effectLst/>
        </c:spPr>
        <c:marker>
          <c:symbol val="none"/>
        </c:marker>
      </c:pivotFmt>
      <c:pivotFmt>
        <c:idx val="49"/>
        <c:spPr>
          <a:solidFill>
            <a:schemeClr val="accent1"/>
          </a:solidFill>
          <a:ln w="28575" cap="rnd">
            <a:solidFill>
              <a:schemeClr val="accent1"/>
            </a:solidFill>
            <a:round/>
          </a:ln>
          <a:effectLst/>
        </c:spPr>
        <c:marker>
          <c:symbol val="none"/>
        </c:marker>
      </c:pivotFmt>
      <c:pivotFmt>
        <c:idx val="50"/>
        <c:spPr>
          <a:solidFill>
            <a:schemeClr val="accent1"/>
          </a:solidFill>
          <a:ln w="28575" cap="rnd">
            <a:solidFill>
              <a:schemeClr val="accent1"/>
            </a:solidFill>
            <a:round/>
          </a:ln>
          <a:effectLst/>
        </c:spPr>
        <c:marker>
          <c:symbol val="none"/>
        </c:marker>
      </c:pivotFmt>
      <c:pivotFmt>
        <c:idx val="51"/>
        <c:spPr>
          <a:solidFill>
            <a:schemeClr val="accent1"/>
          </a:solidFill>
          <a:ln w="28575" cap="rnd">
            <a:solidFill>
              <a:schemeClr val="accent1"/>
            </a:solidFill>
            <a:round/>
          </a:ln>
          <a:effectLst/>
        </c:spPr>
        <c:marker>
          <c:symbol val="none"/>
        </c:marker>
      </c:pivotFmt>
      <c:pivotFmt>
        <c:idx val="52"/>
        <c:spPr>
          <a:solidFill>
            <a:schemeClr val="accent1"/>
          </a:solidFill>
          <a:ln w="28575" cap="rnd">
            <a:solidFill>
              <a:schemeClr val="accent1"/>
            </a:solidFill>
            <a:round/>
          </a:ln>
          <a:effectLst/>
        </c:spPr>
        <c:marker>
          <c:symbol val="none"/>
        </c:marker>
      </c:pivotFmt>
      <c:pivotFmt>
        <c:idx val="53"/>
        <c:spPr>
          <a:solidFill>
            <a:schemeClr val="accent1"/>
          </a:solidFill>
          <a:ln w="28575" cap="rnd">
            <a:solidFill>
              <a:schemeClr val="accent1"/>
            </a:solidFill>
            <a:round/>
          </a:ln>
          <a:effectLst/>
        </c:spPr>
        <c:marker>
          <c:symbol val="none"/>
        </c:marker>
      </c:pivotFmt>
      <c:pivotFmt>
        <c:idx val="54"/>
        <c:spPr>
          <a:solidFill>
            <a:schemeClr val="accent1"/>
          </a:solidFill>
          <a:ln w="28575" cap="rnd">
            <a:solidFill>
              <a:schemeClr val="accent1"/>
            </a:solidFill>
            <a:round/>
          </a:ln>
          <a:effectLst/>
        </c:spPr>
        <c:marker>
          <c:symbol val="none"/>
        </c:marker>
      </c:pivotFmt>
      <c:pivotFmt>
        <c:idx val="55"/>
        <c:spPr>
          <a:solidFill>
            <a:schemeClr val="accent1"/>
          </a:solidFill>
          <a:ln w="28575" cap="rnd">
            <a:solidFill>
              <a:schemeClr val="accent1"/>
            </a:solidFill>
            <a:round/>
          </a:ln>
          <a:effectLst/>
        </c:spPr>
        <c:marker>
          <c:symbol val="none"/>
        </c:marker>
      </c:pivotFmt>
      <c:pivotFmt>
        <c:idx val="56"/>
        <c:spPr>
          <a:solidFill>
            <a:schemeClr val="accent1"/>
          </a:solidFill>
          <a:ln w="28575" cap="rnd">
            <a:solidFill>
              <a:schemeClr val="accent1"/>
            </a:solidFill>
            <a:round/>
          </a:ln>
          <a:effectLst/>
        </c:spPr>
        <c:marker>
          <c:symbol val="none"/>
        </c:marker>
      </c:pivotFmt>
      <c:pivotFmt>
        <c:idx val="57"/>
        <c:spPr>
          <a:solidFill>
            <a:schemeClr val="accent1"/>
          </a:solidFill>
          <a:ln w="28575" cap="rnd">
            <a:solidFill>
              <a:schemeClr val="accent1"/>
            </a:solidFill>
            <a:round/>
          </a:ln>
          <a:effectLst/>
        </c:spPr>
        <c:marker>
          <c:symbol val="none"/>
        </c:marker>
      </c:pivotFmt>
      <c:pivotFmt>
        <c:idx val="58"/>
        <c:spPr>
          <a:solidFill>
            <a:schemeClr val="accent1"/>
          </a:solidFill>
          <a:ln w="28575" cap="rnd">
            <a:solidFill>
              <a:schemeClr val="accent1"/>
            </a:solidFill>
            <a:round/>
          </a:ln>
          <a:effectLst/>
        </c:spPr>
        <c:marker>
          <c:symbol val="none"/>
        </c:marker>
      </c:pivotFmt>
      <c:pivotFmt>
        <c:idx val="59"/>
        <c:spPr>
          <a:solidFill>
            <a:schemeClr val="accent1"/>
          </a:solidFill>
          <a:ln w="28575" cap="rnd">
            <a:solidFill>
              <a:schemeClr val="accent1"/>
            </a:solidFill>
            <a:round/>
          </a:ln>
          <a:effectLst/>
        </c:spPr>
        <c:marker>
          <c:symbol val="none"/>
        </c:marker>
      </c:pivotFmt>
      <c:pivotFmt>
        <c:idx val="60"/>
        <c:spPr>
          <a:solidFill>
            <a:schemeClr val="accent1"/>
          </a:solidFill>
          <a:ln w="28575" cap="rnd">
            <a:solidFill>
              <a:schemeClr val="accent1"/>
            </a:solidFill>
            <a:round/>
          </a:ln>
          <a:effectLst/>
        </c:spPr>
        <c:marker>
          <c:symbol val="none"/>
        </c:marker>
      </c:pivotFmt>
      <c:pivotFmt>
        <c:idx val="61"/>
        <c:spPr>
          <a:solidFill>
            <a:schemeClr val="accent1"/>
          </a:solidFill>
          <a:ln w="28575" cap="rnd">
            <a:solidFill>
              <a:schemeClr val="accent1"/>
            </a:solidFill>
            <a:round/>
          </a:ln>
          <a:effectLst/>
        </c:spPr>
        <c:marker>
          <c:symbol val="none"/>
        </c:marker>
      </c:pivotFmt>
      <c:pivotFmt>
        <c:idx val="62"/>
        <c:spPr>
          <a:solidFill>
            <a:schemeClr val="accent1"/>
          </a:solidFill>
          <a:ln w="28575" cap="rnd">
            <a:solidFill>
              <a:schemeClr val="accent1"/>
            </a:solidFill>
            <a:round/>
          </a:ln>
          <a:effectLst/>
        </c:spPr>
        <c:marker>
          <c:symbol val="none"/>
        </c:marker>
      </c:pivotFmt>
      <c:pivotFmt>
        <c:idx val="63"/>
        <c:spPr>
          <a:solidFill>
            <a:schemeClr val="accent1"/>
          </a:solidFill>
          <a:ln w="28575" cap="rnd">
            <a:solidFill>
              <a:schemeClr val="accent1"/>
            </a:solidFill>
            <a:round/>
          </a:ln>
          <a:effectLst/>
        </c:spPr>
        <c:marker>
          <c:symbol val="none"/>
        </c:marker>
      </c:pivotFmt>
      <c:pivotFmt>
        <c:idx val="64"/>
        <c:spPr>
          <a:solidFill>
            <a:schemeClr val="accent1"/>
          </a:solidFill>
          <a:ln w="28575" cap="rnd">
            <a:solidFill>
              <a:schemeClr val="accent1"/>
            </a:solidFill>
            <a:round/>
          </a:ln>
          <a:effectLst/>
        </c:spPr>
        <c:marker>
          <c:symbol val="none"/>
        </c:marker>
      </c:pivotFmt>
      <c:pivotFmt>
        <c:idx val="65"/>
        <c:spPr>
          <a:solidFill>
            <a:schemeClr val="accent1"/>
          </a:solidFill>
          <a:ln w="28575" cap="rnd">
            <a:solidFill>
              <a:schemeClr val="accent1"/>
            </a:solidFill>
            <a:round/>
          </a:ln>
          <a:effectLst/>
        </c:spPr>
        <c:marker>
          <c:symbol val="none"/>
        </c:marker>
      </c:pivotFmt>
      <c:pivotFmt>
        <c:idx val="66"/>
        <c:spPr>
          <a:solidFill>
            <a:schemeClr val="accent1"/>
          </a:solidFill>
          <a:ln w="28575" cap="rnd">
            <a:solidFill>
              <a:schemeClr val="accent1"/>
            </a:solidFill>
            <a:round/>
          </a:ln>
          <a:effectLst/>
        </c:spPr>
        <c:marker>
          <c:symbol val="none"/>
        </c:marker>
      </c:pivotFmt>
      <c:pivotFmt>
        <c:idx val="67"/>
        <c:spPr>
          <a:solidFill>
            <a:schemeClr val="accent1"/>
          </a:solidFill>
          <a:ln w="28575" cap="rnd">
            <a:solidFill>
              <a:schemeClr val="accent1"/>
            </a:solidFill>
            <a:round/>
          </a:ln>
          <a:effectLst/>
        </c:spPr>
        <c:marker>
          <c:symbol val="none"/>
        </c:marker>
      </c:pivotFmt>
      <c:pivotFmt>
        <c:idx val="68"/>
        <c:spPr>
          <a:solidFill>
            <a:schemeClr val="accent1"/>
          </a:solidFill>
          <a:ln w="28575" cap="rnd">
            <a:solidFill>
              <a:schemeClr val="accent1"/>
            </a:solidFill>
            <a:round/>
          </a:ln>
          <a:effectLst/>
        </c:spPr>
        <c:marker>
          <c:symbol val="none"/>
        </c:marker>
      </c:pivotFmt>
      <c:pivotFmt>
        <c:idx val="69"/>
        <c:spPr>
          <a:solidFill>
            <a:schemeClr val="accent1"/>
          </a:solidFill>
          <a:ln w="28575" cap="rnd">
            <a:solidFill>
              <a:schemeClr val="accent1"/>
            </a:solidFill>
            <a:round/>
          </a:ln>
          <a:effectLst/>
        </c:spPr>
        <c:marker>
          <c:symbol val="none"/>
        </c:marker>
      </c:pivotFmt>
      <c:pivotFmt>
        <c:idx val="70"/>
        <c:spPr>
          <a:solidFill>
            <a:schemeClr val="accent1"/>
          </a:solidFill>
          <a:ln w="28575" cap="rnd">
            <a:solidFill>
              <a:schemeClr val="accent1"/>
            </a:solidFill>
            <a:round/>
          </a:ln>
          <a:effectLst/>
        </c:spPr>
        <c:marker>
          <c:symbol val="none"/>
        </c:marker>
      </c:pivotFmt>
      <c:pivotFmt>
        <c:idx val="71"/>
        <c:spPr>
          <a:solidFill>
            <a:schemeClr val="accent1"/>
          </a:solidFill>
          <a:ln w="28575" cap="rnd">
            <a:solidFill>
              <a:schemeClr val="accent1"/>
            </a:solidFill>
            <a:round/>
          </a:ln>
          <a:effectLst/>
        </c:spPr>
        <c:marker>
          <c:symbol val="none"/>
        </c:marker>
      </c:pivotFmt>
      <c:pivotFmt>
        <c:idx val="72"/>
        <c:spPr>
          <a:solidFill>
            <a:schemeClr val="accent1"/>
          </a:solidFill>
          <a:ln w="28575" cap="rnd">
            <a:solidFill>
              <a:schemeClr val="accent1"/>
            </a:solidFill>
            <a:round/>
          </a:ln>
          <a:effectLst/>
        </c:spPr>
        <c:marker>
          <c:symbol val="none"/>
        </c:marker>
      </c:pivotFmt>
      <c:pivotFmt>
        <c:idx val="73"/>
        <c:spPr>
          <a:solidFill>
            <a:schemeClr val="accent1"/>
          </a:solidFill>
          <a:ln w="28575" cap="rnd">
            <a:solidFill>
              <a:schemeClr val="accent1"/>
            </a:solidFill>
            <a:round/>
          </a:ln>
          <a:effectLst/>
        </c:spPr>
        <c:marker>
          <c:symbol val="none"/>
        </c:marker>
      </c:pivotFmt>
      <c:pivotFmt>
        <c:idx val="74"/>
        <c:spPr>
          <a:solidFill>
            <a:schemeClr val="accent1"/>
          </a:solidFill>
          <a:ln w="28575" cap="rnd">
            <a:solidFill>
              <a:schemeClr val="accent1"/>
            </a:solidFill>
            <a:round/>
          </a:ln>
          <a:effectLst/>
        </c:spPr>
        <c:marker>
          <c:symbol val="none"/>
        </c:marker>
      </c:pivotFmt>
      <c:pivotFmt>
        <c:idx val="75"/>
        <c:spPr>
          <a:solidFill>
            <a:schemeClr val="accent1"/>
          </a:solidFill>
          <a:ln w="28575" cap="rnd">
            <a:solidFill>
              <a:schemeClr val="accent1"/>
            </a:solidFill>
            <a:round/>
          </a:ln>
          <a:effectLst/>
        </c:spPr>
        <c:marker>
          <c:symbol val="none"/>
        </c:marker>
      </c:pivotFmt>
      <c:pivotFmt>
        <c:idx val="76"/>
        <c:spPr>
          <a:solidFill>
            <a:schemeClr val="accent1"/>
          </a:solidFill>
          <a:ln w="28575" cap="rnd">
            <a:solidFill>
              <a:schemeClr val="accent1"/>
            </a:solidFill>
            <a:round/>
          </a:ln>
          <a:effectLst/>
        </c:spPr>
        <c:marker>
          <c:symbol val="none"/>
        </c:marker>
      </c:pivotFmt>
      <c:pivotFmt>
        <c:idx val="77"/>
        <c:spPr>
          <a:solidFill>
            <a:schemeClr val="accent1"/>
          </a:solidFill>
          <a:ln w="28575" cap="rnd">
            <a:solidFill>
              <a:schemeClr val="accent1"/>
            </a:solidFill>
            <a:round/>
          </a:ln>
          <a:effectLst/>
        </c:spPr>
        <c:marker>
          <c:symbol val="none"/>
        </c:marker>
      </c:pivotFmt>
      <c:pivotFmt>
        <c:idx val="78"/>
        <c:spPr>
          <a:solidFill>
            <a:schemeClr val="accent1"/>
          </a:solidFill>
          <a:ln w="28575" cap="rnd">
            <a:solidFill>
              <a:schemeClr val="accent1"/>
            </a:solidFill>
            <a:round/>
          </a:ln>
          <a:effectLst/>
        </c:spPr>
        <c:marker>
          <c:symbol val="none"/>
        </c:marker>
      </c:pivotFmt>
      <c:pivotFmt>
        <c:idx val="79"/>
        <c:spPr>
          <a:solidFill>
            <a:schemeClr val="accent1"/>
          </a:solidFill>
          <a:ln w="28575" cap="rnd">
            <a:solidFill>
              <a:schemeClr val="accent1"/>
            </a:solidFill>
            <a:round/>
          </a:ln>
          <a:effectLst/>
        </c:spPr>
        <c:marker>
          <c:symbol val="none"/>
        </c:marker>
      </c:pivotFmt>
      <c:pivotFmt>
        <c:idx val="80"/>
        <c:spPr>
          <a:solidFill>
            <a:schemeClr val="accent1"/>
          </a:solidFill>
          <a:ln w="28575" cap="rnd">
            <a:solidFill>
              <a:schemeClr val="accent1"/>
            </a:solidFill>
            <a:round/>
          </a:ln>
          <a:effectLst/>
        </c:spPr>
        <c:marker>
          <c:symbol val="none"/>
        </c:marker>
      </c:pivotFmt>
      <c:pivotFmt>
        <c:idx val="81"/>
        <c:spPr>
          <a:solidFill>
            <a:schemeClr val="accent1"/>
          </a:solidFill>
          <a:ln w="28575" cap="rnd">
            <a:solidFill>
              <a:schemeClr val="accent1"/>
            </a:solidFill>
            <a:round/>
          </a:ln>
          <a:effectLst/>
        </c:spPr>
        <c:marker>
          <c:symbol val="none"/>
        </c:marker>
      </c:pivotFmt>
      <c:pivotFmt>
        <c:idx val="82"/>
        <c:spPr>
          <a:solidFill>
            <a:schemeClr val="accent1"/>
          </a:solidFill>
          <a:ln w="28575" cap="rnd">
            <a:solidFill>
              <a:schemeClr val="accent1"/>
            </a:solidFill>
            <a:round/>
          </a:ln>
          <a:effectLst/>
        </c:spPr>
        <c:marker>
          <c:symbol val="none"/>
        </c:marker>
      </c:pivotFmt>
      <c:pivotFmt>
        <c:idx val="83"/>
        <c:spPr>
          <a:solidFill>
            <a:schemeClr val="accent1"/>
          </a:solidFill>
          <a:ln w="28575" cap="rnd">
            <a:solidFill>
              <a:schemeClr val="accent1"/>
            </a:solidFill>
            <a:round/>
          </a:ln>
          <a:effectLst/>
        </c:spPr>
        <c:marker>
          <c:symbol val="none"/>
        </c:marker>
      </c:pivotFmt>
      <c:pivotFmt>
        <c:idx val="84"/>
        <c:spPr>
          <a:solidFill>
            <a:schemeClr val="accent1"/>
          </a:solidFill>
          <a:ln w="28575" cap="rnd">
            <a:solidFill>
              <a:schemeClr val="accent1"/>
            </a:solidFill>
            <a:round/>
          </a:ln>
          <a:effectLst/>
        </c:spPr>
        <c:marker>
          <c:symbol val="none"/>
        </c:marker>
      </c:pivotFmt>
      <c:pivotFmt>
        <c:idx val="85"/>
        <c:spPr>
          <a:solidFill>
            <a:schemeClr val="accent1"/>
          </a:solidFill>
          <a:ln w="28575" cap="rnd">
            <a:solidFill>
              <a:schemeClr val="accent1"/>
            </a:solidFill>
            <a:round/>
          </a:ln>
          <a:effectLst/>
        </c:spPr>
        <c:marker>
          <c:symbol val="none"/>
        </c:marker>
      </c:pivotFmt>
      <c:pivotFmt>
        <c:idx val="86"/>
        <c:spPr>
          <a:solidFill>
            <a:schemeClr val="accent1"/>
          </a:solidFill>
          <a:ln w="28575" cap="rnd">
            <a:solidFill>
              <a:schemeClr val="accent1"/>
            </a:solidFill>
            <a:round/>
          </a:ln>
          <a:effectLst/>
        </c:spPr>
        <c:marker>
          <c:symbol val="none"/>
        </c:marker>
      </c:pivotFmt>
      <c:pivotFmt>
        <c:idx val="87"/>
        <c:spPr>
          <a:solidFill>
            <a:schemeClr val="accent1"/>
          </a:solidFill>
          <a:ln w="28575" cap="rnd">
            <a:solidFill>
              <a:schemeClr val="accent1"/>
            </a:solidFill>
            <a:round/>
          </a:ln>
          <a:effectLst/>
        </c:spPr>
        <c:marker>
          <c:symbol val="none"/>
        </c:marker>
      </c:pivotFmt>
      <c:pivotFmt>
        <c:idx val="88"/>
        <c:spPr>
          <a:solidFill>
            <a:schemeClr val="accent1"/>
          </a:solidFill>
          <a:ln w="28575" cap="rnd">
            <a:solidFill>
              <a:schemeClr val="accent1"/>
            </a:solidFill>
            <a:round/>
          </a:ln>
          <a:effectLst/>
        </c:spPr>
        <c:marker>
          <c:symbol val="none"/>
        </c:marker>
      </c:pivotFmt>
      <c:pivotFmt>
        <c:idx val="89"/>
        <c:spPr>
          <a:solidFill>
            <a:schemeClr val="accent1"/>
          </a:solidFill>
          <a:ln w="28575" cap="rnd">
            <a:solidFill>
              <a:schemeClr val="accent1"/>
            </a:solidFill>
            <a:round/>
          </a:ln>
          <a:effectLst/>
        </c:spPr>
        <c:marker>
          <c:symbol val="none"/>
        </c:marker>
      </c:pivotFmt>
      <c:pivotFmt>
        <c:idx val="90"/>
        <c:spPr>
          <a:solidFill>
            <a:schemeClr val="accent1"/>
          </a:solidFill>
          <a:ln w="28575" cap="rnd">
            <a:solidFill>
              <a:schemeClr val="accent1"/>
            </a:solidFill>
            <a:round/>
          </a:ln>
          <a:effectLst/>
        </c:spPr>
        <c:marker>
          <c:symbol val="none"/>
        </c:marker>
      </c:pivotFmt>
      <c:pivotFmt>
        <c:idx val="91"/>
        <c:spPr>
          <a:solidFill>
            <a:schemeClr val="accent1"/>
          </a:solidFill>
          <a:ln w="28575" cap="rnd">
            <a:solidFill>
              <a:schemeClr val="accent1"/>
            </a:solidFill>
            <a:round/>
          </a:ln>
          <a:effectLst/>
        </c:spPr>
        <c:marker>
          <c:symbol val="none"/>
        </c:marker>
      </c:pivotFmt>
      <c:pivotFmt>
        <c:idx val="92"/>
        <c:spPr>
          <a:solidFill>
            <a:schemeClr val="accent1"/>
          </a:solidFill>
          <a:ln w="28575" cap="rnd">
            <a:solidFill>
              <a:schemeClr val="accent1"/>
            </a:solidFill>
            <a:round/>
          </a:ln>
          <a:effectLst/>
        </c:spPr>
        <c:marker>
          <c:symbol val="none"/>
        </c:marker>
      </c:pivotFmt>
      <c:pivotFmt>
        <c:idx val="93"/>
        <c:spPr>
          <a:solidFill>
            <a:schemeClr val="accent1"/>
          </a:solidFill>
          <a:ln w="28575" cap="rnd">
            <a:solidFill>
              <a:schemeClr val="accent1"/>
            </a:solidFill>
            <a:round/>
          </a:ln>
          <a:effectLst/>
        </c:spPr>
        <c:marker>
          <c:symbol val="none"/>
        </c:marker>
      </c:pivotFmt>
      <c:pivotFmt>
        <c:idx val="94"/>
        <c:spPr>
          <a:solidFill>
            <a:schemeClr val="accent1"/>
          </a:solidFill>
          <a:ln w="28575" cap="rnd">
            <a:solidFill>
              <a:schemeClr val="accent1"/>
            </a:solidFill>
            <a:round/>
          </a:ln>
          <a:effectLst/>
        </c:spPr>
        <c:marker>
          <c:symbol val="none"/>
        </c:marker>
      </c:pivotFmt>
      <c:pivotFmt>
        <c:idx val="95"/>
        <c:spPr>
          <a:solidFill>
            <a:schemeClr val="accent1"/>
          </a:solidFill>
          <a:ln w="28575" cap="rnd">
            <a:solidFill>
              <a:schemeClr val="accent1"/>
            </a:solidFill>
            <a:round/>
          </a:ln>
          <a:effectLst/>
        </c:spPr>
        <c:marker>
          <c:symbol val="none"/>
        </c:marker>
      </c:pivotFmt>
      <c:pivotFmt>
        <c:idx val="96"/>
        <c:spPr>
          <a:solidFill>
            <a:schemeClr val="accent1"/>
          </a:solidFill>
          <a:ln w="28575" cap="rnd">
            <a:solidFill>
              <a:schemeClr val="accent1"/>
            </a:solidFill>
            <a:round/>
          </a:ln>
          <a:effectLst/>
        </c:spPr>
        <c:marker>
          <c:symbol val="none"/>
        </c:marker>
      </c:pivotFmt>
      <c:pivotFmt>
        <c:idx val="97"/>
        <c:spPr>
          <a:solidFill>
            <a:schemeClr val="accent1"/>
          </a:solidFill>
          <a:ln w="28575" cap="rnd">
            <a:solidFill>
              <a:schemeClr val="accent1"/>
            </a:solidFill>
            <a:round/>
          </a:ln>
          <a:effectLst/>
        </c:spPr>
        <c:marker>
          <c:symbol val="none"/>
        </c:marker>
      </c:pivotFmt>
      <c:pivotFmt>
        <c:idx val="98"/>
        <c:spPr>
          <a:solidFill>
            <a:schemeClr val="accent1"/>
          </a:solidFill>
          <a:ln w="28575" cap="rnd">
            <a:solidFill>
              <a:schemeClr val="accent1"/>
            </a:solidFill>
            <a:round/>
          </a:ln>
          <a:effectLst/>
        </c:spPr>
        <c:marker>
          <c:symbol val="none"/>
        </c:marker>
      </c:pivotFmt>
      <c:pivotFmt>
        <c:idx val="99"/>
        <c:spPr>
          <a:solidFill>
            <a:schemeClr val="accent1"/>
          </a:solidFill>
          <a:ln w="28575" cap="rnd">
            <a:solidFill>
              <a:schemeClr val="accent1"/>
            </a:solidFill>
            <a:round/>
          </a:ln>
          <a:effectLst/>
        </c:spPr>
        <c:marker>
          <c:symbol val="none"/>
        </c:marker>
      </c:pivotFmt>
      <c:pivotFmt>
        <c:idx val="100"/>
        <c:spPr>
          <a:solidFill>
            <a:schemeClr val="accent1"/>
          </a:solidFill>
          <a:ln w="28575" cap="rnd">
            <a:solidFill>
              <a:schemeClr val="accent1"/>
            </a:solidFill>
            <a:round/>
          </a:ln>
          <a:effectLst/>
        </c:spPr>
        <c:marker>
          <c:symbol val="none"/>
        </c:marker>
      </c:pivotFmt>
      <c:pivotFmt>
        <c:idx val="101"/>
        <c:spPr>
          <a:solidFill>
            <a:schemeClr val="accent1"/>
          </a:solidFill>
          <a:ln w="28575" cap="rnd">
            <a:solidFill>
              <a:schemeClr val="accent1"/>
            </a:solidFill>
            <a:round/>
          </a:ln>
          <a:effectLst/>
        </c:spPr>
        <c:marker>
          <c:symbol val="none"/>
        </c:marker>
      </c:pivotFmt>
      <c:pivotFmt>
        <c:idx val="102"/>
        <c:spPr>
          <a:solidFill>
            <a:schemeClr val="accent1"/>
          </a:solidFill>
          <a:ln w="28575" cap="rnd">
            <a:solidFill>
              <a:schemeClr val="accent1"/>
            </a:solidFill>
            <a:round/>
          </a:ln>
          <a:effectLst/>
        </c:spPr>
        <c:marker>
          <c:symbol val="none"/>
        </c:marker>
      </c:pivotFmt>
      <c:pivotFmt>
        <c:idx val="103"/>
        <c:spPr>
          <a:solidFill>
            <a:schemeClr val="accent1"/>
          </a:solidFill>
          <a:ln w="28575" cap="rnd">
            <a:solidFill>
              <a:schemeClr val="accent1"/>
            </a:solidFill>
            <a:round/>
          </a:ln>
          <a:effectLst/>
        </c:spPr>
        <c:marker>
          <c:symbol val="none"/>
        </c:marker>
      </c:pivotFmt>
      <c:pivotFmt>
        <c:idx val="104"/>
        <c:spPr>
          <a:solidFill>
            <a:schemeClr val="accent1"/>
          </a:solidFill>
          <a:ln w="28575" cap="rnd">
            <a:solidFill>
              <a:schemeClr val="accent1"/>
            </a:solidFill>
            <a:round/>
          </a:ln>
          <a:effectLst/>
        </c:spPr>
        <c:marker>
          <c:symbol val="none"/>
        </c:marker>
      </c:pivotFmt>
      <c:pivotFmt>
        <c:idx val="105"/>
        <c:spPr>
          <a:solidFill>
            <a:schemeClr val="accent1"/>
          </a:solidFill>
          <a:ln w="28575" cap="rnd">
            <a:solidFill>
              <a:schemeClr val="accent1"/>
            </a:solidFill>
            <a:round/>
          </a:ln>
          <a:effectLst/>
        </c:spPr>
        <c:marker>
          <c:symbol val="none"/>
        </c:marker>
      </c:pivotFmt>
      <c:pivotFmt>
        <c:idx val="106"/>
        <c:spPr>
          <a:solidFill>
            <a:schemeClr val="accent1"/>
          </a:solidFill>
          <a:ln w="28575" cap="rnd">
            <a:solidFill>
              <a:schemeClr val="accent1"/>
            </a:solidFill>
            <a:round/>
          </a:ln>
          <a:effectLst/>
        </c:spPr>
        <c:marker>
          <c:symbol val="none"/>
        </c:marker>
      </c:pivotFmt>
      <c:pivotFmt>
        <c:idx val="107"/>
        <c:spPr>
          <a:solidFill>
            <a:schemeClr val="accent1"/>
          </a:solidFill>
          <a:ln w="28575" cap="rnd">
            <a:solidFill>
              <a:schemeClr val="accent1"/>
            </a:solidFill>
            <a:round/>
          </a:ln>
          <a:effectLst/>
        </c:spPr>
        <c:marker>
          <c:symbol val="none"/>
        </c:marker>
      </c:pivotFmt>
      <c:pivotFmt>
        <c:idx val="108"/>
        <c:spPr>
          <a:solidFill>
            <a:schemeClr val="accent1"/>
          </a:solidFill>
          <a:ln w="28575" cap="rnd">
            <a:solidFill>
              <a:schemeClr val="accent1"/>
            </a:solidFill>
            <a:round/>
          </a:ln>
          <a:effectLst/>
        </c:spPr>
        <c:marker>
          <c:symbol val="none"/>
        </c:marker>
      </c:pivotFmt>
      <c:pivotFmt>
        <c:idx val="109"/>
        <c:spPr>
          <a:solidFill>
            <a:schemeClr val="accent1"/>
          </a:solidFill>
          <a:ln w="28575" cap="rnd">
            <a:solidFill>
              <a:schemeClr val="accent1"/>
            </a:solidFill>
            <a:round/>
          </a:ln>
          <a:effectLst/>
        </c:spPr>
        <c:marker>
          <c:symbol val="none"/>
        </c:marker>
      </c:pivotFmt>
      <c:pivotFmt>
        <c:idx val="110"/>
        <c:spPr>
          <a:solidFill>
            <a:schemeClr val="accent1"/>
          </a:solidFill>
          <a:ln w="28575" cap="rnd">
            <a:solidFill>
              <a:schemeClr val="accent1"/>
            </a:solidFill>
            <a:round/>
          </a:ln>
          <a:effectLst/>
        </c:spPr>
        <c:marker>
          <c:symbol val="none"/>
        </c:marker>
      </c:pivotFmt>
      <c:pivotFmt>
        <c:idx val="111"/>
        <c:spPr>
          <a:solidFill>
            <a:schemeClr val="accent1"/>
          </a:solidFill>
          <a:ln w="28575" cap="rnd">
            <a:solidFill>
              <a:schemeClr val="accent1"/>
            </a:solidFill>
            <a:round/>
          </a:ln>
          <a:effectLst/>
        </c:spPr>
        <c:marker>
          <c:symbol val="none"/>
        </c:marker>
      </c:pivotFmt>
      <c:pivotFmt>
        <c:idx val="112"/>
        <c:spPr>
          <a:solidFill>
            <a:schemeClr val="accent1"/>
          </a:solidFill>
          <a:ln w="28575" cap="rnd">
            <a:solidFill>
              <a:schemeClr val="accent1"/>
            </a:solidFill>
            <a:round/>
          </a:ln>
          <a:effectLst/>
        </c:spPr>
        <c:marker>
          <c:symbol val="none"/>
        </c:marker>
      </c:pivotFmt>
      <c:pivotFmt>
        <c:idx val="113"/>
        <c:spPr>
          <a:solidFill>
            <a:schemeClr val="accent1"/>
          </a:solidFill>
          <a:ln w="28575" cap="rnd">
            <a:solidFill>
              <a:schemeClr val="accent1"/>
            </a:solidFill>
            <a:round/>
          </a:ln>
          <a:effectLst/>
        </c:spPr>
        <c:marker>
          <c:symbol val="none"/>
        </c:marker>
      </c:pivotFmt>
      <c:pivotFmt>
        <c:idx val="114"/>
        <c:spPr>
          <a:solidFill>
            <a:schemeClr val="accent1"/>
          </a:solidFill>
          <a:ln w="28575" cap="rnd">
            <a:solidFill>
              <a:schemeClr val="accent1"/>
            </a:solidFill>
            <a:round/>
          </a:ln>
          <a:effectLst/>
        </c:spPr>
        <c:marker>
          <c:symbol val="none"/>
        </c:marker>
      </c:pivotFmt>
      <c:pivotFmt>
        <c:idx val="115"/>
        <c:spPr>
          <a:solidFill>
            <a:schemeClr val="accent1"/>
          </a:solidFill>
          <a:ln w="28575" cap="rnd">
            <a:solidFill>
              <a:schemeClr val="accent1"/>
            </a:solidFill>
            <a:round/>
          </a:ln>
          <a:effectLst/>
        </c:spPr>
        <c:marker>
          <c:symbol val="none"/>
        </c:marker>
      </c:pivotFmt>
      <c:pivotFmt>
        <c:idx val="116"/>
        <c:spPr>
          <a:solidFill>
            <a:schemeClr val="accent1"/>
          </a:solidFill>
          <a:ln w="28575" cap="rnd">
            <a:solidFill>
              <a:schemeClr val="accent1"/>
            </a:solidFill>
            <a:round/>
          </a:ln>
          <a:effectLst/>
        </c:spPr>
        <c:marker>
          <c:symbol val="none"/>
        </c:marker>
      </c:pivotFmt>
      <c:pivotFmt>
        <c:idx val="117"/>
        <c:spPr>
          <a:solidFill>
            <a:schemeClr val="accent1"/>
          </a:solidFill>
          <a:ln w="28575" cap="rnd">
            <a:solidFill>
              <a:schemeClr val="accent1"/>
            </a:solidFill>
            <a:round/>
          </a:ln>
          <a:effectLst/>
        </c:spPr>
        <c:marker>
          <c:symbol val="none"/>
        </c:marker>
      </c:pivotFmt>
      <c:pivotFmt>
        <c:idx val="118"/>
        <c:spPr>
          <a:solidFill>
            <a:schemeClr val="accent1"/>
          </a:solidFill>
          <a:ln w="28575" cap="rnd">
            <a:solidFill>
              <a:schemeClr val="accent1"/>
            </a:solidFill>
            <a:round/>
          </a:ln>
          <a:effectLst/>
        </c:spPr>
        <c:marker>
          <c:symbol val="none"/>
        </c:marker>
      </c:pivotFmt>
      <c:pivotFmt>
        <c:idx val="119"/>
        <c:spPr>
          <a:solidFill>
            <a:schemeClr val="accent1"/>
          </a:solidFill>
          <a:ln w="28575" cap="rnd">
            <a:solidFill>
              <a:schemeClr val="accent1"/>
            </a:solidFill>
            <a:round/>
          </a:ln>
          <a:effectLst/>
        </c:spPr>
        <c:marker>
          <c:symbol val="none"/>
        </c:marker>
      </c:pivotFmt>
      <c:pivotFmt>
        <c:idx val="120"/>
        <c:spPr>
          <a:solidFill>
            <a:schemeClr val="accent1"/>
          </a:solidFill>
          <a:ln w="28575" cap="rnd">
            <a:solidFill>
              <a:schemeClr val="accent1"/>
            </a:solidFill>
            <a:round/>
          </a:ln>
          <a:effectLst/>
        </c:spPr>
        <c:marker>
          <c:symbol val="none"/>
        </c:marker>
      </c:pivotFmt>
      <c:pivotFmt>
        <c:idx val="121"/>
        <c:spPr>
          <a:solidFill>
            <a:schemeClr val="accent1"/>
          </a:solidFill>
          <a:ln w="28575" cap="rnd">
            <a:solidFill>
              <a:schemeClr val="accent1"/>
            </a:solidFill>
            <a:round/>
          </a:ln>
          <a:effectLst/>
        </c:spPr>
        <c:marker>
          <c:symbol val="none"/>
        </c:marker>
      </c:pivotFmt>
      <c:pivotFmt>
        <c:idx val="122"/>
        <c:spPr>
          <a:solidFill>
            <a:schemeClr val="accent1"/>
          </a:solidFill>
          <a:ln w="28575" cap="rnd">
            <a:solidFill>
              <a:schemeClr val="accent1"/>
            </a:solidFill>
            <a:round/>
          </a:ln>
          <a:effectLst/>
        </c:spPr>
        <c:marker>
          <c:symbol val="none"/>
        </c:marker>
      </c:pivotFmt>
      <c:pivotFmt>
        <c:idx val="123"/>
        <c:spPr>
          <a:solidFill>
            <a:schemeClr val="accent1"/>
          </a:solidFill>
          <a:ln w="28575" cap="rnd">
            <a:solidFill>
              <a:schemeClr val="accent1"/>
            </a:solidFill>
            <a:round/>
          </a:ln>
          <a:effectLst/>
        </c:spPr>
        <c:marker>
          <c:symbol val="none"/>
        </c:marker>
      </c:pivotFmt>
      <c:pivotFmt>
        <c:idx val="124"/>
        <c:spPr>
          <a:solidFill>
            <a:schemeClr val="accent1"/>
          </a:solidFill>
          <a:ln w="28575" cap="rnd">
            <a:solidFill>
              <a:schemeClr val="accent1"/>
            </a:solidFill>
            <a:round/>
          </a:ln>
          <a:effectLst/>
        </c:spPr>
        <c:marker>
          <c:symbol val="none"/>
        </c:marker>
      </c:pivotFmt>
      <c:pivotFmt>
        <c:idx val="125"/>
        <c:spPr>
          <a:solidFill>
            <a:schemeClr val="accent1"/>
          </a:solidFill>
          <a:ln w="28575" cap="rnd">
            <a:solidFill>
              <a:schemeClr val="accent1"/>
            </a:solidFill>
            <a:round/>
          </a:ln>
          <a:effectLst/>
        </c:spPr>
        <c:marker>
          <c:symbol val="none"/>
        </c:marker>
      </c:pivotFmt>
      <c:pivotFmt>
        <c:idx val="126"/>
        <c:spPr>
          <a:solidFill>
            <a:schemeClr val="accent1"/>
          </a:solidFill>
          <a:ln w="28575" cap="rnd">
            <a:solidFill>
              <a:schemeClr val="accent1"/>
            </a:solidFill>
            <a:round/>
          </a:ln>
          <a:effectLst/>
        </c:spPr>
        <c:marker>
          <c:symbol val="none"/>
        </c:marker>
      </c:pivotFmt>
      <c:pivotFmt>
        <c:idx val="127"/>
        <c:spPr>
          <a:solidFill>
            <a:schemeClr val="accent1"/>
          </a:solidFill>
          <a:ln w="28575" cap="rnd">
            <a:solidFill>
              <a:schemeClr val="accent1"/>
            </a:solidFill>
            <a:round/>
          </a:ln>
          <a:effectLst/>
        </c:spPr>
        <c:marker>
          <c:symbol val="none"/>
        </c:marker>
      </c:pivotFmt>
      <c:pivotFmt>
        <c:idx val="128"/>
        <c:spPr>
          <a:solidFill>
            <a:schemeClr val="accent1"/>
          </a:solidFill>
          <a:ln w="28575" cap="rnd">
            <a:solidFill>
              <a:schemeClr val="accent1"/>
            </a:solidFill>
            <a:round/>
          </a:ln>
          <a:effectLst/>
        </c:spPr>
        <c:marker>
          <c:symbol val="none"/>
        </c:marker>
      </c:pivotFmt>
      <c:pivotFmt>
        <c:idx val="129"/>
        <c:spPr>
          <a:solidFill>
            <a:schemeClr val="accent1"/>
          </a:solidFill>
          <a:ln w="28575" cap="rnd">
            <a:solidFill>
              <a:schemeClr val="accent1"/>
            </a:solidFill>
            <a:round/>
          </a:ln>
          <a:effectLst/>
        </c:spPr>
        <c:marker>
          <c:symbol val="none"/>
        </c:marker>
      </c:pivotFmt>
      <c:pivotFmt>
        <c:idx val="130"/>
        <c:spPr>
          <a:solidFill>
            <a:schemeClr val="accent1"/>
          </a:solidFill>
          <a:ln w="28575" cap="rnd">
            <a:solidFill>
              <a:schemeClr val="accent1"/>
            </a:solidFill>
            <a:round/>
          </a:ln>
          <a:effectLst/>
        </c:spPr>
        <c:marker>
          <c:symbol val="none"/>
        </c:marker>
      </c:pivotFmt>
      <c:pivotFmt>
        <c:idx val="131"/>
        <c:spPr>
          <a:solidFill>
            <a:schemeClr val="accent1"/>
          </a:solidFill>
          <a:ln w="28575" cap="rnd">
            <a:solidFill>
              <a:schemeClr val="accent1"/>
            </a:solidFill>
            <a:round/>
          </a:ln>
          <a:effectLst/>
        </c:spPr>
        <c:marker>
          <c:symbol val="none"/>
        </c:marker>
      </c:pivotFmt>
      <c:pivotFmt>
        <c:idx val="132"/>
        <c:spPr>
          <a:solidFill>
            <a:schemeClr val="accent1"/>
          </a:solidFill>
          <a:ln w="28575" cap="rnd">
            <a:solidFill>
              <a:schemeClr val="accent1"/>
            </a:solidFill>
            <a:round/>
          </a:ln>
          <a:effectLst/>
        </c:spPr>
        <c:marker>
          <c:symbol val="none"/>
        </c:marker>
      </c:pivotFmt>
      <c:pivotFmt>
        <c:idx val="133"/>
        <c:spPr>
          <a:solidFill>
            <a:schemeClr val="accent1"/>
          </a:solidFill>
          <a:ln w="28575" cap="rnd">
            <a:solidFill>
              <a:schemeClr val="accent1"/>
            </a:solidFill>
            <a:round/>
          </a:ln>
          <a:effectLst/>
        </c:spPr>
        <c:marker>
          <c:symbol val="none"/>
        </c:marker>
      </c:pivotFmt>
      <c:pivotFmt>
        <c:idx val="134"/>
        <c:spPr>
          <a:solidFill>
            <a:schemeClr val="accent1"/>
          </a:solidFill>
          <a:ln w="28575" cap="rnd">
            <a:solidFill>
              <a:schemeClr val="accent1"/>
            </a:solidFill>
            <a:round/>
          </a:ln>
          <a:effectLst/>
        </c:spPr>
        <c:marker>
          <c:symbol val="none"/>
        </c:marker>
      </c:pivotFmt>
      <c:pivotFmt>
        <c:idx val="135"/>
        <c:spPr>
          <a:solidFill>
            <a:schemeClr val="accent1"/>
          </a:solidFill>
          <a:ln w="28575" cap="rnd">
            <a:solidFill>
              <a:schemeClr val="accent1"/>
            </a:solidFill>
            <a:round/>
          </a:ln>
          <a:effectLst/>
        </c:spPr>
        <c:marker>
          <c:symbol val="none"/>
        </c:marker>
      </c:pivotFmt>
      <c:pivotFmt>
        <c:idx val="136"/>
        <c:spPr>
          <a:solidFill>
            <a:schemeClr val="accent1"/>
          </a:solidFill>
          <a:ln w="28575" cap="rnd">
            <a:solidFill>
              <a:schemeClr val="accent1"/>
            </a:solidFill>
            <a:round/>
          </a:ln>
          <a:effectLst/>
        </c:spPr>
        <c:marker>
          <c:symbol val="none"/>
        </c:marker>
      </c:pivotFmt>
      <c:pivotFmt>
        <c:idx val="137"/>
        <c:spPr>
          <a:solidFill>
            <a:schemeClr val="accent1"/>
          </a:solidFill>
          <a:ln w="28575" cap="rnd">
            <a:solidFill>
              <a:schemeClr val="accent1"/>
            </a:solidFill>
            <a:round/>
          </a:ln>
          <a:effectLst/>
        </c:spPr>
        <c:marker>
          <c:symbol val="none"/>
        </c:marker>
      </c:pivotFmt>
      <c:pivotFmt>
        <c:idx val="138"/>
        <c:spPr>
          <a:solidFill>
            <a:schemeClr val="accent1"/>
          </a:solidFill>
          <a:ln w="28575" cap="rnd">
            <a:solidFill>
              <a:schemeClr val="accent1"/>
            </a:solidFill>
            <a:round/>
          </a:ln>
          <a:effectLst/>
        </c:spPr>
        <c:marker>
          <c:symbol val="none"/>
        </c:marker>
      </c:pivotFmt>
      <c:pivotFmt>
        <c:idx val="139"/>
        <c:spPr>
          <a:solidFill>
            <a:schemeClr val="accent1"/>
          </a:solidFill>
          <a:ln w="28575" cap="rnd">
            <a:solidFill>
              <a:schemeClr val="accent1"/>
            </a:solidFill>
            <a:round/>
          </a:ln>
          <a:effectLst/>
        </c:spPr>
        <c:marker>
          <c:symbol val="none"/>
        </c:marker>
      </c:pivotFmt>
      <c:pivotFmt>
        <c:idx val="140"/>
        <c:spPr>
          <a:solidFill>
            <a:schemeClr val="accent1"/>
          </a:solidFill>
          <a:ln w="28575" cap="rnd">
            <a:solidFill>
              <a:schemeClr val="accent1"/>
            </a:solidFill>
            <a:round/>
          </a:ln>
          <a:effectLst/>
        </c:spPr>
        <c:marker>
          <c:symbol val="none"/>
        </c:marker>
      </c:pivotFmt>
      <c:pivotFmt>
        <c:idx val="141"/>
        <c:spPr>
          <a:solidFill>
            <a:schemeClr val="accent1"/>
          </a:solidFill>
          <a:ln w="28575" cap="rnd">
            <a:solidFill>
              <a:schemeClr val="accent1"/>
            </a:solidFill>
            <a:round/>
          </a:ln>
          <a:effectLst/>
        </c:spPr>
        <c:marker>
          <c:symbol val="none"/>
        </c:marker>
      </c:pivotFmt>
      <c:pivotFmt>
        <c:idx val="142"/>
        <c:spPr>
          <a:solidFill>
            <a:schemeClr val="accent1"/>
          </a:solidFill>
          <a:ln w="28575" cap="rnd">
            <a:solidFill>
              <a:schemeClr val="accent1"/>
            </a:solidFill>
            <a:round/>
          </a:ln>
          <a:effectLst/>
        </c:spPr>
        <c:marker>
          <c:symbol val="none"/>
        </c:marker>
      </c:pivotFmt>
      <c:pivotFmt>
        <c:idx val="143"/>
        <c:spPr>
          <a:solidFill>
            <a:schemeClr val="accent1"/>
          </a:solidFill>
          <a:ln w="28575" cap="rnd">
            <a:solidFill>
              <a:schemeClr val="accent1"/>
            </a:solidFill>
            <a:round/>
          </a:ln>
          <a:effectLst/>
        </c:spPr>
        <c:marker>
          <c:symbol val="none"/>
        </c:marker>
      </c:pivotFmt>
      <c:pivotFmt>
        <c:idx val="144"/>
        <c:spPr>
          <a:solidFill>
            <a:schemeClr val="accent1"/>
          </a:solidFill>
          <a:ln w="28575" cap="rnd">
            <a:solidFill>
              <a:schemeClr val="accent1"/>
            </a:solidFill>
            <a:round/>
          </a:ln>
          <a:effectLst/>
        </c:spPr>
        <c:marker>
          <c:symbol val="none"/>
        </c:marker>
      </c:pivotFmt>
      <c:pivotFmt>
        <c:idx val="145"/>
        <c:spPr>
          <a:solidFill>
            <a:schemeClr val="accent1"/>
          </a:solidFill>
          <a:ln w="28575" cap="rnd">
            <a:solidFill>
              <a:schemeClr val="accent1"/>
            </a:solidFill>
            <a:round/>
          </a:ln>
          <a:effectLst/>
        </c:spPr>
        <c:marker>
          <c:symbol val="none"/>
        </c:marker>
      </c:pivotFmt>
      <c:pivotFmt>
        <c:idx val="146"/>
        <c:spPr>
          <a:solidFill>
            <a:schemeClr val="accent1"/>
          </a:solidFill>
          <a:ln w="28575" cap="rnd">
            <a:solidFill>
              <a:schemeClr val="accent1"/>
            </a:solidFill>
            <a:round/>
          </a:ln>
          <a:effectLst/>
        </c:spPr>
        <c:marker>
          <c:symbol val="none"/>
        </c:marker>
      </c:pivotFmt>
      <c:pivotFmt>
        <c:idx val="147"/>
        <c:spPr>
          <a:solidFill>
            <a:schemeClr val="accent1"/>
          </a:solidFill>
          <a:ln w="28575" cap="rnd">
            <a:solidFill>
              <a:schemeClr val="accent1"/>
            </a:solidFill>
            <a:round/>
          </a:ln>
          <a:effectLst/>
        </c:spPr>
        <c:marker>
          <c:symbol val="none"/>
        </c:marker>
      </c:pivotFmt>
      <c:pivotFmt>
        <c:idx val="148"/>
        <c:spPr>
          <a:solidFill>
            <a:schemeClr val="accent1"/>
          </a:solidFill>
          <a:ln w="28575" cap="rnd">
            <a:solidFill>
              <a:schemeClr val="accent1"/>
            </a:solidFill>
            <a:round/>
          </a:ln>
          <a:effectLst/>
        </c:spPr>
        <c:marker>
          <c:symbol val="none"/>
        </c:marker>
      </c:pivotFmt>
      <c:pivotFmt>
        <c:idx val="149"/>
        <c:spPr>
          <a:solidFill>
            <a:schemeClr val="accent1"/>
          </a:solidFill>
          <a:ln w="28575" cap="rnd">
            <a:solidFill>
              <a:schemeClr val="accent1"/>
            </a:solidFill>
            <a:round/>
          </a:ln>
          <a:effectLst/>
        </c:spPr>
        <c:marker>
          <c:symbol val="none"/>
        </c:marker>
      </c:pivotFmt>
      <c:pivotFmt>
        <c:idx val="150"/>
        <c:spPr>
          <a:solidFill>
            <a:schemeClr val="accent1"/>
          </a:solidFill>
          <a:ln w="28575" cap="rnd">
            <a:solidFill>
              <a:schemeClr val="accent1"/>
            </a:solidFill>
            <a:round/>
          </a:ln>
          <a:effectLst/>
        </c:spPr>
        <c:marker>
          <c:symbol val="none"/>
        </c:marker>
      </c:pivotFmt>
      <c:pivotFmt>
        <c:idx val="151"/>
        <c:spPr>
          <a:solidFill>
            <a:schemeClr val="accent1"/>
          </a:solidFill>
          <a:ln w="28575" cap="rnd">
            <a:solidFill>
              <a:schemeClr val="accent1"/>
            </a:solidFill>
            <a:round/>
          </a:ln>
          <a:effectLst/>
        </c:spPr>
        <c:marker>
          <c:symbol val="none"/>
        </c:marker>
      </c:pivotFmt>
      <c:pivotFmt>
        <c:idx val="152"/>
        <c:spPr>
          <a:solidFill>
            <a:schemeClr val="accent1"/>
          </a:solidFill>
          <a:ln w="28575" cap="rnd">
            <a:solidFill>
              <a:schemeClr val="accent1"/>
            </a:solidFill>
            <a:round/>
          </a:ln>
          <a:effectLst/>
        </c:spPr>
        <c:marker>
          <c:symbol val="none"/>
        </c:marker>
      </c:pivotFmt>
      <c:pivotFmt>
        <c:idx val="153"/>
        <c:spPr>
          <a:solidFill>
            <a:schemeClr val="accent1"/>
          </a:solidFill>
          <a:ln w="28575" cap="rnd">
            <a:solidFill>
              <a:schemeClr val="accent1"/>
            </a:solidFill>
            <a:round/>
          </a:ln>
          <a:effectLst/>
        </c:spPr>
        <c:marker>
          <c:symbol val="none"/>
        </c:marker>
      </c:pivotFmt>
      <c:pivotFmt>
        <c:idx val="154"/>
        <c:spPr>
          <a:solidFill>
            <a:schemeClr val="accent1"/>
          </a:solidFill>
          <a:ln w="28575" cap="rnd">
            <a:solidFill>
              <a:schemeClr val="accent1"/>
            </a:solidFill>
            <a:round/>
          </a:ln>
          <a:effectLst/>
        </c:spPr>
        <c:marker>
          <c:symbol val="none"/>
        </c:marker>
      </c:pivotFmt>
      <c:pivotFmt>
        <c:idx val="155"/>
        <c:spPr>
          <a:solidFill>
            <a:schemeClr val="accent1"/>
          </a:solidFill>
          <a:ln w="28575" cap="rnd">
            <a:solidFill>
              <a:schemeClr val="accent1"/>
            </a:solidFill>
            <a:round/>
          </a:ln>
          <a:effectLst/>
        </c:spPr>
        <c:marker>
          <c:symbol val="none"/>
        </c:marker>
      </c:pivotFmt>
      <c:pivotFmt>
        <c:idx val="156"/>
        <c:spPr>
          <a:solidFill>
            <a:schemeClr val="accent1"/>
          </a:solidFill>
          <a:ln w="28575" cap="rnd">
            <a:solidFill>
              <a:schemeClr val="accent1"/>
            </a:solidFill>
            <a:round/>
          </a:ln>
          <a:effectLst/>
        </c:spPr>
        <c:marker>
          <c:symbol val="none"/>
        </c:marker>
      </c:pivotFmt>
      <c:pivotFmt>
        <c:idx val="157"/>
        <c:spPr>
          <a:solidFill>
            <a:schemeClr val="accent1"/>
          </a:solidFill>
          <a:ln w="28575" cap="rnd">
            <a:solidFill>
              <a:schemeClr val="accent1"/>
            </a:solidFill>
            <a:round/>
          </a:ln>
          <a:effectLst/>
        </c:spPr>
        <c:marker>
          <c:symbol val="none"/>
        </c:marker>
      </c:pivotFmt>
      <c:pivotFmt>
        <c:idx val="158"/>
        <c:spPr>
          <a:solidFill>
            <a:schemeClr val="accent1"/>
          </a:solidFill>
          <a:ln w="28575" cap="rnd">
            <a:solidFill>
              <a:schemeClr val="accent1"/>
            </a:solidFill>
            <a:round/>
          </a:ln>
          <a:effectLst/>
        </c:spPr>
        <c:marker>
          <c:symbol val="none"/>
        </c:marker>
      </c:pivotFmt>
      <c:pivotFmt>
        <c:idx val="159"/>
        <c:spPr>
          <a:solidFill>
            <a:schemeClr val="accent1"/>
          </a:solidFill>
          <a:ln w="28575" cap="rnd">
            <a:solidFill>
              <a:schemeClr val="accent1"/>
            </a:solidFill>
            <a:round/>
          </a:ln>
          <a:effectLst/>
        </c:spPr>
        <c:marker>
          <c:symbol val="none"/>
        </c:marker>
      </c:pivotFmt>
      <c:pivotFmt>
        <c:idx val="160"/>
        <c:spPr>
          <a:solidFill>
            <a:schemeClr val="accent1"/>
          </a:solidFill>
          <a:ln w="28575" cap="rnd">
            <a:solidFill>
              <a:schemeClr val="accent1"/>
            </a:solidFill>
            <a:round/>
          </a:ln>
          <a:effectLst/>
        </c:spPr>
        <c:marker>
          <c:symbol val="none"/>
        </c:marker>
      </c:pivotFmt>
      <c:pivotFmt>
        <c:idx val="161"/>
        <c:spPr>
          <a:solidFill>
            <a:schemeClr val="accent1"/>
          </a:solidFill>
          <a:ln w="28575" cap="rnd">
            <a:solidFill>
              <a:schemeClr val="accent1"/>
            </a:solidFill>
            <a:round/>
          </a:ln>
          <a:effectLst/>
        </c:spPr>
        <c:marker>
          <c:symbol val="none"/>
        </c:marker>
      </c:pivotFmt>
      <c:pivotFmt>
        <c:idx val="162"/>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4738301571846882"/>
          <c:y val="0.14544335804178324"/>
          <c:w val="0.77948149383635057"/>
          <c:h val="0.77158278292136562"/>
        </c:manualLayout>
      </c:layout>
      <c:lineChart>
        <c:grouping val="standard"/>
        <c:varyColors val="0"/>
        <c:ser>
          <c:idx val="0"/>
          <c:order val="0"/>
          <c:tx>
            <c:strRef>
              <c:f>Pivot!$B$9:$B$10</c:f>
              <c:strCache>
                <c:ptCount val="1"/>
                <c:pt idx="0">
                  <c:v>Optimistisk</c:v>
                </c:pt>
              </c:strCache>
            </c:strRef>
          </c:tx>
          <c:spPr>
            <a:ln w="28575" cap="rnd">
              <a:solidFill>
                <a:schemeClr val="accent1"/>
              </a:solidFill>
              <a:round/>
            </a:ln>
            <a:effectLst/>
          </c:spPr>
          <c:marker>
            <c:symbol val="none"/>
          </c:marker>
          <c:cat>
            <c:strRef>
              <c:f>Pivot!$A$11:$A$18</c:f>
              <c:strCache>
                <c:ptCount val="8"/>
                <c:pt idx="0">
                  <c:v>2018</c:v>
                </c:pt>
                <c:pt idx="1">
                  <c:v>2019</c:v>
                </c:pt>
                <c:pt idx="2">
                  <c:v>2020</c:v>
                </c:pt>
                <c:pt idx="3">
                  <c:v>2021</c:v>
                </c:pt>
                <c:pt idx="4">
                  <c:v>2022</c:v>
                </c:pt>
                <c:pt idx="5">
                  <c:v>2023</c:v>
                </c:pt>
                <c:pt idx="6">
                  <c:v>2024</c:v>
                </c:pt>
                <c:pt idx="7">
                  <c:v>2025</c:v>
                </c:pt>
              </c:strCache>
            </c:strRef>
          </c:cat>
          <c:val>
            <c:numRef>
              <c:f>Pivot!$B$11:$B$18</c:f>
              <c:numCache>
                <c:formatCode>_-* #\ ##0_-;\-* #\ ##0_-;_-* "-"??_-;_-@_-</c:formatCode>
                <c:ptCount val="8"/>
                <c:pt idx="0">
                  <c:v>6675137.4060000023</c:v>
                </c:pt>
                <c:pt idx="1">
                  <c:v>6716227.9999999925</c:v>
                </c:pt>
                <c:pt idx="2">
                  <c:v>6800520.9577255016</c:v>
                </c:pt>
                <c:pt idx="3">
                  <c:v>6845872.8373313285</c:v>
                </c:pt>
                <c:pt idx="4">
                  <c:v>6874162.454232581</c:v>
                </c:pt>
                <c:pt idx="5">
                  <c:v>6885536.9927599961</c:v>
                </c:pt>
                <c:pt idx="6">
                  <c:v>6916454.6472147312</c:v>
                </c:pt>
                <c:pt idx="7">
                  <c:v>6918646.9317555008</c:v>
                </c:pt>
              </c:numCache>
            </c:numRef>
          </c:val>
          <c:smooth val="0"/>
          <c:extLst>
            <c:ext xmlns:c16="http://schemas.microsoft.com/office/drawing/2014/chart" uri="{C3380CC4-5D6E-409C-BE32-E72D297353CC}">
              <c16:uniqueId val="{00000000-C18D-46CF-AF68-C4F98BACEA2C}"/>
            </c:ext>
          </c:extLst>
        </c:ser>
        <c:ser>
          <c:idx val="1"/>
          <c:order val="1"/>
          <c:tx>
            <c:strRef>
              <c:f>Pivot!$C$9:$C$10</c:f>
              <c:strCache>
                <c:ptCount val="1"/>
                <c:pt idx="0">
                  <c:v>Realistisk</c:v>
                </c:pt>
              </c:strCache>
            </c:strRef>
          </c:tx>
          <c:spPr>
            <a:ln w="28575" cap="rnd">
              <a:solidFill>
                <a:schemeClr val="accent2"/>
              </a:solidFill>
              <a:round/>
            </a:ln>
            <a:effectLst/>
          </c:spPr>
          <c:marker>
            <c:symbol val="none"/>
          </c:marker>
          <c:cat>
            <c:strRef>
              <c:f>Pivot!$A$11:$A$18</c:f>
              <c:strCache>
                <c:ptCount val="8"/>
                <c:pt idx="0">
                  <c:v>2018</c:v>
                </c:pt>
                <c:pt idx="1">
                  <c:v>2019</c:v>
                </c:pt>
                <c:pt idx="2">
                  <c:v>2020</c:v>
                </c:pt>
                <c:pt idx="3">
                  <c:v>2021</c:v>
                </c:pt>
                <c:pt idx="4">
                  <c:v>2022</c:v>
                </c:pt>
                <c:pt idx="5">
                  <c:v>2023</c:v>
                </c:pt>
                <c:pt idx="6">
                  <c:v>2024</c:v>
                </c:pt>
                <c:pt idx="7">
                  <c:v>2025</c:v>
                </c:pt>
              </c:strCache>
            </c:strRef>
          </c:cat>
          <c:val>
            <c:numRef>
              <c:f>Pivot!$C$11:$C$18</c:f>
              <c:numCache>
                <c:formatCode>_-* #\ ##0_-;\-* #\ ##0_-;_-* "-"??_-;_-@_-</c:formatCode>
                <c:ptCount val="8"/>
                <c:pt idx="0">
                  <c:v>6675137.4059999986</c:v>
                </c:pt>
                <c:pt idx="1">
                  <c:v>6716228.0000000028</c:v>
                </c:pt>
                <c:pt idx="2">
                  <c:v>6746841.8155764565</c:v>
                </c:pt>
                <c:pt idx="3">
                  <c:v>6757877.3878659382</c:v>
                </c:pt>
                <c:pt idx="4">
                  <c:v>6765338.0226267613</c:v>
                </c:pt>
                <c:pt idx="5">
                  <c:v>6744135.4690204207</c:v>
                </c:pt>
                <c:pt idx="6">
                  <c:v>6735708.2365913568</c:v>
                </c:pt>
                <c:pt idx="7">
                  <c:v>6700803.2676041937</c:v>
                </c:pt>
              </c:numCache>
            </c:numRef>
          </c:val>
          <c:smooth val="0"/>
          <c:extLst>
            <c:ext xmlns:c16="http://schemas.microsoft.com/office/drawing/2014/chart" uri="{C3380CC4-5D6E-409C-BE32-E72D297353CC}">
              <c16:uniqueId val="{00000001-C18D-46CF-AF68-C4F98BACEA2C}"/>
            </c:ext>
          </c:extLst>
        </c:ser>
        <c:ser>
          <c:idx val="2"/>
          <c:order val="2"/>
          <c:tx>
            <c:strRef>
              <c:f>Pivot!$D$9:$D$10</c:f>
              <c:strCache>
                <c:ptCount val="1"/>
                <c:pt idx="0">
                  <c:v>Pessimistisk</c:v>
                </c:pt>
              </c:strCache>
            </c:strRef>
          </c:tx>
          <c:spPr>
            <a:ln w="28575" cap="rnd">
              <a:solidFill>
                <a:schemeClr val="accent3"/>
              </a:solidFill>
              <a:round/>
            </a:ln>
            <a:effectLst/>
          </c:spPr>
          <c:marker>
            <c:symbol val="none"/>
          </c:marker>
          <c:cat>
            <c:strRef>
              <c:f>Pivot!$A$11:$A$18</c:f>
              <c:strCache>
                <c:ptCount val="8"/>
                <c:pt idx="0">
                  <c:v>2018</c:v>
                </c:pt>
                <c:pt idx="1">
                  <c:v>2019</c:v>
                </c:pt>
                <c:pt idx="2">
                  <c:v>2020</c:v>
                </c:pt>
                <c:pt idx="3">
                  <c:v>2021</c:v>
                </c:pt>
                <c:pt idx="4">
                  <c:v>2022</c:v>
                </c:pt>
                <c:pt idx="5">
                  <c:v>2023</c:v>
                </c:pt>
                <c:pt idx="6">
                  <c:v>2024</c:v>
                </c:pt>
                <c:pt idx="7">
                  <c:v>2025</c:v>
                </c:pt>
              </c:strCache>
            </c:strRef>
          </c:cat>
          <c:val>
            <c:numRef>
              <c:f>Pivot!$D$11:$D$18</c:f>
              <c:numCache>
                <c:formatCode>_-* #\ ##0_-;\-* #\ ##0_-;_-* "-"??_-;_-@_-</c:formatCode>
                <c:ptCount val="8"/>
                <c:pt idx="0">
                  <c:v>6675137.4060000023</c:v>
                </c:pt>
                <c:pt idx="1">
                  <c:v>6716227.9999999925</c:v>
                </c:pt>
                <c:pt idx="2">
                  <c:v>6689999.8397786682</c:v>
                </c:pt>
                <c:pt idx="3">
                  <c:v>6665022.8685982833</c:v>
                </c:pt>
                <c:pt idx="4">
                  <c:v>6631029.7374148741</c:v>
                </c:pt>
                <c:pt idx="5">
                  <c:v>6572614.2635358768</c:v>
                </c:pt>
                <c:pt idx="6">
                  <c:v>6534685.5718465056</c:v>
                </c:pt>
                <c:pt idx="7">
                  <c:v>6475424.8691824591</c:v>
                </c:pt>
              </c:numCache>
            </c:numRef>
          </c:val>
          <c:smooth val="0"/>
          <c:extLst>
            <c:ext xmlns:c16="http://schemas.microsoft.com/office/drawing/2014/chart" uri="{C3380CC4-5D6E-409C-BE32-E72D297353CC}">
              <c16:uniqueId val="{00000002-C18D-46CF-AF68-C4F98BACEA2C}"/>
            </c:ext>
          </c:extLst>
        </c:ser>
        <c:dLbls>
          <c:showLegendKey val="0"/>
          <c:showVal val="0"/>
          <c:showCatName val="0"/>
          <c:showSerName val="0"/>
          <c:showPercent val="0"/>
          <c:showBubbleSize val="0"/>
        </c:dLbls>
        <c:smooth val="0"/>
        <c:axId val="531969328"/>
        <c:axId val="531969656"/>
      </c:lineChart>
      <c:catAx>
        <c:axId val="53196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31969656"/>
        <c:crosses val="autoZero"/>
        <c:auto val="1"/>
        <c:lblAlgn val="ctr"/>
        <c:lblOffset val="100"/>
        <c:noMultiLvlLbl val="0"/>
      </c:catAx>
      <c:valAx>
        <c:axId val="531969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319693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amSiteName xmlns="3011bd27-670b-40e8-bfc7-267b8eb171af">PBO-arbeid</TeamSiteNam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C5312047845C4B9DA39537A3F605A5" ma:contentTypeVersion="" ma:contentTypeDescription="Opprett et nytt dokument." ma:contentTypeScope="" ma:versionID="16c3de12a6e4452d5cfc103dcf33982d">
  <xsd:schema xmlns:xsd="http://www.w3.org/2001/XMLSchema" xmlns:xs="http://www.w3.org/2001/XMLSchema" xmlns:p="http://schemas.microsoft.com/office/2006/metadata/properties" xmlns:ns2="3011bd27-670b-40e8-bfc7-267b8eb171af" xmlns:ns3="c4781685-90ef-426c-8a04-26d13e116bf5" targetNamespace="http://schemas.microsoft.com/office/2006/metadata/properties" ma:root="true" ma:fieldsID="40bd8a84486d0058727992e7519d3c39" ns2:_="" ns3:_="">
    <xsd:import namespace="3011bd27-670b-40e8-bfc7-267b8eb171af"/>
    <xsd:import namespace="c4781685-90ef-426c-8a04-26d13e116bf5"/>
    <xsd:element name="properties">
      <xsd:complexType>
        <xsd:sequence>
          <xsd:element name="documentManagement">
            <xsd:complexType>
              <xsd:all>
                <xsd:element ref="ns2:TeamSiteNa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1bd27-670b-40e8-bfc7-267b8eb171af" elementFormDefault="qualified">
    <xsd:import namespace="http://schemas.microsoft.com/office/2006/documentManagement/types"/>
    <xsd:import namespace="http://schemas.microsoft.com/office/infopath/2007/PartnerControls"/>
    <xsd:element name="TeamSiteName" ma:index="8" nillable="true" ma:displayName="TeamSite" ma:default="PBO-arbeid" ma:internalName="TeamSit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81685-90ef-426c-8a04-26d13e116bf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ACF1-B4DA-4AF8-A939-7B699A729AD8}">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4781685-90ef-426c-8a04-26d13e116bf5"/>
    <ds:schemaRef ds:uri="3011bd27-670b-40e8-bfc7-267b8eb171af"/>
    <ds:schemaRef ds:uri="http://www.w3.org/XML/1998/namespace"/>
  </ds:schemaRefs>
</ds:datastoreItem>
</file>

<file path=customXml/itemProps2.xml><?xml version="1.0" encoding="utf-8"?>
<ds:datastoreItem xmlns:ds="http://schemas.openxmlformats.org/officeDocument/2006/customXml" ds:itemID="{46AF3F2F-48BB-4E38-86DD-D87D7B4A9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11bd27-670b-40e8-bfc7-267b8eb171af"/>
    <ds:schemaRef ds:uri="c4781685-90ef-426c-8a04-26d13e116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E7E8F-83B0-455B-AAE6-339B3E0BCA6B}">
  <ds:schemaRefs>
    <ds:schemaRef ds:uri="http://schemas.microsoft.com/sharepoint/v3/contenttype/forms"/>
  </ds:schemaRefs>
</ds:datastoreItem>
</file>

<file path=customXml/itemProps4.xml><?xml version="1.0" encoding="utf-8"?>
<ds:datastoreItem xmlns:ds="http://schemas.openxmlformats.org/officeDocument/2006/customXml" ds:itemID="{861F3C18-8DF7-428D-BACB-1B71E44F958A}">
  <ds:schemaRefs>
    <ds:schemaRef ds:uri="http://schemas.openxmlformats.org/officeDocument/2006/bibliography"/>
  </ds:schemaRefs>
</ds:datastoreItem>
</file>

<file path=customXml/itemProps5.xml><?xml version="1.0" encoding="utf-8"?>
<ds:datastoreItem xmlns:ds="http://schemas.openxmlformats.org/officeDocument/2006/customXml" ds:itemID="{029BB00C-2FBB-4804-B993-7E1CAC4F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9361</Words>
  <Characters>58405</Characters>
  <Application>Microsoft Office Word</Application>
  <DocSecurity>4</DocSecurity>
  <Lines>486</Lines>
  <Paragraphs>135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Budsjett 2006</vt:lpstr>
      <vt:lpstr>Budsjett 2006</vt:lpstr>
    </vt:vector>
  </TitlesOfParts>
  <Company>NTNU</Company>
  <LinksUpToDate>false</LinksUpToDate>
  <CharactersWithSpaces>67631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2006</dc:title>
  <dc:subject>Kolegie notat</dc:subject>
  <dc:creator>Marianne Dyresen</dc:creator>
  <cp:keywords/>
  <cp:lastModifiedBy>Wenche Margrethe Kulmo</cp:lastModifiedBy>
  <cp:revision>2</cp:revision>
  <cp:lastPrinted>2018-11-27T15:58:00Z</cp:lastPrinted>
  <dcterms:created xsi:type="dcterms:W3CDTF">2019-04-01T06:50:00Z</dcterms:created>
  <dcterms:modified xsi:type="dcterms:W3CDTF">2019-04-01T06:50:00Z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-1994896743</vt:i4>
  </property>
  <property fmtid="{D5CDD505-2E9C-101B-9397-08002B2CF9AE}" pid="3" name="ContentTypeId">
    <vt:lpwstr>0x0101006EC5312047845C4B9DA39537A3F605A5</vt:lpwstr>
  </property>
</Properties>
</file>