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7767A4" w:rsidRDefault="00332459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>Retningslinjer for bruk av perklorsyre</w:t>
      </w:r>
    </w:p>
    <w:p w:rsidR="00CD6FF6" w:rsidRPr="00CD6FF6" w:rsidRDefault="00CD6FF6" w:rsidP="0014656A">
      <w:pPr>
        <w:pStyle w:val="Tilfelt"/>
        <w:ind w:right="0"/>
        <w:rPr>
          <w:b/>
        </w:rPr>
      </w:pPr>
      <w:r w:rsidRPr="00CD6FF6">
        <w:rPr>
          <w:b/>
        </w:rPr>
        <w:t>Farer</w:t>
      </w:r>
    </w:p>
    <w:p w:rsidR="00CD6FF6" w:rsidRDefault="00666C88" w:rsidP="00666C88">
      <w:pPr>
        <w:pStyle w:val="Tilfelt"/>
        <w:numPr>
          <w:ilvl w:val="0"/>
          <w:numId w:val="5"/>
        </w:numPr>
        <w:ind w:right="0"/>
      </w:pPr>
      <w:r>
        <w:t>Ved oppkonsentrering (&gt;72%) kan det dannes eksplosive perkloratkrystaller. Disse er sjokksensitive.</w:t>
      </w:r>
    </w:p>
    <w:p w:rsidR="00C742EB" w:rsidRDefault="00C742EB" w:rsidP="00C742EB">
      <w:pPr>
        <w:pStyle w:val="Tilfelt"/>
        <w:ind w:left="805" w:right="0"/>
      </w:pPr>
    </w:p>
    <w:p w:rsidR="00C742EB" w:rsidRDefault="00666C88" w:rsidP="00C742EB">
      <w:pPr>
        <w:pStyle w:val="Tilfelt"/>
        <w:numPr>
          <w:ilvl w:val="0"/>
          <w:numId w:val="5"/>
        </w:numPr>
        <w:ind w:right="0"/>
      </w:pPr>
      <w:r>
        <w:t>Kan forårsake brann og eksplosjoner i kontakt med organisk materiale</w:t>
      </w:r>
      <w:r w:rsidR="0000797B">
        <w:t>, inkludert treverk og papir.</w:t>
      </w:r>
    </w:p>
    <w:p w:rsidR="00C742EB" w:rsidRPr="00C742EB" w:rsidRDefault="00C742EB" w:rsidP="00C742EB">
      <w:pPr>
        <w:pStyle w:val="Listeavsnitt"/>
        <w:rPr>
          <w:lang w:val="nb-NO"/>
        </w:rPr>
      </w:pPr>
    </w:p>
    <w:p w:rsidR="00C742EB" w:rsidRPr="00CD6FF6" w:rsidRDefault="0079338F" w:rsidP="00C742EB">
      <w:pPr>
        <w:pStyle w:val="Tilfelt"/>
        <w:numPr>
          <w:ilvl w:val="0"/>
          <w:numId w:val="5"/>
        </w:numPr>
        <w:ind w:right="0"/>
      </w:pPr>
      <w:r>
        <w:t>Sterk syre</w:t>
      </w:r>
      <w:r w:rsidR="004F7602">
        <w:t>, sterkt oksiderende, etser metaller, farlig ved svelging og gir alvorlige etseskader på hud og øyne, kan forårsake organskader ved langvarig eller gjentatt eksponering.</w:t>
      </w:r>
    </w:p>
    <w:p w:rsidR="00CD6FF6" w:rsidRPr="00CD6FF6" w:rsidRDefault="00CD6FF6" w:rsidP="0014656A">
      <w:pPr>
        <w:pStyle w:val="Tilfelt"/>
        <w:ind w:right="0"/>
      </w:pPr>
    </w:p>
    <w:p w:rsidR="00914305" w:rsidRPr="00914305" w:rsidRDefault="00914305" w:rsidP="0014656A">
      <w:pPr>
        <w:pStyle w:val="Tilfelt"/>
        <w:ind w:right="0"/>
        <w:rPr>
          <w:b/>
        </w:rPr>
      </w:pPr>
      <w:r w:rsidRPr="00914305">
        <w:rPr>
          <w:b/>
        </w:rPr>
        <w:t>Lagring</w:t>
      </w:r>
    </w:p>
    <w:p w:rsidR="00E24797" w:rsidRDefault="00914305" w:rsidP="004626C8">
      <w:pPr>
        <w:pStyle w:val="Tilfelt"/>
        <w:numPr>
          <w:ilvl w:val="0"/>
          <w:numId w:val="3"/>
        </w:numPr>
        <w:ind w:right="0"/>
      </w:pPr>
      <w:r>
        <w:t>Mengden perklorsyre skal holdes på et minimum.</w:t>
      </w:r>
    </w:p>
    <w:p w:rsidR="00914305" w:rsidRDefault="00914305" w:rsidP="0014656A">
      <w:pPr>
        <w:pStyle w:val="Tilfelt"/>
        <w:ind w:right="0"/>
      </w:pPr>
    </w:p>
    <w:p w:rsidR="002D04ED" w:rsidRDefault="00914305" w:rsidP="004626C8">
      <w:pPr>
        <w:pStyle w:val="Tilfelt"/>
        <w:numPr>
          <w:ilvl w:val="0"/>
          <w:numId w:val="3"/>
        </w:numPr>
        <w:ind w:right="0"/>
      </w:pPr>
      <w:r>
        <w:t xml:space="preserve">Perklorsyre skal kontrolleres for krystaller </w:t>
      </w:r>
      <w:r w:rsidR="002D04ED">
        <w:t>minimum hver 3. måned</w:t>
      </w:r>
    </w:p>
    <w:p w:rsidR="00914305" w:rsidRDefault="00914305" w:rsidP="001D6E64">
      <w:pPr>
        <w:pStyle w:val="Tilfelt"/>
        <w:numPr>
          <w:ilvl w:val="0"/>
          <w:numId w:val="3"/>
        </w:numPr>
        <w:ind w:right="0"/>
      </w:pPr>
      <w:proofErr w:type="spellStart"/>
      <w:r w:rsidRPr="00426B2C">
        <w:rPr>
          <w:lang w:val="en-US"/>
        </w:rPr>
        <w:t>Klistremerke</w:t>
      </w:r>
      <w:proofErr w:type="spellEnd"/>
      <w:r w:rsidR="002D04ED" w:rsidRPr="00426B2C">
        <w:rPr>
          <w:lang w:val="en-US"/>
        </w:rPr>
        <w:t xml:space="preserve">: </w:t>
      </w:r>
      <w:r w:rsidR="00426B2C">
        <w:rPr>
          <w:lang w:val="en-US"/>
        </w:rPr>
        <w:t>may form explosive perchlorate crystals</w:t>
      </w:r>
      <w:r w:rsidR="00666C88" w:rsidRPr="00426B2C">
        <w:rPr>
          <w:lang w:val="en-US"/>
        </w:rPr>
        <w:t xml:space="preserve">. </w:t>
      </w:r>
      <w:r w:rsidR="00666C88">
        <w:t>Mal finnes på T: i følgende mappe:</w:t>
      </w:r>
      <w:r w:rsidR="001D6E64">
        <w:br/>
      </w:r>
      <w:r w:rsidR="001D6E64" w:rsidRPr="001D6E64">
        <w:t>T:\nv\ima\HMS\Kjemikalier\Perklorsyre</w:t>
      </w:r>
    </w:p>
    <w:p w:rsidR="005D15EE" w:rsidRDefault="00C742EB" w:rsidP="005D15EE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t>Der</w:t>
      </w:r>
      <w:r w:rsidR="0079338F">
        <w:t xml:space="preserve">som krystaller oppdages, skal laboratoriet evakueres og HMS-koordinator og kontaktes umiddelbart. </w:t>
      </w:r>
      <w:r w:rsidR="0079338F" w:rsidRPr="005D15EE">
        <w:rPr>
          <w:lang w:val="en-US"/>
        </w:rPr>
        <w:t xml:space="preserve">IKKE RØR </w:t>
      </w:r>
      <w:proofErr w:type="spellStart"/>
      <w:r w:rsidR="0079338F" w:rsidRPr="005D15EE">
        <w:rPr>
          <w:lang w:val="en-US"/>
        </w:rPr>
        <w:t>flasken</w:t>
      </w:r>
      <w:proofErr w:type="spellEnd"/>
      <w:r w:rsidR="0079338F" w:rsidRPr="005D15EE">
        <w:rPr>
          <w:lang w:val="en-US"/>
        </w:rPr>
        <w:t>.</w:t>
      </w:r>
      <w:r w:rsidR="005D15EE" w:rsidRPr="005D15EE">
        <w:rPr>
          <w:lang w:val="en-US"/>
        </w:rPr>
        <w:t xml:space="preserve"> </w:t>
      </w:r>
    </w:p>
    <w:p w:rsidR="005D15EE" w:rsidRDefault="005D15EE" w:rsidP="005D15EE">
      <w:pPr>
        <w:pStyle w:val="Tilfelt"/>
        <w:numPr>
          <w:ilvl w:val="0"/>
          <w:numId w:val="8"/>
        </w:numPr>
        <w:ind w:right="0"/>
        <w:rPr>
          <w:lang w:val="en-US"/>
        </w:rPr>
      </w:pPr>
      <w:bookmarkStart w:id="29" w:name="_GoBack"/>
      <w:bookmarkEnd w:id="29"/>
      <w:r>
        <w:rPr>
          <w:lang w:val="en-US"/>
        </w:rPr>
        <w:t>Perchloric acid bottles shall be sent as hazardous waste after 3 months</w:t>
      </w:r>
    </w:p>
    <w:p w:rsidR="00C742EB" w:rsidRPr="005D15EE" w:rsidRDefault="00C742EB" w:rsidP="001D6E64">
      <w:pPr>
        <w:pStyle w:val="Tilfelt"/>
        <w:numPr>
          <w:ilvl w:val="0"/>
          <w:numId w:val="3"/>
        </w:numPr>
        <w:ind w:right="0"/>
        <w:rPr>
          <w:lang w:val="en-US"/>
        </w:rPr>
      </w:pPr>
    </w:p>
    <w:p w:rsidR="00914305" w:rsidRPr="005D15EE" w:rsidRDefault="00914305" w:rsidP="0014656A">
      <w:pPr>
        <w:pStyle w:val="Tilfelt"/>
        <w:ind w:right="0"/>
        <w:rPr>
          <w:lang w:val="en-US"/>
        </w:rPr>
      </w:pPr>
    </w:p>
    <w:p w:rsidR="00914305" w:rsidRDefault="00914305" w:rsidP="004626C8">
      <w:pPr>
        <w:pStyle w:val="Tilfelt"/>
        <w:numPr>
          <w:ilvl w:val="0"/>
          <w:numId w:val="3"/>
        </w:numPr>
        <w:ind w:right="0"/>
      </w:pPr>
      <w:r>
        <w:t xml:space="preserve">Må ikke lagres i nærheten av organisk materiale, brennbare stoffer eller </w:t>
      </w:r>
      <w:r w:rsidR="001D6E64">
        <w:t>dehydrerende</w:t>
      </w:r>
      <w:r w:rsidR="00356396" w:rsidRPr="004626C8">
        <w:rPr>
          <w:color w:val="FF0000"/>
        </w:rPr>
        <w:t xml:space="preserve"> </w:t>
      </w:r>
      <w:r w:rsidR="00356396">
        <w:t>stoffer.</w:t>
      </w:r>
      <w:r w:rsidR="002D04ED">
        <w:t xml:space="preserve"> </w:t>
      </w:r>
    </w:p>
    <w:p w:rsidR="001D6E64" w:rsidRPr="00C742EB" w:rsidRDefault="001D6E64" w:rsidP="001D6E64">
      <w:pPr>
        <w:pStyle w:val="Listeavsnitt"/>
        <w:rPr>
          <w:lang w:val="nb-NO"/>
        </w:rPr>
      </w:pPr>
    </w:p>
    <w:p w:rsidR="002D04ED" w:rsidRDefault="001D6E64" w:rsidP="004626C8">
      <w:pPr>
        <w:pStyle w:val="Tilfelt"/>
        <w:numPr>
          <w:ilvl w:val="0"/>
          <w:numId w:val="3"/>
        </w:numPr>
        <w:ind w:right="0"/>
      </w:pPr>
      <w:r>
        <w:t xml:space="preserve">Flasker skal stå lagret </w:t>
      </w:r>
      <w:r w:rsidR="00FD54D1">
        <w:t>i</w:t>
      </w:r>
      <w:r w:rsidR="004626C8">
        <w:t xml:space="preserve"> kjemikalieresistent glassfat</w:t>
      </w:r>
      <w:r w:rsidR="0079338F">
        <w:t>.</w:t>
      </w:r>
      <w:r w:rsidR="00D802F6">
        <w:t xml:space="preserve"> Dette fatet skal skylles over jevnlig med vann.</w:t>
      </w:r>
    </w:p>
    <w:p w:rsidR="00356396" w:rsidRDefault="00356396" w:rsidP="0014656A">
      <w:pPr>
        <w:pStyle w:val="Tilfelt"/>
        <w:ind w:right="0"/>
      </w:pPr>
    </w:p>
    <w:p w:rsidR="00356396" w:rsidRDefault="00356396" w:rsidP="001D6E64">
      <w:pPr>
        <w:pStyle w:val="Tilfelt"/>
        <w:numPr>
          <w:ilvl w:val="0"/>
          <w:numId w:val="3"/>
        </w:numPr>
        <w:ind w:right="0"/>
      </w:pPr>
      <w:r>
        <w:t>Oversikt over perklorsyre på instituttet er lagret på T: i følgende mappe:</w:t>
      </w:r>
      <w:r w:rsidR="001D6E64">
        <w:br/>
      </w:r>
      <w:r w:rsidR="001D6E64" w:rsidRPr="001D6E64">
        <w:t>T:\nv\ima\HMS\Kjemikalier\Perklorsyre</w:t>
      </w:r>
    </w:p>
    <w:p w:rsidR="001D6E64" w:rsidRPr="0000797B" w:rsidRDefault="001D6E64" w:rsidP="001D6E64">
      <w:pPr>
        <w:pStyle w:val="Listeavsnitt"/>
        <w:rPr>
          <w:lang w:val="nb-NO"/>
        </w:rPr>
      </w:pPr>
    </w:p>
    <w:p w:rsidR="00914305" w:rsidRPr="001D6E64" w:rsidRDefault="00914305" w:rsidP="0079338F">
      <w:pPr>
        <w:pStyle w:val="Tilfelt"/>
        <w:ind w:left="0" w:right="0"/>
      </w:pPr>
    </w:p>
    <w:p w:rsidR="00914305" w:rsidRPr="00914305" w:rsidRDefault="00914305" w:rsidP="0014656A">
      <w:pPr>
        <w:pStyle w:val="Tilfelt"/>
        <w:ind w:right="0"/>
        <w:rPr>
          <w:b/>
        </w:rPr>
      </w:pPr>
      <w:r>
        <w:rPr>
          <w:b/>
        </w:rPr>
        <w:t>Avfallsbehandling</w:t>
      </w:r>
    </w:p>
    <w:p w:rsidR="00914305" w:rsidRDefault="004626C8" w:rsidP="004626C8">
      <w:pPr>
        <w:pStyle w:val="Tilfelt"/>
        <w:numPr>
          <w:ilvl w:val="0"/>
          <w:numId w:val="1"/>
        </w:numPr>
        <w:ind w:right="0"/>
      </w:pPr>
      <w:r>
        <w:t>Avfallet skal sendes bort raskt, minimum hver 3. måned.</w:t>
      </w:r>
    </w:p>
    <w:p w:rsidR="0079338F" w:rsidRDefault="0079338F" w:rsidP="00D802F6">
      <w:pPr>
        <w:pStyle w:val="Tilfelt"/>
        <w:ind w:left="805" w:right="0"/>
      </w:pPr>
    </w:p>
    <w:p w:rsidR="00914305" w:rsidRDefault="00914305" w:rsidP="004626C8">
      <w:pPr>
        <w:pStyle w:val="Tilfelt"/>
        <w:numPr>
          <w:ilvl w:val="0"/>
          <w:numId w:val="1"/>
        </w:numPr>
        <w:ind w:right="0"/>
      </w:pPr>
      <w:r>
        <w:lastRenderedPageBreak/>
        <w:t>Perklorsyre skal ikke blandes med annet avfall</w:t>
      </w:r>
      <w:r w:rsidR="004626C8">
        <w:t>. Ulike blandinger med perklorsyre skal ikke blandes ytterligere.</w:t>
      </w:r>
    </w:p>
    <w:p w:rsidR="0040107D" w:rsidRDefault="0040107D" w:rsidP="004626C8">
      <w:pPr>
        <w:pStyle w:val="Tilfelt"/>
        <w:numPr>
          <w:ilvl w:val="0"/>
          <w:numId w:val="1"/>
        </w:numPr>
        <w:ind w:right="0"/>
      </w:pPr>
      <w:r>
        <w:t>Avfallsbeholderen skal fylles med en god del vann før perklorsyreavfall tilsettes (fortynning)</w:t>
      </w:r>
    </w:p>
    <w:p w:rsidR="009A5678" w:rsidRDefault="009A5678" w:rsidP="009A5678">
      <w:pPr>
        <w:pStyle w:val="Tilfelt"/>
        <w:ind w:left="805" w:right="0"/>
      </w:pPr>
    </w:p>
    <w:p w:rsidR="00D802F6" w:rsidRDefault="00D802F6" w:rsidP="004626C8">
      <w:pPr>
        <w:pStyle w:val="Tilfelt"/>
        <w:numPr>
          <w:ilvl w:val="0"/>
          <w:numId w:val="1"/>
        </w:numPr>
        <w:ind w:right="0"/>
      </w:pPr>
      <w:r>
        <w:t>Avfallsbeholderen skal kontrolleres for bunnfall og krystaller jevnlig. Dersom krystaller oppdages, IKKE RØR flasken.</w:t>
      </w:r>
    </w:p>
    <w:p w:rsidR="004F7602" w:rsidRDefault="004F7602" w:rsidP="0014656A">
      <w:pPr>
        <w:pStyle w:val="Tilfelt"/>
        <w:ind w:right="0"/>
        <w:rPr>
          <w:b/>
        </w:rPr>
      </w:pPr>
    </w:p>
    <w:p w:rsidR="00914305" w:rsidRDefault="00914305" w:rsidP="0014656A">
      <w:pPr>
        <w:pStyle w:val="Tilfelt"/>
        <w:ind w:right="0"/>
      </w:pPr>
      <w:r>
        <w:rPr>
          <w:b/>
        </w:rPr>
        <w:t>Søl</w:t>
      </w:r>
    </w:p>
    <w:p w:rsidR="00914305" w:rsidRDefault="00914305" w:rsidP="004626C8">
      <w:pPr>
        <w:pStyle w:val="Tilfelt"/>
        <w:numPr>
          <w:ilvl w:val="0"/>
          <w:numId w:val="2"/>
        </w:numPr>
        <w:ind w:right="0"/>
      </w:pPr>
      <w:r>
        <w:t>Ved søl skal det absorberes med Chemizorb.</w:t>
      </w:r>
      <w:r w:rsidR="004626C8">
        <w:t xml:space="preserve"> Det må nøytraliseres og vaskes grundig med vann etterpå.</w:t>
      </w:r>
    </w:p>
    <w:p w:rsidR="009A5678" w:rsidRDefault="009A5678" w:rsidP="009A5678">
      <w:pPr>
        <w:pStyle w:val="Tilfelt"/>
        <w:ind w:left="805" w:right="0"/>
      </w:pPr>
    </w:p>
    <w:p w:rsidR="005D1170" w:rsidRDefault="00914305" w:rsidP="005D1170">
      <w:pPr>
        <w:pStyle w:val="Tilfelt"/>
        <w:numPr>
          <w:ilvl w:val="0"/>
          <w:numId w:val="2"/>
        </w:numPr>
        <w:ind w:right="0"/>
      </w:pPr>
      <w:r>
        <w:t>Bruk IKKE papir eller filler, ettersom organisk materiale kan ta fyr ved kontakt med perklorsyre</w:t>
      </w:r>
    </w:p>
    <w:p w:rsidR="009A5678" w:rsidRDefault="009A5678" w:rsidP="009A5678">
      <w:pPr>
        <w:pStyle w:val="Tilfelt"/>
        <w:ind w:left="0" w:right="0"/>
      </w:pPr>
    </w:p>
    <w:p w:rsidR="005D1170" w:rsidRDefault="005D1170" w:rsidP="005D1170">
      <w:pPr>
        <w:pStyle w:val="Tilfelt"/>
        <w:numPr>
          <w:ilvl w:val="0"/>
          <w:numId w:val="2"/>
        </w:numPr>
        <w:ind w:right="0"/>
      </w:pPr>
      <w:r>
        <w:t>Kontakt romansvarlig og HMS-koordinator umiddelbart</w:t>
      </w:r>
    </w:p>
    <w:p w:rsidR="00914305" w:rsidRDefault="00914305" w:rsidP="0014656A">
      <w:pPr>
        <w:pStyle w:val="Tilfelt"/>
        <w:ind w:right="0"/>
      </w:pPr>
    </w:p>
    <w:p w:rsidR="005D1170" w:rsidRDefault="005D1170" w:rsidP="0014656A">
      <w:pPr>
        <w:pStyle w:val="Tilfelt"/>
        <w:ind w:right="0"/>
      </w:pPr>
    </w:p>
    <w:p w:rsidR="00914305" w:rsidRDefault="00914305" w:rsidP="0014656A">
      <w:pPr>
        <w:pStyle w:val="Tilfelt"/>
        <w:ind w:right="0"/>
      </w:pPr>
      <w:r>
        <w:rPr>
          <w:b/>
        </w:rPr>
        <w:t>Arbeid med perklorsyre</w:t>
      </w:r>
    </w:p>
    <w:p w:rsidR="00CD6FF6" w:rsidRDefault="00914305" w:rsidP="00CD6FF6">
      <w:pPr>
        <w:pStyle w:val="Tilfelt"/>
        <w:numPr>
          <w:ilvl w:val="0"/>
          <w:numId w:val="4"/>
        </w:numPr>
        <w:ind w:right="0"/>
      </w:pPr>
      <w:r>
        <w:t>Det skal gjøres en grundig risikovurdering</w:t>
      </w:r>
      <w:r w:rsidR="00FD54D1">
        <w:t xml:space="preserve"> av arbeidet</w:t>
      </w:r>
    </w:p>
    <w:p w:rsidR="004F7602" w:rsidRDefault="004F7602" w:rsidP="00CD6FF6">
      <w:pPr>
        <w:pStyle w:val="Tilfelt"/>
        <w:numPr>
          <w:ilvl w:val="0"/>
          <w:numId w:val="4"/>
        </w:numPr>
        <w:ind w:right="0"/>
      </w:pPr>
      <w:r>
        <w:t>Unngå oppvarming</w:t>
      </w:r>
    </w:p>
    <w:p w:rsidR="00CD6FF6" w:rsidRDefault="00CD6FF6" w:rsidP="00CD6FF6">
      <w:pPr>
        <w:pStyle w:val="Tilfelt"/>
        <w:numPr>
          <w:ilvl w:val="0"/>
          <w:numId w:val="4"/>
        </w:numPr>
        <w:ind w:right="0"/>
      </w:pPr>
      <w:r>
        <w:t>Ved håndtering av perklorsyre skal følgende verneutstyr benyttes:</w:t>
      </w:r>
    </w:p>
    <w:p w:rsidR="00CD6FF6" w:rsidRDefault="00CD6FF6" w:rsidP="00CD6FF6">
      <w:pPr>
        <w:pStyle w:val="Tilfelt"/>
        <w:numPr>
          <w:ilvl w:val="1"/>
          <w:numId w:val="4"/>
        </w:numPr>
        <w:ind w:right="0"/>
      </w:pPr>
      <w:r>
        <w:t>Avtrekksskap</w:t>
      </w:r>
    </w:p>
    <w:p w:rsidR="00CD6FF6" w:rsidRDefault="00CD6FF6" w:rsidP="00CD6FF6">
      <w:pPr>
        <w:pStyle w:val="Tilfelt"/>
        <w:numPr>
          <w:ilvl w:val="1"/>
          <w:numId w:val="4"/>
        </w:numPr>
        <w:ind w:right="0"/>
      </w:pPr>
      <w:r>
        <w:t>Vernebriller</w:t>
      </w:r>
    </w:p>
    <w:p w:rsidR="00CD6FF6" w:rsidRDefault="00CD6FF6" w:rsidP="00CD6FF6">
      <w:pPr>
        <w:pStyle w:val="Tilfelt"/>
        <w:numPr>
          <w:ilvl w:val="1"/>
          <w:numId w:val="4"/>
        </w:numPr>
        <w:ind w:right="0"/>
      </w:pPr>
      <w:r>
        <w:t xml:space="preserve">Hansker, nitril, </w:t>
      </w:r>
      <w:proofErr w:type="spellStart"/>
      <w:r>
        <w:t>Touch’n’tuff</w:t>
      </w:r>
      <w:proofErr w:type="spellEnd"/>
      <w:r>
        <w:t xml:space="preserve"> 92-600 / 92-605</w:t>
      </w:r>
    </w:p>
    <w:p w:rsidR="00CD6FF6" w:rsidRDefault="0040107D" w:rsidP="00CD6FF6">
      <w:pPr>
        <w:pStyle w:val="Tilfelt"/>
        <w:numPr>
          <w:ilvl w:val="1"/>
          <w:numId w:val="4"/>
        </w:numPr>
        <w:ind w:right="0"/>
      </w:pPr>
      <w:r>
        <w:t>Øyeskyll,</w:t>
      </w:r>
      <w:r w:rsidR="00666C88">
        <w:t xml:space="preserve"> nøddusj </w:t>
      </w:r>
      <w:r>
        <w:t xml:space="preserve">og medisinskap </w:t>
      </w:r>
      <w:r w:rsidR="00666C88">
        <w:t>skal være på rommet</w:t>
      </w:r>
    </w:p>
    <w:p w:rsidR="00D802F6" w:rsidRDefault="00666C88" w:rsidP="00D802F6">
      <w:pPr>
        <w:pStyle w:val="Tilfelt"/>
        <w:numPr>
          <w:ilvl w:val="0"/>
          <w:numId w:val="4"/>
        </w:numPr>
        <w:ind w:right="0"/>
      </w:pPr>
      <w:r>
        <w:t xml:space="preserve">Ved </w:t>
      </w:r>
      <w:r w:rsidR="0040107D">
        <w:t>blanding av flere syrer skal dette gjøres i isbad for å forhindre støtkoking</w:t>
      </w:r>
    </w:p>
    <w:p w:rsidR="00D802F6" w:rsidRDefault="00D802F6" w:rsidP="00D802F6">
      <w:pPr>
        <w:pStyle w:val="Tilfelt"/>
        <w:numPr>
          <w:ilvl w:val="0"/>
          <w:numId w:val="4"/>
        </w:numPr>
        <w:ind w:right="0"/>
      </w:pPr>
      <w:r>
        <w:t>Arbeidsflaten må vaskes over grundig med vann for å hindre krystalldannelse etter evt. sprut.</w:t>
      </w:r>
    </w:p>
    <w:p w:rsidR="005D1170" w:rsidRDefault="005D1170" w:rsidP="004F7602">
      <w:pPr>
        <w:pStyle w:val="Tilfelt"/>
        <w:ind w:left="0" w:right="0"/>
      </w:pPr>
    </w:p>
    <w:p w:rsidR="005D1170" w:rsidRDefault="005D1170" w:rsidP="0014656A">
      <w:pPr>
        <w:pStyle w:val="Tilfelt"/>
        <w:ind w:right="0"/>
      </w:pPr>
    </w:p>
    <w:p w:rsidR="004626C8" w:rsidRDefault="004626C8" w:rsidP="0014656A">
      <w:pPr>
        <w:pStyle w:val="Tilfelt"/>
        <w:ind w:right="0"/>
      </w:pPr>
      <w:r>
        <w:t>Kilder:</w:t>
      </w:r>
    </w:p>
    <w:p w:rsidR="004626C8" w:rsidRDefault="001D6E64" w:rsidP="001D6E64">
      <w:pPr>
        <w:pStyle w:val="Tilfelt"/>
        <w:numPr>
          <w:ilvl w:val="0"/>
          <w:numId w:val="6"/>
        </w:numPr>
        <w:ind w:right="0"/>
      </w:pPr>
      <w:r>
        <w:t xml:space="preserve">Merck sikkerhetsdatablad, Perklorsyre 70-72% for analyse EMSURE® </w:t>
      </w:r>
      <w:proofErr w:type="spellStart"/>
      <w:proofErr w:type="gramStart"/>
      <w:r>
        <w:t>ACS,ISO</w:t>
      </w:r>
      <w:proofErr w:type="gramEnd"/>
      <w:r>
        <w:t>,Reag</w:t>
      </w:r>
      <w:proofErr w:type="spellEnd"/>
      <w:r>
        <w:t xml:space="preserve">. </w:t>
      </w:r>
      <w:proofErr w:type="spellStart"/>
      <w:r>
        <w:t>Ph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, rev. 13.09.17, </w:t>
      </w:r>
      <w:proofErr w:type="spellStart"/>
      <w:r>
        <w:t>utgvave</w:t>
      </w:r>
      <w:proofErr w:type="spellEnd"/>
      <w:r>
        <w:t xml:space="preserve"> 6.4</w:t>
      </w:r>
    </w:p>
    <w:p w:rsidR="001D6E64" w:rsidRDefault="005D15EE" w:rsidP="001D6E64">
      <w:pPr>
        <w:pStyle w:val="Tilfelt"/>
        <w:numPr>
          <w:ilvl w:val="0"/>
          <w:numId w:val="6"/>
        </w:numPr>
        <w:ind w:right="0"/>
      </w:pPr>
      <w:hyperlink r:id="rId13" w:history="1">
        <w:r w:rsidR="001D6E64" w:rsidRPr="00FB488C">
          <w:rPr>
            <w:rStyle w:val="Hyperkobling"/>
          </w:rPr>
          <w:t>https://www.concordia.ca/content/dam/concordia/services/safety/docs/EHS-DOC-010_PerchloricAcidGuidelines.pdf</w:t>
        </w:r>
      </w:hyperlink>
    </w:p>
    <w:p w:rsidR="001D6E64" w:rsidRDefault="001D6E64" w:rsidP="00FF54E2">
      <w:pPr>
        <w:pStyle w:val="Tilfelt"/>
        <w:ind w:right="0"/>
      </w:pPr>
    </w:p>
    <w:p w:rsidR="00FF54E2" w:rsidRDefault="00FF54E2" w:rsidP="00FF54E2">
      <w:pPr>
        <w:pStyle w:val="Tilfelt"/>
        <w:ind w:right="0"/>
      </w:pPr>
    </w:p>
    <w:p w:rsidR="00FF54E2" w:rsidRDefault="00FF54E2" w:rsidP="00FF54E2">
      <w:pPr>
        <w:pStyle w:val="Tilfelt"/>
        <w:ind w:right="0"/>
      </w:pPr>
    </w:p>
    <w:p w:rsidR="00FF54E2" w:rsidRDefault="00FF54E2">
      <w:pPr>
        <w:spacing w:after="0"/>
        <w:ind w:left="0" w:right="0"/>
        <w:rPr>
          <w:lang w:val="nb-NO"/>
        </w:rPr>
      </w:pPr>
      <w:r w:rsidRPr="00561B7D">
        <w:rPr>
          <w:lang w:val="nb-NO"/>
        </w:rPr>
        <w:br w:type="page"/>
      </w:r>
    </w:p>
    <w:p w:rsidR="00FF54E2" w:rsidRPr="00FF54E2" w:rsidRDefault="00FF54E2" w:rsidP="00FF54E2">
      <w:pPr>
        <w:pStyle w:val="Tilfelt"/>
        <w:ind w:right="0"/>
        <w:rPr>
          <w:b/>
          <w:sz w:val="30"/>
          <w:szCs w:val="30"/>
          <w:lang w:val="en-US"/>
        </w:rPr>
      </w:pPr>
      <w:r w:rsidRPr="00FF54E2">
        <w:rPr>
          <w:b/>
          <w:sz w:val="30"/>
          <w:szCs w:val="30"/>
          <w:lang w:val="en-US"/>
        </w:rPr>
        <w:lastRenderedPageBreak/>
        <w:t>Routines for working with perchloric acid</w:t>
      </w:r>
    </w:p>
    <w:p w:rsidR="00FF54E2" w:rsidRDefault="00FF54E2" w:rsidP="00FF54E2">
      <w:pPr>
        <w:pStyle w:val="Tilfelt"/>
        <w:ind w:right="0"/>
        <w:rPr>
          <w:b/>
          <w:lang w:val="en-US"/>
        </w:rPr>
      </w:pPr>
    </w:p>
    <w:p w:rsidR="00FF54E2" w:rsidRDefault="00FF54E2" w:rsidP="00FF54E2">
      <w:pPr>
        <w:pStyle w:val="Tilfelt"/>
        <w:ind w:right="0"/>
        <w:rPr>
          <w:b/>
          <w:lang w:val="en-US"/>
        </w:rPr>
      </w:pPr>
      <w:r>
        <w:rPr>
          <w:b/>
          <w:lang w:val="en-US"/>
        </w:rPr>
        <w:t>Hazards</w:t>
      </w:r>
    </w:p>
    <w:p w:rsidR="00FF54E2" w:rsidRDefault="00FF54E2" w:rsidP="00FF54E2">
      <w:pPr>
        <w:pStyle w:val="Tilfelt"/>
        <w:numPr>
          <w:ilvl w:val="0"/>
          <w:numId w:val="7"/>
        </w:numPr>
        <w:ind w:right="0"/>
        <w:rPr>
          <w:lang w:val="en-US"/>
        </w:rPr>
      </w:pPr>
      <w:r>
        <w:rPr>
          <w:lang w:val="en-US"/>
        </w:rPr>
        <w:t xml:space="preserve">Dehydrated acid may form explosive, shock sensitive perchlorate crystals. </w:t>
      </w:r>
      <w:r w:rsidR="0052366D">
        <w:rPr>
          <w:lang w:val="en-US"/>
        </w:rPr>
        <w:t>‘</w:t>
      </w:r>
    </w:p>
    <w:p w:rsidR="0052366D" w:rsidRDefault="0052366D" w:rsidP="0052366D">
      <w:pPr>
        <w:pStyle w:val="Tilfelt"/>
        <w:ind w:left="805" w:right="0"/>
        <w:rPr>
          <w:lang w:val="en-US"/>
        </w:rPr>
      </w:pPr>
    </w:p>
    <w:p w:rsidR="0052366D" w:rsidRDefault="00AB45BA" w:rsidP="0052366D">
      <w:pPr>
        <w:pStyle w:val="Tilfelt"/>
        <w:numPr>
          <w:ilvl w:val="0"/>
          <w:numId w:val="7"/>
        </w:numPr>
        <w:ind w:right="0"/>
        <w:rPr>
          <w:lang w:val="en-US"/>
        </w:rPr>
      </w:pPr>
      <w:r>
        <w:rPr>
          <w:lang w:val="en-US"/>
        </w:rPr>
        <w:t>May cause fire and explosions in contact with organic matter, including wood and paper.</w:t>
      </w:r>
    </w:p>
    <w:p w:rsidR="0052366D" w:rsidRDefault="0052366D" w:rsidP="0052366D">
      <w:pPr>
        <w:pStyle w:val="Tilfelt"/>
        <w:ind w:left="0" w:right="0"/>
        <w:rPr>
          <w:lang w:val="en-US"/>
        </w:rPr>
      </w:pPr>
    </w:p>
    <w:p w:rsidR="0052366D" w:rsidRDefault="0052366D" w:rsidP="0052366D">
      <w:pPr>
        <w:pStyle w:val="Tilfelt"/>
        <w:numPr>
          <w:ilvl w:val="0"/>
          <w:numId w:val="7"/>
        </w:numPr>
        <w:ind w:right="0"/>
        <w:rPr>
          <w:lang w:val="en-US"/>
        </w:rPr>
      </w:pPr>
      <w:r>
        <w:rPr>
          <w:lang w:val="en-US"/>
        </w:rPr>
        <w:t>Strong acid, strong oxidizer, etches metals, harmful if swallowed and causes severe skin burns and eye damage, may cause organ damage through prolonged or repeated exposure.</w:t>
      </w:r>
    </w:p>
    <w:p w:rsidR="0052366D" w:rsidRDefault="0052366D" w:rsidP="0052366D">
      <w:pPr>
        <w:pStyle w:val="Tilfelt"/>
        <w:ind w:right="0"/>
        <w:rPr>
          <w:lang w:val="en-US"/>
        </w:rPr>
      </w:pPr>
    </w:p>
    <w:p w:rsidR="0052366D" w:rsidRDefault="0052366D" w:rsidP="0052366D">
      <w:pPr>
        <w:pStyle w:val="Tilfelt"/>
        <w:ind w:right="0"/>
        <w:rPr>
          <w:b/>
          <w:lang w:val="en-US"/>
        </w:rPr>
      </w:pPr>
      <w:r>
        <w:rPr>
          <w:b/>
          <w:lang w:val="en-US"/>
        </w:rPr>
        <w:t>Storage</w:t>
      </w:r>
    </w:p>
    <w:p w:rsidR="0052366D" w:rsidRDefault="0052366D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The stored amount of perchloric acid shall be kept at a minimum.</w:t>
      </w:r>
    </w:p>
    <w:p w:rsidR="00152545" w:rsidRDefault="00152545" w:rsidP="00152545">
      <w:pPr>
        <w:pStyle w:val="Tilfelt"/>
        <w:ind w:left="805" w:right="0"/>
        <w:rPr>
          <w:lang w:val="en-US"/>
        </w:rPr>
      </w:pPr>
    </w:p>
    <w:p w:rsidR="0052366D" w:rsidRDefault="0052366D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Perchloric acid shall be controlled for crystallization at least every 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months</w:t>
      </w:r>
    </w:p>
    <w:p w:rsidR="0052366D" w:rsidRDefault="0052366D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 xml:space="preserve">Sticker: </w:t>
      </w:r>
      <w:r w:rsidR="00426B2C">
        <w:rPr>
          <w:lang w:val="en-US"/>
        </w:rPr>
        <w:t>may form explosive perchlorate crystals. Label print outs are found at T: in the following folder:</w:t>
      </w:r>
      <w:r w:rsidR="00426B2C">
        <w:rPr>
          <w:lang w:val="en-US"/>
        </w:rPr>
        <w:br/>
      </w:r>
      <w:r w:rsidR="00426B2C" w:rsidRPr="00426B2C">
        <w:rPr>
          <w:lang w:val="en-US"/>
        </w:rPr>
        <w:t>T:\nv\ima\HMS\Kjemikalier\Perklorsyre</w:t>
      </w:r>
    </w:p>
    <w:p w:rsidR="00426B2C" w:rsidRDefault="00426B2C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If crystals are found, evacuate the laboratory and contact HSE coordinator immediately. DO NOT touch or move the bottle.</w:t>
      </w:r>
    </w:p>
    <w:p w:rsidR="00561B7D" w:rsidRDefault="00561B7D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Perchloric acid bottles shall be sent as hazardous waste after 3 months</w:t>
      </w:r>
    </w:p>
    <w:p w:rsidR="00152545" w:rsidRDefault="00152545" w:rsidP="00152545">
      <w:pPr>
        <w:pStyle w:val="Tilfelt"/>
        <w:ind w:left="805" w:right="0"/>
        <w:rPr>
          <w:lang w:val="en-US"/>
        </w:rPr>
      </w:pPr>
    </w:p>
    <w:p w:rsidR="00426B2C" w:rsidRDefault="00426B2C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Shall not be stored close to organic matter, flammable or dehydrating materials.</w:t>
      </w:r>
    </w:p>
    <w:p w:rsidR="00426B2C" w:rsidRDefault="00426B2C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Bottles shall be stored in a chemical resistant glass tray. The tray must be washed with water regularly.</w:t>
      </w:r>
    </w:p>
    <w:p w:rsidR="00152545" w:rsidRDefault="00152545" w:rsidP="00152545">
      <w:pPr>
        <w:pStyle w:val="Tilfelt"/>
        <w:ind w:left="805" w:right="0"/>
        <w:rPr>
          <w:lang w:val="en-US"/>
        </w:rPr>
      </w:pPr>
    </w:p>
    <w:p w:rsidR="00152545" w:rsidRDefault="00152545" w:rsidP="0052366D">
      <w:pPr>
        <w:pStyle w:val="Tilfelt"/>
        <w:numPr>
          <w:ilvl w:val="0"/>
          <w:numId w:val="8"/>
        </w:numPr>
        <w:ind w:right="0"/>
        <w:rPr>
          <w:lang w:val="en-US"/>
        </w:rPr>
      </w:pPr>
      <w:r>
        <w:rPr>
          <w:lang w:val="en-US"/>
        </w:rPr>
        <w:t>List of where perchloric acid is stored at IMA is found at T: in the following folder</w:t>
      </w:r>
    </w:p>
    <w:p w:rsidR="00152545" w:rsidRDefault="00152545" w:rsidP="00152545">
      <w:pPr>
        <w:pStyle w:val="Tilfelt"/>
        <w:ind w:left="805" w:right="0"/>
        <w:rPr>
          <w:lang w:val="de-DE"/>
        </w:rPr>
      </w:pPr>
      <w:r w:rsidRPr="00152545">
        <w:rPr>
          <w:lang w:val="de-DE"/>
        </w:rPr>
        <w:t>T:\nv\ima\HMS\Kjemikalier\Perklorsyre</w:t>
      </w:r>
    </w:p>
    <w:p w:rsidR="00152545" w:rsidRDefault="00152545" w:rsidP="00152545">
      <w:pPr>
        <w:pStyle w:val="Tilfelt"/>
        <w:ind w:right="0"/>
        <w:rPr>
          <w:lang w:val="de-DE"/>
        </w:rPr>
      </w:pPr>
    </w:p>
    <w:p w:rsidR="00152545" w:rsidRDefault="00152545" w:rsidP="00152545">
      <w:pPr>
        <w:pStyle w:val="Tilfelt"/>
        <w:ind w:right="0"/>
        <w:rPr>
          <w:b/>
          <w:lang w:val="de-DE"/>
        </w:rPr>
      </w:pPr>
      <w:proofErr w:type="spellStart"/>
      <w:r>
        <w:rPr>
          <w:b/>
          <w:lang w:val="de-DE"/>
        </w:rPr>
        <w:t>Waste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handling</w:t>
      </w:r>
      <w:proofErr w:type="spellEnd"/>
    </w:p>
    <w:p w:rsidR="00152545" w:rsidRPr="00152545" w:rsidRDefault="00152545" w:rsidP="00152545">
      <w:pPr>
        <w:pStyle w:val="Tilfelt"/>
        <w:numPr>
          <w:ilvl w:val="0"/>
          <w:numId w:val="9"/>
        </w:numPr>
        <w:ind w:right="0"/>
        <w:rPr>
          <w:lang w:val="en-US"/>
        </w:rPr>
      </w:pPr>
      <w:r w:rsidRPr="00152545">
        <w:rPr>
          <w:lang w:val="en-US"/>
        </w:rPr>
        <w:t>Perchloric acid waste shall be disposed of quickly, at least every 3 months.</w:t>
      </w:r>
    </w:p>
    <w:p w:rsidR="00152545" w:rsidRDefault="00152545" w:rsidP="00152545">
      <w:pPr>
        <w:pStyle w:val="Tilfelt"/>
        <w:numPr>
          <w:ilvl w:val="0"/>
          <w:numId w:val="9"/>
        </w:numPr>
        <w:ind w:right="0"/>
        <w:rPr>
          <w:lang w:val="en-US"/>
        </w:rPr>
      </w:pPr>
      <w:r>
        <w:rPr>
          <w:lang w:val="en-US"/>
        </w:rPr>
        <w:t>Do not mix perchloric acid waste with other waste. Different mixtures of perchloric acid waste shall not be mixed with one another.</w:t>
      </w:r>
    </w:p>
    <w:p w:rsidR="00152545" w:rsidRDefault="00152545" w:rsidP="00152545">
      <w:pPr>
        <w:pStyle w:val="Tilfelt"/>
        <w:numPr>
          <w:ilvl w:val="0"/>
          <w:numId w:val="9"/>
        </w:numPr>
        <w:ind w:right="0"/>
        <w:rPr>
          <w:lang w:val="en-US"/>
        </w:rPr>
      </w:pPr>
      <w:r>
        <w:rPr>
          <w:lang w:val="en-US"/>
        </w:rPr>
        <w:t>Dilute the acid waste by filling the waste container with water before the acid waste is added to the container.</w:t>
      </w:r>
    </w:p>
    <w:p w:rsidR="00152545" w:rsidRDefault="00152545" w:rsidP="00152545">
      <w:pPr>
        <w:pStyle w:val="Tilfelt"/>
        <w:numPr>
          <w:ilvl w:val="0"/>
          <w:numId w:val="9"/>
        </w:numPr>
        <w:ind w:right="0"/>
        <w:rPr>
          <w:lang w:val="en-US"/>
        </w:rPr>
      </w:pPr>
      <w:r>
        <w:rPr>
          <w:lang w:val="en-US"/>
        </w:rPr>
        <w:t>The waste container must be checked for crystals regularly. If crystals are found, DO NOT touch or move the container.</w:t>
      </w:r>
    </w:p>
    <w:p w:rsidR="00152545" w:rsidRDefault="00152545" w:rsidP="00152545">
      <w:pPr>
        <w:pStyle w:val="Tilfelt"/>
        <w:ind w:right="0"/>
        <w:rPr>
          <w:lang w:val="en-US"/>
        </w:rPr>
      </w:pPr>
    </w:p>
    <w:p w:rsidR="00152545" w:rsidRDefault="00152545" w:rsidP="00152545">
      <w:pPr>
        <w:pStyle w:val="Tilfelt"/>
        <w:ind w:right="0"/>
        <w:rPr>
          <w:b/>
          <w:lang w:val="en-US"/>
        </w:rPr>
      </w:pPr>
      <w:r>
        <w:rPr>
          <w:b/>
          <w:lang w:val="en-US"/>
        </w:rPr>
        <w:t>Spill</w:t>
      </w:r>
    </w:p>
    <w:p w:rsidR="00152545" w:rsidRDefault="00152545" w:rsidP="00152545">
      <w:pPr>
        <w:pStyle w:val="Tilfelt"/>
        <w:numPr>
          <w:ilvl w:val="0"/>
          <w:numId w:val="10"/>
        </w:numPr>
        <w:ind w:right="0"/>
        <w:rPr>
          <w:lang w:val="en-US"/>
        </w:rPr>
      </w:pPr>
      <w:r>
        <w:rPr>
          <w:lang w:val="en-US"/>
        </w:rPr>
        <w:lastRenderedPageBreak/>
        <w:t xml:space="preserve">In case of spill, absorb with Chemizorb. </w:t>
      </w:r>
      <w:r w:rsidR="00FF4D55">
        <w:rPr>
          <w:lang w:val="en-US"/>
        </w:rPr>
        <w:t>Clean and neutralize the area thoroughly with water afterwards.</w:t>
      </w:r>
    </w:p>
    <w:p w:rsidR="00FF4D55" w:rsidRDefault="00FF4D55" w:rsidP="00152545">
      <w:pPr>
        <w:pStyle w:val="Tilfelt"/>
        <w:numPr>
          <w:ilvl w:val="0"/>
          <w:numId w:val="10"/>
        </w:numPr>
        <w:ind w:right="0"/>
        <w:rPr>
          <w:lang w:val="en-US"/>
        </w:rPr>
      </w:pPr>
      <w:r>
        <w:rPr>
          <w:lang w:val="en-US"/>
        </w:rPr>
        <w:t>Do NOT use paper tissues or rags, as organic matter may spontaneously ignite or explode in contact with perchloric acid.</w:t>
      </w:r>
    </w:p>
    <w:p w:rsidR="00FF4D55" w:rsidRDefault="00FF4D55" w:rsidP="00152545">
      <w:pPr>
        <w:pStyle w:val="Tilfelt"/>
        <w:numPr>
          <w:ilvl w:val="0"/>
          <w:numId w:val="10"/>
        </w:numPr>
        <w:ind w:right="0"/>
        <w:rPr>
          <w:lang w:val="en-US"/>
        </w:rPr>
      </w:pPr>
      <w:r>
        <w:rPr>
          <w:lang w:val="en-US"/>
        </w:rPr>
        <w:t>Contact room responsible and HSE coordinator immediately</w:t>
      </w:r>
    </w:p>
    <w:p w:rsidR="00FF4D55" w:rsidRDefault="00FF4D55" w:rsidP="00FF4D55">
      <w:pPr>
        <w:pStyle w:val="Tilfelt"/>
        <w:ind w:right="0"/>
        <w:rPr>
          <w:lang w:val="en-US"/>
        </w:rPr>
      </w:pPr>
    </w:p>
    <w:p w:rsidR="00FF4D55" w:rsidRDefault="00FF4D55" w:rsidP="00FF4D55">
      <w:pPr>
        <w:pStyle w:val="Tilfelt"/>
        <w:ind w:right="0"/>
        <w:rPr>
          <w:b/>
          <w:lang w:val="en-US"/>
        </w:rPr>
      </w:pPr>
      <w:r>
        <w:rPr>
          <w:b/>
          <w:lang w:val="en-US"/>
        </w:rPr>
        <w:t>Working with perchloric acid</w:t>
      </w:r>
    </w:p>
    <w:p w:rsidR="00FF4D55" w:rsidRDefault="009A5678" w:rsidP="009A5678">
      <w:pPr>
        <w:pStyle w:val="Tilfelt"/>
        <w:numPr>
          <w:ilvl w:val="0"/>
          <w:numId w:val="11"/>
        </w:numPr>
        <w:ind w:right="0"/>
        <w:rPr>
          <w:lang w:val="en-US"/>
        </w:rPr>
      </w:pPr>
      <w:r>
        <w:rPr>
          <w:lang w:val="en-US"/>
        </w:rPr>
        <w:t>The procedure must be thoroughly risk assessed</w:t>
      </w:r>
    </w:p>
    <w:p w:rsidR="009A5678" w:rsidRDefault="009A5678" w:rsidP="009A5678">
      <w:pPr>
        <w:pStyle w:val="Tilfelt"/>
        <w:numPr>
          <w:ilvl w:val="0"/>
          <w:numId w:val="11"/>
        </w:numPr>
        <w:ind w:right="0"/>
        <w:rPr>
          <w:lang w:val="en-US"/>
        </w:rPr>
      </w:pPr>
      <w:r>
        <w:rPr>
          <w:lang w:val="en-US"/>
        </w:rPr>
        <w:t>Avoid heating perchloric acid</w:t>
      </w:r>
    </w:p>
    <w:p w:rsidR="009A5678" w:rsidRDefault="009A5678" w:rsidP="009A5678">
      <w:pPr>
        <w:pStyle w:val="Tilfelt"/>
        <w:numPr>
          <w:ilvl w:val="0"/>
          <w:numId w:val="11"/>
        </w:numPr>
        <w:ind w:right="0"/>
        <w:rPr>
          <w:lang w:val="en-US"/>
        </w:rPr>
      </w:pPr>
      <w:r>
        <w:rPr>
          <w:lang w:val="en-US"/>
        </w:rPr>
        <w:t>When handling perchloric acid, use personal protective equipment:</w:t>
      </w:r>
    </w:p>
    <w:p w:rsidR="009A5678" w:rsidRDefault="009A5678" w:rsidP="009A5678">
      <w:pPr>
        <w:pStyle w:val="Tilfelt"/>
        <w:numPr>
          <w:ilvl w:val="1"/>
          <w:numId w:val="11"/>
        </w:numPr>
        <w:ind w:right="0"/>
        <w:rPr>
          <w:lang w:val="en-US"/>
        </w:rPr>
      </w:pPr>
      <w:r>
        <w:rPr>
          <w:lang w:val="en-US"/>
        </w:rPr>
        <w:t>Fume hood</w:t>
      </w:r>
    </w:p>
    <w:p w:rsidR="009A5678" w:rsidRDefault="009A5678" w:rsidP="009A5678">
      <w:pPr>
        <w:pStyle w:val="Tilfelt"/>
        <w:numPr>
          <w:ilvl w:val="1"/>
          <w:numId w:val="11"/>
        </w:numPr>
        <w:ind w:right="0"/>
        <w:rPr>
          <w:lang w:val="en-US"/>
        </w:rPr>
      </w:pPr>
      <w:r>
        <w:rPr>
          <w:lang w:val="en-US"/>
        </w:rPr>
        <w:t>Safety glasses</w:t>
      </w:r>
    </w:p>
    <w:p w:rsidR="009A5678" w:rsidRPr="009A5678" w:rsidRDefault="009A5678" w:rsidP="009A5678">
      <w:pPr>
        <w:pStyle w:val="Tilfelt"/>
        <w:numPr>
          <w:ilvl w:val="1"/>
          <w:numId w:val="11"/>
        </w:numPr>
        <w:ind w:right="0"/>
        <w:rPr>
          <w:lang w:val="en-US"/>
        </w:rPr>
      </w:pPr>
      <w:r>
        <w:rPr>
          <w:lang w:val="en-US"/>
        </w:rPr>
        <w:t xml:space="preserve">Gloves, nitrile, </w:t>
      </w:r>
      <w:proofErr w:type="spellStart"/>
      <w:r>
        <w:t>Touch’n’tuff</w:t>
      </w:r>
      <w:proofErr w:type="spellEnd"/>
      <w:r>
        <w:t xml:space="preserve"> 92-600 / 92-605</w:t>
      </w:r>
    </w:p>
    <w:p w:rsidR="009A5678" w:rsidRPr="009A5678" w:rsidRDefault="009A5678" w:rsidP="009A5678">
      <w:pPr>
        <w:pStyle w:val="Tilfelt"/>
        <w:numPr>
          <w:ilvl w:val="1"/>
          <w:numId w:val="11"/>
        </w:numPr>
        <w:ind w:right="0"/>
        <w:rPr>
          <w:lang w:val="en-US"/>
        </w:rPr>
      </w:pPr>
      <w:r w:rsidRPr="009A5678">
        <w:rPr>
          <w:lang w:val="en-US"/>
        </w:rPr>
        <w:t>Eye wash, emergency shower and first aid cabinet must be present in the room</w:t>
      </w:r>
    </w:p>
    <w:p w:rsidR="009A5678" w:rsidRDefault="009A5678" w:rsidP="009A5678">
      <w:pPr>
        <w:pStyle w:val="Tilfelt"/>
        <w:numPr>
          <w:ilvl w:val="0"/>
          <w:numId w:val="11"/>
        </w:numPr>
        <w:ind w:right="0"/>
        <w:rPr>
          <w:lang w:val="en-US"/>
        </w:rPr>
      </w:pPr>
      <w:r>
        <w:rPr>
          <w:lang w:val="en-US"/>
        </w:rPr>
        <w:t>When mixing several acids, make sure to do this in an ice bad to prevent bumping</w:t>
      </w:r>
    </w:p>
    <w:p w:rsidR="009A5678" w:rsidRDefault="009A5678" w:rsidP="009A5678">
      <w:pPr>
        <w:pStyle w:val="Tilfelt"/>
        <w:numPr>
          <w:ilvl w:val="0"/>
          <w:numId w:val="11"/>
        </w:numPr>
        <w:ind w:right="0"/>
        <w:rPr>
          <w:lang w:val="en-US"/>
        </w:rPr>
      </w:pPr>
      <w:r>
        <w:rPr>
          <w:lang w:val="en-US"/>
        </w:rPr>
        <w:t>Wash the work area with water to avoid perchlorate crystals from small splashes</w:t>
      </w:r>
    </w:p>
    <w:p w:rsidR="009A5678" w:rsidRDefault="009A5678" w:rsidP="009A5678">
      <w:pPr>
        <w:pStyle w:val="Tilfelt"/>
        <w:ind w:right="0"/>
        <w:rPr>
          <w:lang w:val="en-US"/>
        </w:rPr>
      </w:pPr>
    </w:p>
    <w:p w:rsidR="009A5678" w:rsidRDefault="009A5678" w:rsidP="009A5678">
      <w:pPr>
        <w:pStyle w:val="Tilfelt"/>
        <w:ind w:right="0"/>
        <w:rPr>
          <w:lang w:val="en-US"/>
        </w:rPr>
      </w:pPr>
    </w:p>
    <w:p w:rsidR="009A5678" w:rsidRDefault="009A5678" w:rsidP="009A5678">
      <w:pPr>
        <w:pStyle w:val="Tilfelt"/>
        <w:ind w:right="0"/>
        <w:rPr>
          <w:lang w:val="en-US"/>
        </w:rPr>
      </w:pPr>
      <w:r>
        <w:rPr>
          <w:lang w:val="en-US"/>
        </w:rPr>
        <w:t>Sources:</w:t>
      </w:r>
    </w:p>
    <w:p w:rsidR="009A5678" w:rsidRDefault="009A5678" w:rsidP="009A5678">
      <w:pPr>
        <w:pStyle w:val="Tilfelt"/>
        <w:numPr>
          <w:ilvl w:val="0"/>
          <w:numId w:val="6"/>
        </w:numPr>
        <w:ind w:right="0"/>
      </w:pPr>
      <w:r>
        <w:t xml:space="preserve">Merck sikkerhetsdatablad, Perklorsyre 70-72% for analyse EMSURE® </w:t>
      </w:r>
      <w:proofErr w:type="spellStart"/>
      <w:proofErr w:type="gramStart"/>
      <w:r>
        <w:t>ACS,ISO</w:t>
      </w:r>
      <w:proofErr w:type="gramEnd"/>
      <w:r>
        <w:t>,Reag</w:t>
      </w:r>
      <w:proofErr w:type="spellEnd"/>
      <w:r>
        <w:t xml:space="preserve">. </w:t>
      </w:r>
      <w:proofErr w:type="spellStart"/>
      <w:r>
        <w:t>Ph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, rev. 13.09.17, </w:t>
      </w:r>
      <w:proofErr w:type="spellStart"/>
      <w:r>
        <w:t>utgvave</w:t>
      </w:r>
      <w:proofErr w:type="spellEnd"/>
      <w:r>
        <w:t xml:space="preserve"> 6.4</w:t>
      </w:r>
    </w:p>
    <w:p w:rsidR="009A5678" w:rsidRDefault="005D15EE" w:rsidP="009A5678">
      <w:pPr>
        <w:pStyle w:val="Tilfelt"/>
        <w:numPr>
          <w:ilvl w:val="0"/>
          <w:numId w:val="6"/>
        </w:numPr>
        <w:ind w:right="0"/>
      </w:pPr>
      <w:hyperlink r:id="rId14" w:history="1">
        <w:r w:rsidR="009A5678" w:rsidRPr="00FB488C">
          <w:rPr>
            <w:rStyle w:val="Hyperkobling"/>
          </w:rPr>
          <w:t>https://www.concordia.ca/content/dam/concordia/services/safety/docs/EHS-DOC-010_PerchloricAcidGuidelines.pdf</w:t>
        </w:r>
      </w:hyperlink>
    </w:p>
    <w:p w:rsidR="009A5678" w:rsidRDefault="009A5678" w:rsidP="009A5678">
      <w:pPr>
        <w:pStyle w:val="Tilfelt"/>
        <w:ind w:right="0"/>
      </w:pPr>
    </w:p>
    <w:p w:rsidR="009A5678" w:rsidRDefault="009A5678" w:rsidP="009A5678">
      <w:pPr>
        <w:pStyle w:val="Tilfelt"/>
        <w:ind w:right="0"/>
      </w:pPr>
    </w:p>
    <w:p w:rsidR="009A5678" w:rsidRPr="009A5678" w:rsidRDefault="009A5678" w:rsidP="009A5678">
      <w:pPr>
        <w:pStyle w:val="Tilfelt"/>
        <w:ind w:right="0"/>
      </w:pPr>
    </w:p>
    <w:sectPr w:rsidR="009A5678" w:rsidRPr="009A56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59" w:rsidRDefault="00332459">
      <w:r>
        <w:separator/>
      </w:r>
    </w:p>
  </w:endnote>
  <w:endnote w:type="continuationSeparator" w:id="0">
    <w:p w:rsidR="00332459" w:rsidRDefault="003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Alfred Getz vei 2</w:t>
          </w:r>
          <w:bookmarkEnd w:id="12"/>
        </w:p>
      </w:tc>
      <w:tc>
        <w:tcPr>
          <w:tcW w:w="1741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+47 73551200</w:t>
          </w:r>
          <w:bookmarkEnd w:id="13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:rsidTr="0099559D">
      <w:tc>
        <w:tcPr>
          <w:tcW w:w="1916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Bergbygget E-133</w:t>
          </w:r>
          <w:bookmarkEnd w:id="18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972784" w:rsidRPr="00176D2C" w:rsidTr="0099559D">
      <w:tc>
        <w:tcPr>
          <w:tcW w:w="1916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:rsidR="00972784" w:rsidRPr="00176D2C" w:rsidRDefault="00332459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www.ntnu.no/materialteknologi</w:t>
          </w:r>
          <w:bookmarkEnd w:id="21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Bunntekst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6" w:name="tittel"/>
    <w:bookmarkEnd w:id="3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7" w:name="Navn"/>
    <w:bookmarkEnd w:id="3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38" w:name="Navn2"/>
    <w:bookmarkEnd w:id="3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39" w:name="Tlf"/>
    <w:bookmarkEnd w:id="39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59" w:rsidRDefault="00332459">
      <w:r>
        <w:separator/>
      </w:r>
    </w:p>
  </w:footnote>
  <w:footnote w:type="continuationSeparator" w:id="0">
    <w:p w:rsidR="00332459" w:rsidRDefault="0033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32459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5D15EE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5D15EE">
      <w:t>4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40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32459" w:rsidRDefault="00332459" w:rsidP="00FA0A20">
          <w:pPr>
            <w:pStyle w:val="Header1"/>
          </w:pPr>
          <w:bookmarkStart w:id="1" w:name="lblTopptekst"/>
          <w:r>
            <w:t>Fakultet for naturvitenskap</w:t>
          </w:r>
        </w:p>
        <w:p w:rsidR="00332459" w:rsidRDefault="00332459" w:rsidP="00FA0A20">
          <w:pPr>
            <w:pStyle w:val="Header1"/>
          </w:pPr>
          <w:r>
            <w:t>Institutt for materialteknologi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332459">
          <w:pPr>
            <w:pStyle w:val="DatoRefFyllInn"/>
          </w:pPr>
          <w:bookmarkStart w:id="3" w:name="varDato"/>
          <w:r>
            <w:t>01.03.2019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332459">
          <w:pPr>
            <w:pStyle w:val="DatoRefFyllInn"/>
          </w:pPr>
          <w:bookmarkStart w:id="5" w:name="varRef"/>
          <w:r>
            <w:t>ER</w:t>
          </w:r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D15EE">
      <w:t>4</w:t>
    </w:r>
    <w:r>
      <w:fldChar w:fldCharType="end"/>
    </w:r>
    <w:r>
      <w:t xml:space="preserve"> </w:t>
    </w:r>
    <w:bookmarkStart w:id="30" w:name="lblSideteller2"/>
    <w:r>
      <w:t>av</w:t>
    </w:r>
    <w:bookmarkEnd w:id="3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D15EE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1" w:name="lblTopptekst2"/>
          <w:r>
            <w:t>Norges teknisk-naturvitenskapelige universitet</w:t>
          </w:r>
          <w:bookmarkEnd w:id="3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2" w:name="lblVarDato2"/>
          <w:r>
            <w:t>Dat</w:t>
          </w:r>
          <w:bookmarkEnd w:id="32"/>
          <w:r>
            <w:t>o</w:t>
          </w:r>
        </w:p>
        <w:p w:rsidR="005273E5" w:rsidRDefault="00332459">
          <w:pPr>
            <w:pStyle w:val="DatoRefFyllInn"/>
          </w:pPr>
          <w:bookmarkStart w:id="33" w:name="varDato2"/>
          <w:r>
            <w:t>01.03.2019</w:t>
          </w:r>
          <w:bookmarkEnd w:id="3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4" w:name="lblVarRef2"/>
          <w:r>
            <w:t>R</w:t>
          </w:r>
          <w:r w:rsidR="005273E5">
            <w:t>eferanse</w:t>
          </w:r>
          <w:bookmarkEnd w:id="34"/>
        </w:p>
        <w:p w:rsidR="005273E5" w:rsidRDefault="00332459">
          <w:pPr>
            <w:pStyle w:val="DatoRefFyllInn"/>
          </w:pPr>
          <w:bookmarkStart w:id="35" w:name="varRef2"/>
          <w:r>
            <w:t>ER</w:t>
          </w:r>
          <w:bookmarkEnd w:id="3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33245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4D"/>
    <w:multiLevelType w:val="hybridMultilevel"/>
    <w:tmpl w:val="07B623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CBF1B45"/>
    <w:multiLevelType w:val="hybridMultilevel"/>
    <w:tmpl w:val="9D16D42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F932791"/>
    <w:multiLevelType w:val="hybridMultilevel"/>
    <w:tmpl w:val="342624A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1B214B0"/>
    <w:multiLevelType w:val="hybridMultilevel"/>
    <w:tmpl w:val="BDB8CA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A234A09"/>
    <w:multiLevelType w:val="hybridMultilevel"/>
    <w:tmpl w:val="204E976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4084E79"/>
    <w:multiLevelType w:val="hybridMultilevel"/>
    <w:tmpl w:val="607E20A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37F43DDB"/>
    <w:multiLevelType w:val="hybridMultilevel"/>
    <w:tmpl w:val="5070483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4C1745F5"/>
    <w:multiLevelType w:val="hybridMultilevel"/>
    <w:tmpl w:val="216222F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C7C70CA"/>
    <w:multiLevelType w:val="hybridMultilevel"/>
    <w:tmpl w:val="703C3E4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5E0067E9"/>
    <w:multiLevelType w:val="hybridMultilevel"/>
    <w:tmpl w:val="2AD4776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D602E1C"/>
    <w:multiLevelType w:val="hybridMultilevel"/>
    <w:tmpl w:val="30A0E18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9"/>
    <w:rsid w:val="0000797B"/>
    <w:rsid w:val="00021487"/>
    <w:rsid w:val="000558A9"/>
    <w:rsid w:val="00072E86"/>
    <w:rsid w:val="000B4FDC"/>
    <w:rsid w:val="000D573F"/>
    <w:rsid w:val="0014656A"/>
    <w:rsid w:val="00152545"/>
    <w:rsid w:val="00165FD2"/>
    <w:rsid w:val="001841E0"/>
    <w:rsid w:val="00190405"/>
    <w:rsid w:val="001C6420"/>
    <w:rsid w:val="001D6E64"/>
    <w:rsid w:val="001F054E"/>
    <w:rsid w:val="00213E34"/>
    <w:rsid w:val="00261969"/>
    <w:rsid w:val="00265163"/>
    <w:rsid w:val="00290AB9"/>
    <w:rsid w:val="002C2948"/>
    <w:rsid w:val="002D04ED"/>
    <w:rsid w:val="002E1A4F"/>
    <w:rsid w:val="002E2C64"/>
    <w:rsid w:val="002E461D"/>
    <w:rsid w:val="002F6C5D"/>
    <w:rsid w:val="0030528C"/>
    <w:rsid w:val="00332459"/>
    <w:rsid w:val="00340047"/>
    <w:rsid w:val="003438EA"/>
    <w:rsid w:val="00346634"/>
    <w:rsid w:val="00350092"/>
    <w:rsid w:val="003537B4"/>
    <w:rsid w:val="00356396"/>
    <w:rsid w:val="00391861"/>
    <w:rsid w:val="00397E7A"/>
    <w:rsid w:val="003C03A0"/>
    <w:rsid w:val="003C0FC7"/>
    <w:rsid w:val="0040107D"/>
    <w:rsid w:val="00426B2C"/>
    <w:rsid w:val="0043332D"/>
    <w:rsid w:val="00437D7A"/>
    <w:rsid w:val="004626C8"/>
    <w:rsid w:val="00464FFF"/>
    <w:rsid w:val="004755FE"/>
    <w:rsid w:val="00476E3A"/>
    <w:rsid w:val="0048541D"/>
    <w:rsid w:val="004945E9"/>
    <w:rsid w:val="004C19AA"/>
    <w:rsid w:val="004D0E2C"/>
    <w:rsid w:val="004E2F74"/>
    <w:rsid w:val="004F119E"/>
    <w:rsid w:val="004F7602"/>
    <w:rsid w:val="0052366D"/>
    <w:rsid w:val="005273E5"/>
    <w:rsid w:val="005333A5"/>
    <w:rsid w:val="00541D74"/>
    <w:rsid w:val="00545152"/>
    <w:rsid w:val="00546AB0"/>
    <w:rsid w:val="0055071C"/>
    <w:rsid w:val="00561B7D"/>
    <w:rsid w:val="00587EEF"/>
    <w:rsid w:val="005A49A0"/>
    <w:rsid w:val="005A72FB"/>
    <w:rsid w:val="005C5EB8"/>
    <w:rsid w:val="005C644A"/>
    <w:rsid w:val="005D1170"/>
    <w:rsid w:val="005D15EE"/>
    <w:rsid w:val="006449D8"/>
    <w:rsid w:val="00666C8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9338F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14305"/>
    <w:rsid w:val="00921CB4"/>
    <w:rsid w:val="00972784"/>
    <w:rsid w:val="00986244"/>
    <w:rsid w:val="009A5678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B45BA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42EB"/>
    <w:rsid w:val="00C7574D"/>
    <w:rsid w:val="00C90724"/>
    <w:rsid w:val="00C917DA"/>
    <w:rsid w:val="00CD6FF6"/>
    <w:rsid w:val="00CF0056"/>
    <w:rsid w:val="00CF068D"/>
    <w:rsid w:val="00CF46FD"/>
    <w:rsid w:val="00D24F71"/>
    <w:rsid w:val="00D27F17"/>
    <w:rsid w:val="00D55127"/>
    <w:rsid w:val="00D57025"/>
    <w:rsid w:val="00D62905"/>
    <w:rsid w:val="00D74A4E"/>
    <w:rsid w:val="00D802F6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  <w:rsid w:val="00FD54D1"/>
    <w:rsid w:val="00FF4D55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B6A37A"/>
  <w15:docId w15:val="{6F7C5251-8E16-4949-9037-971BA30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E64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1D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oncordia.ca/content/dam/concordia/services/safety/docs/EHS-DOC-010_PerchloricAcidGuidelines.pdf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ncordia.ca/content/dam/concordia/services/safety/docs/EHS-DOC-010_PerchloricAcidGuideline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IMA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4</Pages>
  <Words>723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Eva Rise</cp:lastModifiedBy>
  <cp:revision>14</cp:revision>
  <cp:lastPrinted>2006-01-04T10:31:00Z</cp:lastPrinted>
  <dcterms:created xsi:type="dcterms:W3CDTF">2019-03-01T08:12:00Z</dcterms:created>
  <dcterms:modified xsi:type="dcterms:W3CDTF">2019-03-07T09:19:00Z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