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6C14" w14:textId="4FB49F5C" w:rsidR="006B0396" w:rsidRPr="00E95B79" w:rsidRDefault="006B0396" w:rsidP="00E95B79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5B79">
        <w:rPr>
          <w:rFonts w:asciiTheme="minorHAnsi" w:hAnsiTheme="minorHAnsi" w:cstheme="minorHAnsi"/>
          <w:b/>
          <w:bCs/>
          <w:sz w:val="28"/>
          <w:szCs w:val="28"/>
        </w:rPr>
        <w:t xml:space="preserve">VEILEDER </w:t>
      </w:r>
      <w:r w:rsidR="001A10DC">
        <w:rPr>
          <w:rFonts w:asciiTheme="minorHAnsi" w:hAnsiTheme="minorHAnsi" w:cstheme="minorHAnsi"/>
          <w:b/>
          <w:bCs/>
          <w:sz w:val="28"/>
          <w:szCs w:val="28"/>
        </w:rPr>
        <w:t xml:space="preserve">TIL </w:t>
      </w:r>
      <w:r w:rsidRPr="00E95B79">
        <w:rPr>
          <w:rFonts w:asciiTheme="minorHAnsi" w:hAnsiTheme="minorHAnsi" w:cstheme="minorHAnsi"/>
          <w:b/>
          <w:bCs/>
          <w:sz w:val="28"/>
          <w:szCs w:val="28"/>
        </w:rPr>
        <w:t>PROSJEKTBAKGRUNN</w:t>
      </w:r>
    </w:p>
    <w:p w14:paraId="6B64E62A" w14:textId="77777777" w:rsidR="006B0396" w:rsidRDefault="006B0396" w:rsidP="00E936AE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3718A353" w14:textId="77777777" w:rsidR="006B0396" w:rsidRDefault="006B0396" w:rsidP="00E936AE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12093D6A" w14:textId="18DED185" w:rsidR="00E936AE" w:rsidRDefault="00E936AE" w:rsidP="00E936AE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ab/>
        <w:t>Innledning</w:t>
      </w:r>
    </w:p>
    <w:p w14:paraId="0785CF9F" w14:textId="77777777" w:rsidR="00E936AE" w:rsidRDefault="00E936AE" w:rsidP="00E936A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Mange vet at prosjektbakgrunn er noe partene i samarbeidsprosjekter har med seg inn i prosjektene de deltar i og at denne prosjektbakgrunnen skal skrives inn i samarbeidsavtalen. Men de sliter med å forstå hva prosjektbakgrunn er, hva som skal skrives inn i avtalene, og hvilke betingelser som kan settes for bruk. </w:t>
      </w:r>
    </w:p>
    <w:p w14:paraId="1B651224" w14:textId="57D80BCA" w:rsidR="00993202" w:rsidRDefault="00E936AE" w:rsidP="00E936A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Noe prosjektbakgrunn er åpenbart prosjektbakgrunn, og noen betingelser er det klart at en kan sette. Men det er gråsoner som kan være vanskeligere å forstå, hvor det ikke er noen klar fasit, og hvor den som skal legge prosjektbakgrunn og betingelser inn i avtalene må utøve skjønn. Målsetningen for dette dokumentet er at skjønnsutøvelsen skal bli mindre utfordrende. Vi understreker allikevel at innholdet er en veiledning</w:t>
      </w:r>
      <w:r w:rsidR="00205E64">
        <w:rPr>
          <w:rFonts w:asciiTheme="minorHAnsi" w:hAnsiTheme="minorHAnsi" w:cstheme="minorHAnsi"/>
        </w:rPr>
        <w:t>.</w:t>
      </w:r>
    </w:p>
    <w:p w14:paraId="2AC43D6F" w14:textId="77777777" w:rsidR="00993202" w:rsidRDefault="00993202" w:rsidP="00E936AE">
      <w:pPr>
        <w:spacing w:after="160" w:line="259" w:lineRule="auto"/>
        <w:rPr>
          <w:rFonts w:asciiTheme="minorHAnsi" w:hAnsiTheme="minorHAnsi" w:cstheme="minorHAnsi"/>
        </w:rPr>
      </w:pPr>
    </w:p>
    <w:p w14:paraId="5829F8FF" w14:textId="77777777" w:rsidR="006B0396" w:rsidRDefault="00EA4513" w:rsidP="00E936AE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6B0396">
        <w:rPr>
          <w:rFonts w:asciiTheme="minorHAnsi" w:hAnsiTheme="minorHAnsi" w:cstheme="minorHAnsi"/>
          <w:b/>
          <w:bCs/>
        </w:rPr>
        <w:t>2</w:t>
      </w:r>
      <w:r w:rsidRPr="006B0396">
        <w:rPr>
          <w:rFonts w:asciiTheme="minorHAnsi" w:hAnsiTheme="minorHAnsi" w:cstheme="minorHAnsi"/>
          <w:b/>
          <w:bCs/>
        </w:rPr>
        <w:tab/>
      </w:r>
      <w:r w:rsidR="006B0396" w:rsidRPr="006B0396">
        <w:rPr>
          <w:rFonts w:asciiTheme="minorHAnsi" w:hAnsiTheme="minorHAnsi" w:cstheme="minorHAnsi"/>
          <w:b/>
          <w:bCs/>
        </w:rPr>
        <w:t>Målgruppe</w:t>
      </w:r>
    </w:p>
    <w:p w14:paraId="10D85BC0" w14:textId="77777777" w:rsidR="00E35BC3" w:rsidRDefault="006B0396" w:rsidP="00E936A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Veilederen er skrevet for at </w:t>
      </w:r>
      <w:r w:rsidR="00505032">
        <w:rPr>
          <w:rFonts w:asciiTheme="minorHAnsi" w:hAnsiTheme="minorHAnsi" w:cstheme="minorHAnsi"/>
        </w:rPr>
        <w:t>forskere og andre som har ansvar for å inngå samarbeidsavtale støttet av forskningsrådet eller EU-kommisjonen</w:t>
      </w:r>
      <w:r w:rsidR="00E95B79">
        <w:rPr>
          <w:rFonts w:asciiTheme="minorHAnsi" w:hAnsiTheme="minorHAnsi" w:cstheme="minorHAnsi"/>
        </w:rPr>
        <w:t>,</w:t>
      </w:r>
      <w:r w:rsidR="00505032">
        <w:rPr>
          <w:rFonts w:asciiTheme="minorHAnsi" w:hAnsiTheme="minorHAnsi" w:cstheme="minorHAnsi"/>
        </w:rPr>
        <w:t xml:space="preserve"> </w:t>
      </w:r>
      <w:r w:rsidR="00B24F3E">
        <w:rPr>
          <w:rFonts w:asciiTheme="minorHAnsi" w:hAnsiTheme="minorHAnsi" w:cstheme="minorHAnsi"/>
        </w:rPr>
        <w:t>lettere skal forstå hva prosjektbakgrunn er, hvilken prosjektbakgrunn som skal oppgis</w:t>
      </w:r>
      <w:r w:rsidR="00123E98">
        <w:rPr>
          <w:rFonts w:asciiTheme="minorHAnsi" w:hAnsiTheme="minorHAnsi" w:cstheme="minorHAnsi"/>
        </w:rPr>
        <w:t xml:space="preserve">, og når prosjektbakgrunnen skal oppgis. </w:t>
      </w:r>
      <w:r w:rsidR="00B029C4">
        <w:rPr>
          <w:rFonts w:asciiTheme="minorHAnsi" w:hAnsiTheme="minorHAnsi" w:cstheme="minorHAnsi"/>
        </w:rPr>
        <w:t xml:space="preserve">Siden en slik beskrivelse kan bli noe teoretisk har vi lagt ved eksempler. </w:t>
      </w:r>
      <w:r w:rsidR="007D6B07">
        <w:rPr>
          <w:rFonts w:asciiTheme="minorHAnsi" w:hAnsiTheme="minorHAnsi" w:cstheme="minorHAnsi"/>
        </w:rPr>
        <w:t xml:space="preserve">Vi har valgt å skrive disse på Engelsk fordi de </w:t>
      </w:r>
      <w:r w:rsidR="00DA6631">
        <w:rPr>
          <w:rFonts w:asciiTheme="minorHAnsi" w:hAnsiTheme="minorHAnsi" w:cstheme="minorHAnsi"/>
        </w:rPr>
        <w:t xml:space="preserve">fleste fagene som ligger til grunn for prosjektene SINTEF og NTNU deltar i har </w:t>
      </w:r>
      <w:r w:rsidR="00D0017A">
        <w:rPr>
          <w:rFonts w:asciiTheme="minorHAnsi" w:hAnsiTheme="minorHAnsi" w:cstheme="minorHAnsi"/>
        </w:rPr>
        <w:t xml:space="preserve">faglitteratur på Engelsk, og i mange tilfeller foregår all kommunikasjon i prosjektene også på Engelsk. Vi har også lagt inn fotnoter for å forklare </w:t>
      </w:r>
      <w:r w:rsidR="006E09B6">
        <w:rPr>
          <w:rFonts w:asciiTheme="minorHAnsi" w:hAnsiTheme="minorHAnsi" w:cstheme="minorHAnsi"/>
        </w:rPr>
        <w:t xml:space="preserve">eksemplene. </w:t>
      </w:r>
    </w:p>
    <w:p w14:paraId="7C3BFE74" w14:textId="7A2B857A" w:rsidR="00E35BC3" w:rsidRDefault="0077431C" w:rsidP="00E936A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Veilederen kan også deles med foretak </w:t>
      </w:r>
      <w:r w:rsidR="000B4864">
        <w:rPr>
          <w:rFonts w:asciiTheme="minorHAnsi" w:hAnsiTheme="minorHAnsi" w:cstheme="minorHAnsi"/>
        </w:rPr>
        <w:t xml:space="preserve">og andre parter </w:t>
      </w:r>
      <w:r>
        <w:rPr>
          <w:rFonts w:asciiTheme="minorHAnsi" w:hAnsiTheme="minorHAnsi" w:cstheme="minorHAnsi"/>
        </w:rPr>
        <w:t xml:space="preserve">vi samarbeider med i de forskjellige prosjektene. </w:t>
      </w:r>
    </w:p>
    <w:p w14:paraId="487A058A" w14:textId="77777777" w:rsidR="00993202" w:rsidRDefault="00993202" w:rsidP="00E936AE">
      <w:pPr>
        <w:spacing w:after="160" w:line="259" w:lineRule="auto"/>
        <w:rPr>
          <w:rFonts w:asciiTheme="minorHAnsi" w:hAnsiTheme="minorHAnsi" w:cstheme="minorHAnsi"/>
        </w:rPr>
      </w:pPr>
    </w:p>
    <w:p w14:paraId="06EB6077" w14:textId="2B377ED0" w:rsidR="00E936AE" w:rsidRDefault="00E35BC3" w:rsidP="00E936A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E936AE" w:rsidRPr="00CE3FAC">
        <w:rPr>
          <w:rFonts w:asciiTheme="minorHAnsi" w:hAnsiTheme="minorHAnsi" w:cstheme="minorHAnsi"/>
          <w:b/>
          <w:bCs/>
        </w:rPr>
        <w:tab/>
        <w:t>Begrepet</w:t>
      </w:r>
    </w:p>
    <w:p w14:paraId="0EE0638A" w14:textId="77777777" w:rsidR="00E936AE" w:rsidRPr="00CE3FAC" w:rsidRDefault="00E936AE" w:rsidP="00E936A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1576259" w14:textId="792F66CF" w:rsidR="00E936AE" w:rsidRDefault="00E936AE" w:rsidP="00E936A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Prosjektbakgrunn er et begrep som benyttes i prosjekter støttet av </w:t>
      </w:r>
      <w:r w:rsidR="0053183E">
        <w:rPr>
          <w:rFonts w:asciiTheme="minorHAnsi" w:hAnsiTheme="minorHAnsi" w:cstheme="minorHAnsi"/>
        </w:rPr>
        <w:t xml:space="preserve">blant andre </w:t>
      </w:r>
      <w:r>
        <w:rPr>
          <w:rFonts w:asciiTheme="minorHAnsi" w:hAnsiTheme="minorHAnsi" w:cstheme="minorHAnsi"/>
        </w:rPr>
        <w:t xml:space="preserve">Norges forskningsråd og EU-kommisjonen. Reglene er stort sett sammenfallende. Begrepet benyttes også i prosjekter støttet av andre offentlige myndigheter (i Norge), men vil da ha samme betydning som hos Norges forskningsråd. </w:t>
      </w:r>
    </w:p>
    <w:p w14:paraId="2064D989" w14:textId="77777777" w:rsidR="00E936AE" w:rsidRDefault="00E936AE" w:rsidP="00E936AE">
      <w:pPr>
        <w:spacing w:line="276" w:lineRule="auto"/>
        <w:jc w:val="both"/>
        <w:rPr>
          <w:rFonts w:asciiTheme="minorHAnsi" w:hAnsiTheme="minorHAnsi" w:cstheme="minorHAnsi"/>
        </w:rPr>
      </w:pPr>
    </w:p>
    <w:p w14:paraId="57FA1125" w14:textId="77777777" w:rsidR="00E936AE" w:rsidRPr="00D2645E" w:rsidRDefault="00E936AE" w:rsidP="00E936AE">
      <w:pPr>
        <w:spacing w:line="276" w:lineRule="auto"/>
        <w:jc w:val="both"/>
        <w:rPr>
          <w:rFonts w:asciiTheme="minorHAnsi" w:hAnsiTheme="minorHAnsi" w:cstheme="minorHAnsi"/>
        </w:rPr>
      </w:pPr>
      <w:r w:rsidRPr="00D2645E">
        <w:rPr>
          <w:rFonts w:asciiTheme="minorHAnsi" w:hAnsiTheme="minorHAnsi" w:cstheme="minorHAnsi"/>
        </w:rPr>
        <w:t xml:space="preserve">I dette notatet </w:t>
      </w:r>
      <w:r>
        <w:rPr>
          <w:rFonts w:asciiTheme="minorHAnsi" w:hAnsiTheme="minorHAnsi" w:cstheme="minorHAnsi"/>
        </w:rPr>
        <w:t xml:space="preserve">viser vi dere hva prosjektbakgrunn er og hva det ikke er, hvor begrepet benyttes, og eksempler på hvordan prosjektbakgrunn kan deklareres i prosjekter for Norges forskningsråd og for EU kommisjonen. </w:t>
      </w:r>
    </w:p>
    <w:p w14:paraId="2F709102" w14:textId="77777777" w:rsidR="00E936AE" w:rsidRPr="00D2645E" w:rsidRDefault="00E936AE" w:rsidP="00E936A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77C808" w14:textId="0E0B859F" w:rsidR="00E936AE" w:rsidRDefault="006E09B6" w:rsidP="00E936AE">
      <w:pPr>
        <w:rPr>
          <w:b/>
          <w:bCs/>
        </w:rPr>
      </w:pPr>
      <w:r>
        <w:rPr>
          <w:b/>
          <w:bCs/>
        </w:rPr>
        <w:t>4</w:t>
      </w:r>
      <w:r w:rsidR="00E936AE" w:rsidRPr="00CE3FAC">
        <w:rPr>
          <w:b/>
          <w:bCs/>
        </w:rPr>
        <w:tab/>
        <w:t>Hva ER prosjektbakgrunn</w:t>
      </w:r>
      <w:r w:rsidR="00162D27">
        <w:rPr>
          <w:b/>
          <w:bCs/>
        </w:rPr>
        <w:t>?</w:t>
      </w:r>
    </w:p>
    <w:p w14:paraId="6A418743" w14:textId="77777777" w:rsidR="00E936AE" w:rsidRPr="00CE3FAC" w:rsidRDefault="00E936AE" w:rsidP="00E936AE">
      <w:pPr>
        <w:rPr>
          <w:b/>
          <w:bCs/>
        </w:rPr>
      </w:pPr>
    </w:p>
    <w:p w14:paraId="6EEF038F" w14:textId="708D0B16" w:rsidR="00E936AE" w:rsidRDefault="00E936AE" w:rsidP="00E936AE">
      <w:r>
        <w:t xml:space="preserve">Prosjektbakgrunn er et verktøy </w:t>
      </w:r>
      <w:r w:rsidR="003A3028">
        <w:t xml:space="preserve">(se eksempler i pkt. 5 nedenfor) </w:t>
      </w:r>
      <w:r>
        <w:t xml:space="preserve">som du (din arbeidsgiver) eier eller har rett til å bruke og som du tar med deg inn i prosjektet for å nå målsetningene for dette. </w:t>
      </w:r>
      <w:r w:rsidR="007C3ED2">
        <w:t xml:space="preserve">Enten bare du skal bruke det eller om også andre skal kunne bruke </w:t>
      </w:r>
      <w:r w:rsidR="00BB5E25">
        <w:t>verktøyet</w:t>
      </w:r>
      <w:r w:rsidR="007C3ED2">
        <w:t xml:space="preserve">. </w:t>
      </w:r>
    </w:p>
    <w:p w14:paraId="62686634" w14:textId="77777777" w:rsidR="00E936AE" w:rsidRDefault="00E936AE" w:rsidP="00E936AE"/>
    <w:p w14:paraId="5A25D066" w14:textId="77777777" w:rsidR="00E936AE" w:rsidRDefault="00E936AE" w:rsidP="00E936AE">
      <w:r>
        <w:t>Verktøyet må du synliggjøre for de andre partene, og det gjør du ved å beskrive det i et vedlegg til samarbeidsavtalen.</w:t>
      </w:r>
    </w:p>
    <w:p w14:paraId="77B8CE64" w14:textId="77777777" w:rsidR="00E936AE" w:rsidRDefault="00E936AE" w:rsidP="00E936AE"/>
    <w:p w14:paraId="07D2BD68" w14:textId="780C60E7" w:rsidR="00E936AE" w:rsidRDefault="00E936AE" w:rsidP="00E936AE">
      <w:r>
        <w:t xml:space="preserve">Da vil også de andre partene </w:t>
      </w:r>
      <w:r w:rsidR="00601787">
        <w:t xml:space="preserve">normalt </w:t>
      </w:r>
      <w:r>
        <w:t xml:space="preserve">få rett til å bruke verktøyet for å utføre oppgavene sine i prosjektet, og rett til å bruke det for å utnytte egne resultater fra prosjektet – noen ganger mot betaling. </w:t>
      </w:r>
    </w:p>
    <w:p w14:paraId="3AB8E1A0" w14:textId="77777777" w:rsidR="00E936AE" w:rsidRDefault="00E936AE" w:rsidP="00E936AE"/>
    <w:p w14:paraId="61B47C5B" w14:textId="7A1E613F" w:rsidR="00E936AE" w:rsidRPr="00CE3FAC" w:rsidRDefault="006E09B6" w:rsidP="00E936AE">
      <w:pPr>
        <w:rPr>
          <w:b/>
          <w:bCs/>
        </w:rPr>
      </w:pPr>
      <w:r>
        <w:rPr>
          <w:b/>
          <w:bCs/>
        </w:rPr>
        <w:t>5</w:t>
      </w:r>
      <w:r w:rsidR="00E936AE" w:rsidRPr="00CE3FAC">
        <w:rPr>
          <w:b/>
          <w:bCs/>
        </w:rPr>
        <w:tab/>
        <w:t>Beskrivelse</w:t>
      </w:r>
    </w:p>
    <w:p w14:paraId="6413A8F7" w14:textId="77777777" w:rsidR="00E936AE" w:rsidRDefault="00E936AE" w:rsidP="00E936AE"/>
    <w:p w14:paraId="6145F9E0" w14:textId="77777777" w:rsidR="00E936AE" w:rsidRDefault="00E936AE" w:rsidP="00E936AE">
      <w:r>
        <w:t xml:space="preserve">Du må beskrive verktøyet på en enkel og klar måte som gjør det lett å skjønne hva du har med deg. Ved å gjøre det slik beskytter du eiendomsretten til det du legger inn, og du viser hva de andre partene kan få bruksrett til og eventuelt må betale for. </w:t>
      </w:r>
    </w:p>
    <w:p w14:paraId="548FE0AA" w14:textId="77777777" w:rsidR="00E936AE" w:rsidRDefault="00E936AE" w:rsidP="00E936AE"/>
    <w:p w14:paraId="2EAAAEE1" w14:textId="77777777" w:rsidR="00E936AE" w:rsidRPr="001919CA" w:rsidRDefault="00E936AE" w:rsidP="00E936AE">
      <w:pPr>
        <w:rPr>
          <w:u w:val="single"/>
        </w:rPr>
      </w:pPr>
      <w:r w:rsidRPr="001919CA">
        <w:rPr>
          <w:u w:val="single"/>
        </w:rPr>
        <w:t>Slik prosjektbakgrunn kan være:</w:t>
      </w:r>
    </w:p>
    <w:p w14:paraId="6503AE66" w14:textId="77777777" w:rsidR="00E936AE" w:rsidRDefault="00E936AE" w:rsidP="00E936AE"/>
    <w:p w14:paraId="594675E4" w14:textId="77777777" w:rsidR="00E936AE" w:rsidRDefault="00E936AE" w:rsidP="001919CA">
      <w:pPr>
        <w:pStyle w:val="Listeavsnitt"/>
        <w:numPr>
          <w:ilvl w:val="0"/>
          <w:numId w:val="6"/>
        </w:numPr>
      </w:pPr>
      <w:r>
        <w:t>Registrerte rettigheter – patent, varemerke, design mv.,</w:t>
      </w:r>
    </w:p>
    <w:p w14:paraId="7F2588D0" w14:textId="77777777" w:rsidR="00E936AE" w:rsidRDefault="00E936AE" w:rsidP="00E936AE"/>
    <w:p w14:paraId="5DFE7D5C" w14:textId="77777777" w:rsidR="00E936AE" w:rsidRDefault="00E936AE" w:rsidP="001919CA">
      <w:pPr>
        <w:pStyle w:val="Listeavsnitt"/>
        <w:numPr>
          <w:ilvl w:val="0"/>
          <w:numId w:val="6"/>
        </w:numPr>
      </w:pPr>
      <w:r>
        <w:t>Avtalte rettigheter – en part har avtalt med tredjepart en rett til å bruke en teknologi (og retten må være overførbar)</w:t>
      </w:r>
    </w:p>
    <w:p w14:paraId="071C1E8C" w14:textId="77777777" w:rsidR="00E936AE" w:rsidRDefault="00E936AE" w:rsidP="00E936AE"/>
    <w:p w14:paraId="06E5FF1C" w14:textId="762D444C" w:rsidR="00E936AE" w:rsidRDefault="00E936AE" w:rsidP="001919CA">
      <w:pPr>
        <w:pStyle w:val="Listeavsnitt"/>
        <w:numPr>
          <w:ilvl w:val="0"/>
          <w:numId w:val="6"/>
        </w:numPr>
      </w:pPr>
      <w:r>
        <w:t xml:space="preserve">Andre IP- rettigheter: Stort sett dreier dette seg om dokumenter som gis under konfidensialitetsbeskyttelse. Det kan være tekniske rapporter, </w:t>
      </w:r>
      <w:r w:rsidR="00601787">
        <w:t>idèbeskrivelser</w:t>
      </w:r>
      <w:r>
        <w:t>, dokumenterbare ferdigheter av forskjellig slag.</w:t>
      </w:r>
    </w:p>
    <w:p w14:paraId="68E313B6" w14:textId="77777777" w:rsidR="00E936AE" w:rsidRPr="004069E5" w:rsidRDefault="00E936AE" w:rsidP="00E936AE">
      <w:pPr>
        <w:rPr>
          <w:rFonts w:asciiTheme="minorHAnsi" w:hAnsiTheme="minorHAnsi" w:cstheme="minorHAnsi"/>
        </w:rPr>
      </w:pPr>
    </w:p>
    <w:p w14:paraId="6A7814F7" w14:textId="77777777" w:rsidR="00E936AE" w:rsidRPr="001919CA" w:rsidRDefault="00E936AE" w:rsidP="00E936AE">
      <w:pPr>
        <w:rPr>
          <w:rFonts w:asciiTheme="minorHAnsi" w:hAnsiTheme="minorHAnsi" w:cstheme="minorHAnsi"/>
          <w:u w:val="single"/>
        </w:rPr>
      </w:pPr>
      <w:r w:rsidRPr="001919CA">
        <w:rPr>
          <w:rFonts w:asciiTheme="minorHAnsi" w:hAnsiTheme="minorHAnsi" w:cstheme="minorHAnsi"/>
          <w:u w:val="single"/>
        </w:rPr>
        <w:t>Hva er ikke bakgrunn:</w:t>
      </w:r>
    </w:p>
    <w:p w14:paraId="1BC93E7F" w14:textId="77777777" w:rsidR="00E936AE" w:rsidRPr="00D2645E" w:rsidRDefault="00E936AE" w:rsidP="00E936AE">
      <w:pPr>
        <w:rPr>
          <w:rFonts w:asciiTheme="minorHAnsi" w:hAnsiTheme="minorHAnsi" w:cstheme="minorHAnsi"/>
        </w:rPr>
      </w:pPr>
    </w:p>
    <w:p w14:paraId="126F3DCB" w14:textId="77777777" w:rsidR="00E936AE" w:rsidRPr="001919CA" w:rsidRDefault="00E936AE" w:rsidP="001919CA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1919CA">
        <w:rPr>
          <w:rFonts w:asciiTheme="minorHAnsi" w:hAnsiTheme="minorHAnsi" w:cstheme="minorHAnsi"/>
        </w:rPr>
        <w:t>En liste med publikasjoner</w:t>
      </w:r>
    </w:p>
    <w:p w14:paraId="50A25C4D" w14:textId="77777777" w:rsidR="00E936AE" w:rsidRDefault="00E936AE" w:rsidP="00E936AE">
      <w:pPr>
        <w:rPr>
          <w:rFonts w:asciiTheme="minorHAnsi" w:hAnsiTheme="minorHAnsi" w:cstheme="minorHAnsi"/>
        </w:rPr>
      </w:pPr>
    </w:p>
    <w:p w14:paraId="7FBBE1B7" w14:textId="77777777" w:rsidR="00E936AE" w:rsidRPr="001919CA" w:rsidRDefault="00E936AE" w:rsidP="001919CA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1919CA">
        <w:rPr>
          <w:rFonts w:asciiTheme="minorHAnsi" w:hAnsiTheme="minorHAnsi" w:cstheme="minorHAnsi"/>
        </w:rPr>
        <w:t>En persons CV</w:t>
      </w:r>
    </w:p>
    <w:p w14:paraId="65CF3153" w14:textId="77777777" w:rsidR="00E936AE" w:rsidRDefault="00E936AE" w:rsidP="00E936AE">
      <w:pPr>
        <w:rPr>
          <w:rFonts w:asciiTheme="minorHAnsi" w:hAnsiTheme="minorHAnsi" w:cstheme="minorHAnsi"/>
        </w:rPr>
      </w:pPr>
    </w:p>
    <w:p w14:paraId="58A42321" w14:textId="7E639709" w:rsidR="00E936AE" w:rsidRPr="001919CA" w:rsidRDefault="00E936AE" w:rsidP="001919CA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1919CA">
        <w:rPr>
          <w:rFonts w:asciiTheme="minorHAnsi" w:hAnsiTheme="minorHAnsi" w:cstheme="minorHAnsi"/>
        </w:rPr>
        <w:t>En beskrivelse av interessefelt og generell know</w:t>
      </w:r>
      <w:r w:rsidR="00896A83" w:rsidRPr="001919CA">
        <w:rPr>
          <w:rFonts w:asciiTheme="minorHAnsi" w:hAnsiTheme="minorHAnsi" w:cstheme="minorHAnsi"/>
        </w:rPr>
        <w:t>-</w:t>
      </w:r>
      <w:r w:rsidRPr="001919CA">
        <w:rPr>
          <w:rFonts w:asciiTheme="minorHAnsi" w:hAnsiTheme="minorHAnsi" w:cstheme="minorHAnsi"/>
        </w:rPr>
        <w:t>how</w:t>
      </w:r>
    </w:p>
    <w:p w14:paraId="2BE48AFF" w14:textId="77777777" w:rsidR="00E936AE" w:rsidRDefault="00E936AE" w:rsidP="00E936AE">
      <w:pPr>
        <w:rPr>
          <w:rFonts w:asciiTheme="minorHAnsi" w:hAnsiTheme="minorHAnsi" w:cstheme="minorHAnsi"/>
        </w:rPr>
      </w:pPr>
    </w:p>
    <w:p w14:paraId="79B52296" w14:textId="0B747AEF" w:rsidR="00E936AE" w:rsidRPr="001919CA" w:rsidRDefault="00E936AE" w:rsidP="001919CA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1919CA">
        <w:rPr>
          <w:rFonts w:asciiTheme="minorHAnsi" w:hAnsiTheme="minorHAnsi" w:cstheme="minorHAnsi"/>
        </w:rPr>
        <w:t>En generell henvisning til alle prosjektresultater i prosjekt</w:t>
      </w:r>
      <w:r w:rsidR="001630B0">
        <w:rPr>
          <w:rFonts w:asciiTheme="minorHAnsi" w:hAnsiTheme="minorHAnsi" w:cstheme="minorHAnsi"/>
        </w:rPr>
        <w:t xml:space="preserve"> fra andre prosjekt(er)</w:t>
      </w:r>
    </w:p>
    <w:p w14:paraId="34FCDF69" w14:textId="77777777" w:rsidR="00E936AE" w:rsidRDefault="00E936AE" w:rsidP="00E936AE"/>
    <w:p w14:paraId="374CD343" w14:textId="77777777" w:rsidR="004069E5" w:rsidRDefault="004069E5" w:rsidP="00E936AE"/>
    <w:p w14:paraId="64138FFE" w14:textId="73EAABE4" w:rsidR="00E936AE" w:rsidRDefault="006E09B6" w:rsidP="00E936AE">
      <w:pPr>
        <w:rPr>
          <w:b/>
          <w:bCs/>
        </w:rPr>
      </w:pPr>
      <w:r>
        <w:rPr>
          <w:b/>
          <w:bCs/>
        </w:rPr>
        <w:t>6</w:t>
      </w:r>
      <w:r w:rsidR="00E936AE" w:rsidRPr="00CE3FAC">
        <w:rPr>
          <w:b/>
          <w:bCs/>
        </w:rPr>
        <w:tab/>
        <w:t>Positiv beskrivelse</w:t>
      </w:r>
    </w:p>
    <w:p w14:paraId="5D87DCBD" w14:textId="77777777" w:rsidR="00E936AE" w:rsidRPr="00CE3FAC" w:rsidRDefault="00E936AE" w:rsidP="00E936AE">
      <w:pPr>
        <w:rPr>
          <w:b/>
          <w:bCs/>
        </w:rPr>
      </w:pPr>
    </w:p>
    <w:p w14:paraId="402C13DB" w14:textId="0E9CE224" w:rsidR="00E936AE" w:rsidRDefault="00E936AE" w:rsidP="00E936AE">
      <w:r>
        <w:t xml:space="preserve">Beskrivelsen du legger inn er positiv; det er kun det du beskriver som kan anvendes av de andre. </w:t>
      </w:r>
    </w:p>
    <w:p w14:paraId="76028030" w14:textId="77777777" w:rsidR="00E936AE" w:rsidRDefault="00E936AE" w:rsidP="00E936AE"/>
    <w:p w14:paraId="58FCA427" w14:textId="6460E98D" w:rsidR="00E936AE" w:rsidRDefault="00E936AE" w:rsidP="00E936AE">
      <w:r>
        <w:t>Du dokumenterer prosjektbakgrunn slik:</w:t>
      </w:r>
    </w:p>
    <w:p w14:paraId="6F32499A" w14:textId="77777777" w:rsidR="00E936AE" w:rsidRDefault="00E936AE" w:rsidP="00E936AE"/>
    <w:p w14:paraId="773E8630" w14:textId="77777777" w:rsidR="00E936AE" w:rsidRDefault="00E936AE" w:rsidP="00E936AE">
      <w:r>
        <w:t xml:space="preserve">Patenter: Patentnummer, prioritet eller dato for søknad, </w:t>
      </w:r>
      <w:proofErr w:type="gramStart"/>
      <w:r>
        <w:t>tittel,</w:t>
      </w:r>
      <w:proofErr w:type="gramEnd"/>
      <w:r>
        <w:t xml:space="preserve"> oppfinner</w:t>
      </w:r>
    </w:p>
    <w:p w14:paraId="34AED959" w14:textId="77777777" w:rsidR="00E936AE" w:rsidRDefault="00E936AE" w:rsidP="00E936AE"/>
    <w:p w14:paraId="46D780AB" w14:textId="43488B56" w:rsidR="00EA6E1B" w:rsidRDefault="00E936AE" w:rsidP="00E936AE">
      <w:r>
        <w:t xml:space="preserve">Rapporter: Tittel, identifikasjonsnummer, </w:t>
      </w:r>
      <w:proofErr w:type="gramStart"/>
      <w:r>
        <w:t>dato,</w:t>
      </w:r>
      <w:proofErr w:type="gramEnd"/>
      <w:r>
        <w:t xml:space="preserve"> forfattere</w:t>
      </w:r>
    </w:p>
    <w:p w14:paraId="2E8259B2" w14:textId="77777777" w:rsidR="00E936AE" w:rsidRDefault="00E936AE" w:rsidP="00E936AE"/>
    <w:p w14:paraId="59B7D2A9" w14:textId="77777777" w:rsidR="00E936AE" w:rsidRDefault="00E936AE" w:rsidP="00E936AE">
      <w:r>
        <w:t>Partene må ta stilling til om prosjektbakgrunnen er dekket av konfidensialitetsbestemmelsen i samarbeidsavtalen. I motsatt tilfelle vil alt som ikke er offentlig beskyttet (patenter ol.) være åpent og ideene som ligger i dette materialet kan benyttes av hvem som helst.</w:t>
      </w:r>
    </w:p>
    <w:p w14:paraId="557FBEA9" w14:textId="77777777" w:rsidR="007B62AE" w:rsidRDefault="007B62AE" w:rsidP="00E936AE"/>
    <w:p w14:paraId="584DB2C6" w14:textId="77777777" w:rsidR="007B62AE" w:rsidRDefault="007B62AE" w:rsidP="00E936AE"/>
    <w:p w14:paraId="7C1984CB" w14:textId="77777777" w:rsidR="00E936AE" w:rsidRPr="00DB5206" w:rsidRDefault="00E936AE" w:rsidP="00E936AE">
      <w:pPr>
        <w:rPr>
          <w:rFonts w:asciiTheme="minorHAnsi" w:hAnsiTheme="minorHAnsi" w:cstheme="minorHAnsi"/>
        </w:rPr>
      </w:pPr>
    </w:p>
    <w:p w14:paraId="7A08530F" w14:textId="547961FF" w:rsidR="00E936AE" w:rsidRDefault="006E09B6" w:rsidP="00E936AE">
      <w:pPr>
        <w:rPr>
          <w:b/>
          <w:bCs/>
        </w:rPr>
      </w:pPr>
      <w:r>
        <w:rPr>
          <w:b/>
          <w:bCs/>
        </w:rPr>
        <w:t>7</w:t>
      </w:r>
      <w:r w:rsidR="00E936AE" w:rsidRPr="00CE3FAC">
        <w:rPr>
          <w:b/>
          <w:bCs/>
        </w:rPr>
        <w:tab/>
        <w:t>Når skal prosjektbakgrunnen beskrives?</w:t>
      </w:r>
    </w:p>
    <w:p w14:paraId="2C675545" w14:textId="77777777" w:rsidR="00E936AE" w:rsidRPr="00CE3FAC" w:rsidRDefault="00E936AE" w:rsidP="00E936AE">
      <w:pPr>
        <w:rPr>
          <w:b/>
          <w:bCs/>
        </w:rPr>
      </w:pPr>
    </w:p>
    <w:p w14:paraId="120CD9B9" w14:textId="6BD2CE74" w:rsidR="00E936AE" w:rsidRPr="007B62AE" w:rsidRDefault="00E936AE" w:rsidP="007B62AE">
      <w:r>
        <w:t>Du kan legge inn beskrivelse av prosjektbakgrunnen i forbindelse med at avtalen forhandles eller mens prosjektet løpe</w:t>
      </w:r>
      <w:r w:rsidR="00A40208">
        <w:t>r</w:t>
      </w:r>
      <w:r>
        <w:t xml:space="preserve"> etter styringskomiteens godkjennelse. </w:t>
      </w:r>
    </w:p>
    <w:p w14:paraId="456D115E" w14:textId="39ECB65B" w:rsidR="00B57298" w:rsidRPr="00753AF1" w:rsidRDefault="00E61275" w:rsidP="00C40569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806DA" w:rsidRPr="00753A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Eksempler</w:t>
      </w:r>
    </w:p>
    <w:p w14:paraId="467C1AE3" w14:textId="09FC52AD" w:rsidR="001806DA" w:rsidRPr="0004567B" w:rsidRDefault="001A6168" w:rsidP="00C40569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8.1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1806DA" w:rsidRPr="000456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Norges Forskningsråd</w:t>
      </w:r>
    </w:p>
    <w:p w14:paraId="4E53C6DF" w14:textId="7BB07606" w:rsidR="001806DA" w:rsidRDefault="001806DA" w:rsidP="00C4056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Samarbeidsavtale – Petromaks2 malene</w:t>
      </w:r>
    </w:p>
    <w:p w14:paraId="523E5382" w14:textId="77777777" w:rsidR="00E936AE" w:rsidRPr="00753AF1" w:rsidRDefault="00E936AE" w:rsidP="00E936A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53AF1">
        <w:rPr>
          <w:rFonts w:asciiTheme="minorHAnsi" w:hAnsiTheme="minorHAnsi" w:cstheme="minorHAnsi"/>
          <w:color w:val="000000"/>
          <w:sz w:val="22"/>
          <w:szCs w:val="22"/>
        </w:rPr>
        <w:t xml:space="preserve">Følgende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753AF1">
        <w:rPr>
          <w:rFonts w:asciiTheme="minorHAnsi" w:hAnsiTheme="minorHAnsi" w:cstheme="minorHAnsi"/>
          <w:color w:val="000000"/>
          <w:sz w:val="22"/>
          <w:szCs w:val="22"/>
        </w:rPr>
        <w:t xml:space="preserve">akgrunn har blitt brakt til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753AF1">
        <w:rPr>
          <w:rFonts w:asciiTheme="minorHAnsi" w:hAnsiTheme="minorHAnsi" w:cstheme="minorHAnsi"/>
          <w:color w:val="000000"/>
          <w:sz w:val="22"/>
          <w:szCs w:val="22"/>
        </w:rPr>
        <w:t>rosjektet:</w:t>
      </w:r>
    </w:p>
    <w:tbl>
      <w:tblPr>
        <w:tblStyle w:val="Tabellrutenett"/>
        <w:tblW w:w="9370" w:type="dxa"/>
        <w:tblLook w:val="04A0" w:firstRow="1" w:lastRow="0" w:firstColumn="1" w:lastColumn="0" w:noHBand="0" w:noVBand="1"/>
      </w:tblPr>
      <w:tblGrid>
        <w:gridCol w:w="9134"/>
        <w:gridCol w:w="236"/>
      </w:tblGrid>
      <w:tr w:rsidR="00E936AE" w:rsidRPr="001A56C9" w14:paraId="77EE4D1C" w14:textId="77777777" w:rsidTr="00F0657B">
        <w:trPr>
          <w:trHeight w:val="1361"/>
        </w:trPr>
        <w:tc>
          <w:tcPr>
            <w:tcW w:w="9370" w:type="dxa"/>
            <w:gridSpan w:val="2"/>
          </w:tcPr>
          <w:p w14:paraId="3C1680F0" w14:textId="77777777" w:rsidR="00E936AE" w:rsidRPr="005D7130" w:rsidRDefault="00E936AE" w:rsidP="001619D6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65D4171" w14:textId="77777777" w:rsidR="00E936AE" w:rsidRPr="005D7130" w:rsidRDefault="00E936AE" w:rsidP="001619D6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5D713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NTNU</w:t>
            </w:r>
          </w:p>
          <w:p w14:paraId="02A4661E" w14:textId="77777777" w:rsidR="00E936AE" w:rsidRPr="005D7130" w:rsidRDefault="00E936AE" w:rsidP="001A56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F0657B" w:rsidRPr="00F0657B" w14:paraId="63F8A838" w14:textId="77777777" w:rsidTr="00066A93">
        <w:trPr>
          <w:trHeight w:val="5109"/>
        </w:trPr>
        <w:tc>
          <w:tcPr>
            <w:tcW w:w="9134" w:type="dxa"/>
          </w:tcPr>
          <w:p w14:paraId="093AA6C1" w14:textId="77777777" w:rsidR="00F0657B" w:rsidRPr="00F0657B" w:rsidRDefault="00F0657B" w:rsidP="00066A9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noProof/>
                <w:spacing w:val="-3"/>
                <w:sz w:val="18"/>
                <w:szCs w:val="18"/>
                <w:lang w:val="en-US" w:eastAsia="de-DE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1846"/>
              <w:gridCol w:w="4563"/>
            </w:tblGrid>
            <w:tr w:rsidR="00F0657B" w:rsidRPr="00F0657B" w14:paraId="7BE9E75C" w14:textId="77777777" w:rsidTr="00066A93">
              <w:tc>
                <w:tcPr>
                  <w:tcW w:w="2123" w:type="dxa"/>
                </w:tcPr>
                <w:p w14:paraId="0D11DB8A" w14:textId="5E727284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 xml:space="preserve">Patent: </w:t>
                  </w:r>
                  <w:r w:rsidR="004B6365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Patentnummer XX</w:t>
                  </w:r>
                  <w:r w:rsidR="000013B2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 xml:space="preserve">X: Navn: </w:t>
                  </w:r>
                  <w:r w:rsidR="00922EC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XXXX</w:t>
                  </w: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 xml:space="preserve">, On-body antenna for wireless communication, </w:t>
                  </w: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FFF"/>
                      <w:lang w:val="en-US"/>
                    </w:rPr>
                    <w:t>201</w:t>
                  </w:r>
                  <w:r w:rsidR="00922EC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846" w:type="dxa"/>
                </w:tcPr>
                <w:p w14:paraId="012005DB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Vederlagsfri tilgang under utførelse av arbeid</w:t>
                  </w:r>
                </w:p>
              </w:tc>
              <w:tc>
                <w:tcPr>
                  <w:tcW w:w="4563" w:type="dxa"/>
                </w:tcPr>
                <w:p w14:paraId="448D4DAE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Finansielle vilkår må forhandles.</w:t>
                  </w:r>
                </w:p>
              </w:tc>
            </w:tr>
            <w:tr w:rsidR="00F0657B" w:rsidRPr="00F0657B" w14:paraId="7368813E" w14:textId="77777777" w:rsidTr="00066A93">
              <w:tc>
                <w:tcPr>
                  <w:tcW w:w="2123" w:type="dxa"/>
                </w:tcPr>
                <w:p w14:paraId="575DABA2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Hardware for high data rate backscatter communication with medical implants,</w:t>
                  </w:r>
                </w:p>
                <w:p w14:paraId="3F8E3F64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Owned by Oslo University Hospital and NTNU</w:t>
                  </w:r>
                </w:p>
              </w:tc>
              <w:tc>
                <w:tcPr>
                  <w:tcW w:w="1846" w:type="dxa"/>
                </w:tcPr>
                <w:p w14:paraId="4F22BB7D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Vederlagsfri tilgang under utførelse av arbeid</w:t>
                  </w:r>
                </w:p>
              </w:tc>
              <w:tc>
                <w:tcPr>
                  <w:tcW w:w="4563" w:type="dxa"/>
                </w:tcPr>
                <w:p w14:paraId="027F944A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Finansielle vilkår må forhandles.</w:t>
                  </w:r>
                </w:p>
              </w:tc>
            </w:tr>
            <w:tr w:rsidR="00F0657B" w:rsidRPr="00F0657B" w14:paraId="39F54EAB" w14:textId="77777777" w:rsidTr="00066A93">
              <w:tc>
                <w:tcPr>
                  <w:tcW w:w="2123" w:type="dxa"/>
                </w:tcPr>
                <w:p w14:paraId="0B3327BB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Antennas for the implant and on-body devices for wireless power transfer and backscatter communication, eid av UiO og NTNU</w:t>
                  </w:r>
                </w:p>
              </w:tc>
              <w:tc>
                <w:tcPr>
                  <w:tcW w:w="1846" w:type="dxa"/>
                </w:tcPr>
                <w:p w14:paraId="4487F33F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Vederlagsfri tilgang under utførelse av arbeid</w:t>
                  </w:r>
                </w:p>
              </w:tc>
              <w:tc>
                <w:tcPr>
                  <w:tcW w:w="4563" w:type="dxa"/>
                </w:tcPr>
                <w:p w14:paraId="2E8B8836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Finansielle vilkår må forhandles.</w:t>
                  </w:r>
                </w:p>
              </w:tc>
            </w:tr>
            <w:tr w:rsidR="00F0657B" w:rsidRPr="00F0657B" w14:paraId="6DB0A498" w14:textId="77777777" w:rsidTr="00066A93">
              <w:tc>
                <w:tcPr>
                  <w:tcW w:w="2123" w:type="dxa"/>
                </w:tcPr>
                <w:p w14:paraId="7C320FCB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Data: Norsk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grunnvannskvantitet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6" w:type="dxa"/>
                </w:tcPr>
                <w:p w14:paraId="2794D56F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63" w:type="dxa"/>
                </w:tcPr>
                <w:p w14:paraId="13CCD260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Åpne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data</w:t>
                  </w:r>
                </w:p>
                <w:p w14:paraId="33AF788E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0657B" w:rsidRPr="00F0657B" w14:paraId="482D02ED" w14:textId="77777777" w:rsidTr="00066A93">
              <w:tc>
                <w:tcPr>
                  <w:tcW w:w="2123" w:type="dxa"/>
                </w:tcPr>
                <w:p w14:paraId="2CA74039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Data: Norsk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grunnvannskvalitet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6" w:type="dxa"/>
                </w:tcPr>
                <w:p w14:paraId="27579EDA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63" w:type="dxa"/>
                </w:tcPr>
                <w:p w14:paraId="6775EA5C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Åpne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data</w:t>
                  </w:r>
                </w:p>
                <w:p w14:paraId="31ACAB1B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0657B" w:rsidRPr="00F0657B" w14:paraId="0F894420" w14:textId="77777777" w:rsidTr="00066A93">
              <w:tc>
                <w:tcPr>
                  <w:tcW w:w="2123" w:type="dxa"/>
                </w:tcPr>
                <w:p w14:paraId="01D608F5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Data: Norsk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overflatevannkvalitet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B223DBA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46" w:type="dxa"/>
                </w:tcPr>
                <w:p w14:paraId="3BA6CE2E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63" w:type="dxa"/>
                </w:tcPr>
                <w:p w14:paraId="0940A1BB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Åpne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data</w:t>
                  </w:r>
                </w:p>
              </w:tc>
            </w:tr>
            <w:tr w:rsidR="00F0657B" w:rsidRPr="00F0657B" w14:paraId="18D6C482" w14:textId="77777777" w:rsidTr="00066A93">
              <w:tc>
                <w:tcPr>
                  <w:tcW w:w="2123" w:type="dxa"/>
                </w:tcPr>
                <w:p w14:paraId="20073427" w14:textId="5F86D092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Software “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Oceanlab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”</w:t>
                  </w:r>
                  <w:r w:rsidR="00EF3CB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versjon 3.</w:t>
                  </w:r>
                </w:p>
                <w:p w14:paraId="4F687C4E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Software tilhørende tredjepart (R&amp;D lisens gitt til NTNU).</w:t>
                  </w:r>
                </w:p>
              </w:tc>
              <w:tc>
                <w:tcPr>
                  <w:tcW w:w="1846" w:type="dxa"/>
                </w:tcPr>
                <w:p w14:paraId="7675A8C1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563" w:type="dxa"/>
                </w:tcPr>
                <w:p w14:paraId="1AD7EDF3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Lisens for kommersiell utnyttelse er avhengig av avtale med tredjepart.</w:t>
                  </w:r>
                </w:p>
                <w:p w14:paraId="68D0443D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</w:tr>
            <w:tr w:rsidR="00F0657B" w:rsidRPr="00F0657B" w14:paraId="632B51D1" w14:textId="77777777" w:rsidTr="00066A93">
              <w:tc>
                <w:tcPr>
                  <w:tcW w:w="2123" w:type="dxa"/>
                </w:tcPr>
                <w:p w14:paraId="79A425AF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Alle data fra Trondheim</w:t>
                  </w:r>
                </w:p>
                <w:p w14:paraId="2946B5DE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MMHD studies (mild, moderate,</w:t>
                  </w:r>
                </w:p>
                <w:p w14:paraId="18BBD2E7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severe Heart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Diseases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som ble samlet inn før starten av studien og som vil bli brukt i HEART-prosjektet. Dataene er beskrevet i prosjektbeskrivelsen</w:t>
                  </w: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(WP 1).</w:t>
                  </w:r>
                </w:p>
                <w:p w14:paraId="7896A5CE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46" w:type="dxa"/>
                </w:tcPr>
                <w:p w14:paraId="4663D163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Tilgang til det komplette datasettet fra Trondheim MMHD studien vil kun bli gitt til UiO og UiT for formålet «pipeline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development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» i WP2 og WP3. Publikasjoner som skal bruke</w:t>
                  </w:r>
                </w:p>
                <w:p w14:paraId="7E649F0C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Trondheim MMHD datasett</w:t>
                  </w:r>
                </w:p>
                <w:p w14:paraId="753698A0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Bør diskuteres med Deltaker 1 for mulig medforfatterskap.</w:t>
                  </w:r>
                </w:p>
                <w:p w14:paraId="4A8A2956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563" w:type="dxa"/>
                </w:tcPr>
                <w:p w14:paraId="3160A1C8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Tilgang for kommersiell bruk vil ikke bli gitt</w:t>
                  </w:r>
                </w:p>
              </w:tc>
            </w:tr>
            <w:tr w:rsidR="00F0657B" w:rsidRPr="00F0657B" w14:paraId="688662D1" w14:textId="77777777" w:rsidTr="00066A93">
              <w:tc>
                <w:tcPr>
                  <w:tcW w:w="2123" w:type="dxa"/>
                </w:tcPr>
                <w:p w14:paraId="0FEEA8CD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GB nedbørsmodell (GBPRE)</w:t>
                  </w:r>
                  <w:r w:rsidRPr="00F0657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Denne </w:t>
                  </w:r>
                  <w:proofErr w:type="gramStart"/>
                  <w:r w:rsidRPr="00F0657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softwaren</w:t>
                  </w:r>
                  <w:proofErr w:type="gramEnd"/>
                  <w:r w:rsidRPr="00F0657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er et resultat fra KPN MODEL</w:t>
                  </w:r>
                </w:p>
              </w:tc>
              <w:tc>
                <w:tcPr>
                  <w:tcW w:w="1846" w:type="dxa"/>
                </w:tcPr>
                <w:p w14:paraId="51CE8D33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63" w:type="dxa"/>
                </w:tcPr>
                <w:p w14:paraId="7C0BB75D" w14:textId="77777777" w:rsidR="00F0657B" w:rsidRPr="00F0657B" w:rsidRDefault="00F0657B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</w:tr>
          </w:tbl>
          <w:p w14:paraId="0689EBD5" w14:textId="77777777" w:rsidR="00F0657B" w:rsidRPr="00F0657B" w:rsidRDefault="00F0657B" w:rsidP="00066A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429002D" w14:textId="77777777" w:rsidR="00F0657B" w:rsidRPr="00F0657B" w:rsidRDefault="00F0657B" w:rsidP="00066A93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14:paraId="3BACB8D8" w14:textId="4F2ED215" w:rsidR="00E936AE" w:rsidRPr="00F0657B" w:rsidRDefault="00E936AE" w:rsidP="00C4056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C95CE60" w14:textId="6D09649C" w:rsidR="00E936AE" w:rsidRPr="001A6168" w:rsidRDefault="001A6168" w:rsidP="00C40569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61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8.2</w:t>
      </w:r>
      <w:r w:rsidR="009C1591" w:rsidRPr="001A616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EU </w:t>
      </w:r>
      <w:r w:rsidRPr="001A61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kommisjonen</w:t>
      </w:r>
    </w:p>
    <w:p w14:paraId="6B8D0971" w14:textId="53EBC605" w:rsidR="00E936AE" w:rsidRDefault="001A6168" w:rsidP="00C4056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DESCA</w:t>
      </w:r>
    </w:p>
    <w:tbl>
      <w:tblPr>
        <w:tblStyle w:val="Tabellrutenett"/>
        <w:tblW w:w="9370" w:type="dxa"/>
        <w:tblLook w:val="04A0" w:firstRow="1" w:lastRow="0" w:firstColumn="1" w:lastColumn="0" w:noHBand="0" w:noVBand="1"/>
      </w:tblPr>
      <w:tblGrid>
        <w:gridCol w:w="9134"/>
        <w:gridCol w:w="236"/>
      </w:tblGrid>
      <w:tr w:rsidR="001A6168" w:rsidRPr="00F0657B" w14:paraId="6DE29033" w14:textId="77777777" w:rsidTr="00066A93">
        <w:trPr>
          <w:trHeight w:val="5109"/>
        </w:trPr>
        <w:tc>
          <w:tcPr>
            <w:tcW w:w="9134" w:type="dxa"/>
          </w:tcPr>
          <w:p w14:paraId="241173AD" w14:textId="4C261F9C" w:rsidR="001A6168" w:rsidRPr="00F0657B" w:rsidRDefault="001A6168" w:rsidP="00066A9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noProof/>
                <w:spacing w:val="-3"/>
                <w:sz w:val="18"/>
                <w:szCs w:val="18"/>
                <w:lang w:val="en-US" w:eastAsia="de-DE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1846"/>
              <w:gridCol w:w="4563"/>
            </w:tblGrid>
            <w:tr w:rsidR="001A6168" w:rsidRPr="00F0657B" w14:paraId="5FB64944" w14:textId="77777777" w:rsidTr="00066A93">
              <w:tc>
                <w:tcPr>
                  <w:tcW w:w="2123" w:type="dxa"/>
                </w:tcPr>
                <w:p w14:paraId="4C8F8C0A" w14:textId="2BB9FF2D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 xml:space="preserve">Patent: </w:t>
                  </w:r>
                  <w:r w:rsidR="00922EC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XXX</w:t>
                  </w: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 xml:space="preserve"> ), On-body antenna for wireless communication, </w:t>
                  </w: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FFF"/>
                      <w:lang w:val="en-US"/>
                    </w:rPr>
                    <w:t>201</w:t>
                  </w:r>
                  <w:r w:rsidR="00922ECB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FFF"/>
                      <w:lang w:val="en-US"/>
                    </w:rPr>
                    <w:t>7</w:t>
                  </w:r>
                </w:p>
                <w:p w14:paraId="39FC2D75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46" w:type="dxa"/>
                </w:tcPr>
                <w:p w14:paraId="1A68A278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Vederlagsfri tilgang under utførelse av arbeid</w:t>
                  </w:r>
                </w:p>
              </w:tc>
              <w:tc>
                <w:tcPr>
                  <w:tcW w:w="4563" w:type="dxa"/>
                </w:tcPr>
                <w:p w14:paraId="3B2D9B94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Finansielle vilkår må forhandles.</w:t>
                  </w:r>
                </w:p>
              </w:tc>
            </w:tr>
            <w:tr w:rsidR="001A6168" w:rsidRPr="00F0657B" w14:paraId="3049DB0C" w14:textId="77777777" w:rsidTr="00066A93">
              <w:tc>
                <w:tcPr>
                  <w:tcW w:w="2123" w:type="dxa"/>
                </w:tcPr>
                <w:p w14:paraId="6F25A0FF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Hardware for high data rate backscatter communication with medical implants,</w:t>
                  </w:r>
                </w:p>
                <w:p w14:paraId="119E5B0A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Owned by Oslo University Hospital and NTNU</w:t>
                  </w:r>
                </w:p>
              </w:tc>
              <w:tc>
                <w:tcPr>
                  <w:tcW w:w="1846" w:type="dxa"/>
                </w:tcPr>
                <w:p w14:paraId="0317409D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Vederlagsfri tilgang under utførelse av arbeid</w:t>
                  </w:r>
                </w:p>
              </w:tc>
              <w:tc>
                <w:tcPr>
                  <w:tcW w:w="4563" w:type="dxa"/>
                </w:tcPr>
                <w:p w14:paraId="2E16806F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Finansielle vilkår må forhandles.</w:t>
                  </w:r>
                </w:p>
              </w:tc>
            </w:tr>
            <w:tr w:rsidR="001A6168" w:rsidRPr="00F0657B" w14:paraId="5E406837" w14:textId="77777777" w:rsidTr="00066A93">
              <w:tc>
                <w:tcPr>
                  <w:tcW w:w="2123" w:type="dxa"/>
                </w:tcPr>
                <w:p w14:paraId="1C653919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  <w:t>Antennas for the implant and on-body devices for wireless power transfer and backscatter communication, eid av UiO og NTNU</w:t>
                  </w:r>
                </w:p>
              </w:tc>
              <w:tc>
                <w:tcPr>
                  <w:tcW w:w="1846" w:type="dxa"/>
                </w:tcPr>
                <w:p w14:paraId="724C3079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Vederlagsfri tilgang under utførelse av arbeid</w:t>
                  </w:r>
                </w:p>
              </w:tc>
              <w:tc>
                <w:tcPr>
                  <w:tcW w:w="4563" w:type="dxa"/>
                </w:tcPr>
                <w:p w14:paraId="6FEC7B3B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Finansielle vilkår må forhandles.</w:t>
                  </w:r>
                </w:p>
              </w:tc>
            </w:tr>
            <w:tr w:rsidR="001A6168" w:rsidRPr="00F0657B" w14:paraId="77448F29" w14:textId="77777777" w:rsidTr="00066A93">
              <w:tc>
                <w:tcPr>
                  <w:tcW w:w="2123" w:type="dxa"/>
                </w:tcPr>
                <w:p w14:paraId="67EAE177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FFF"/>
                    </w:rPr>
                    <w:t>GB1913086.3</w:t>
                  </w: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sl-SI"/>
                    </w:rPr>
                    <w:t>, hemmelig know how relatert til innhold i patent</w:t>
                  </w:r>
                </w:p>
              </w:tc>
              <w:tc>
                <w:tcPr>
                  <w:tcW w:w="1846" w:type="dxa"/>
                </w:tcPr>
                <w:p w14:paraId="38D88A1E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563" w:type="dxa"/>
                </w:tcPr>
                <w:p w14:paraId="66376C59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</w:tr>
            <w:tr w:rsidR="001A6168" w:rsidRPr="00F0657B" w14:paraId="4EE4C740" w14:textId="77777777" w:rsidTr="00066A93">
              <w:tc>
                <w:tcPr>
                  <w:tcW w:w="2123" w:type="dxa"/>
                </w:tcPr>
                <w:p w14:paraId="1C350943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Data: Norsk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grunnvannskvantitet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6" w:type="dxa"/>
                </w:tcPr>
                <w:p w14:paraId="39B12270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63" w:type="dxa"/>
                </w:tcPr>
                <w:p w14:paraId="5B82E705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Åpne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data</w:t>
                  </w:r>
                </w:p>
                <w:p w14:paraId="47E59DD5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A6168" w:rsidRPr="00F0657B" w14:paraId="0389B08E" w14:textId="77777777" w:rsidTr="00066A93">
              <w:tc>
                <w:tcPr>
                  <w:tcW w:w="2123" w:type="dxa"/>
                </w:tcPr>
                <w:p w14:paraId="39BCB80B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Data: Norsk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grunnvannskvalitet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6" w:type="dxa"/>
                </w:tcPr>
                <w:p w14:paraId="17ED5704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63" w:type="dxa"/>
                </w:tcPr>
                <w:p w14:paraId="072FDFD7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Åpne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data</w:t>
                  </w:r>
                </w:p>
                <w:p w14:paraId="52AAF519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A6168" w:rsidRPr="00F0657B" w14:paraId="23D3B23C" w14:textId="77777777" w:rsidTr="00066A93">
              <w:tc>
                <w:tcPr>
                  <w:tcW w:w="2123" w:type="dxa"/>
                </w:tcPr>
                <w:p w14:paraId="5446DD59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Data: Norsk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overflatevannkvalitet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DA68E27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46" w:type="dxa"/>
                </w:tcPr>
                <w:p w14:paraId="39A83A72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63" w:type="dxa"/>
                </w:tcPr>
                <w:p w14:paraId="05D6FDCF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Åpne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data</w:t>
                  </w:r>
                </w:p>
              </w:tc>
            </w:tr>
            <w:tr w:rsidR="001A6168" w:rsidRPr="00F0657B" w14:paraId="3AA54447" w14:textId="77777777" w:rsidTr="00066A93">
              <w:tc>
                <w:tcPr>
                  <w:tcW w:w="2123" w:type="dxa"/>
                </w:tcPr>
                <w:p w14:paraId="0B697EF1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Software “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Oceanlab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”</w:t>
                  </w:r>
                </w:p>
                <w:p w14:paraId="6937A08A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Software tilhørende tredjepart (R&amp;D lisens gitt til NTNU).</w:t>
                  </w:r>
                </w:p>
              </w:tc>
              <w:tc>
                <w:tcPr>
                  <w:tcW w:w="1846" w:type="dxa"/>
                </w:tcPr>
                <w:p w14:paraId="1616C8CB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563" w:type="dxa"/>
                </w:tcPr>
                <w:p w14:paraId="0321D47D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Lisens for kommersiell utnyttelse er avhengig av avtale med tredjepart.</w:t>
                  </w:r>
                </w:p>
                <w:p w14:paraId="43E1707D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</w:tr>
            <w:tr w:rsidR="001A6168" w:rsidRPr="00F0657B" w14:paraId="3E5B95F8" w14:textId="77777777" w:rsidTr="00066A93">
              <w:tc>
                <w:tcPr>
                  <w:tcW w:w="2123" w:type="dxa"/>
                </w:tcPr>
                <w:p w14:paraId="7139329A" w14:textId="77777777" w:rsidR="001A6168" w:rsidRPr="00F0657B" w:rsidRDefault="001A6168" w:rsidP="00066A93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  <w:lang w:val="sl-SI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sl-SI"/>
                    </w:rPr>
                    <w:t>Hemmelig know-how:</w:t>
                  </w:r>
                </w:p>
                <w:p w14:paraId="3A5743D8" w14:textId="77777777" w:rsidR="001A6168" w:rsidRPr="00F0657B" w:rsidRDefault="001A6168" w:rsidP="00066A93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Hanne Sørgjerd: https://...........html </w:t>
                  </w:r>
                </w:p>
                <w:p w14:paraId="40D27FB9" w14:textId="77777777" w:rsidR="001A6168" w:rsidRPr="00F0657B" w:rsidRDefault="001A6168" w:rsidP="00066A93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1846" w:type="dxa"/>
                </w:tcPr>
                <w:p w14:paraId="667AB645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563" w:type="dxa"/>
                </w:tcPr>
                <w:p w14:paraId="0CAF5BA6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</w:tr>
            <w:tr w:rsidR="001A6168" w:rsidRPr="00F0657B" w14:paraId="5364046E" w14:textId="77777777" w:rsidTr="00066A93">
              <w:tc>
                <w:tcPr>
                  <w:tcW w:w="2123" w:type="dxa"/>
                </w:tcPr>
                <w:p w14:paraId="5A951A71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Alle data fra Trondheim</w:t>
                  </w:r>
                </w:p>
                <w:p w14:paraId="2524489B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MMHD studies (mild, moderate,</w:t>
                  </w:r>
                </w:p>
                <w:p w14:paraId="7C0216D4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severe Heart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Diseases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som ble samlet inn før starten av studien og som vil bli brukt i HEART-prosjektet. Dataene er beskrevet i prosjektbeskrivelsen</w:t>
                  </w: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(WP 1).</w:t>
                  </w:r>
                </w:p>
                <w:p w14:paraId="7732CFE1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46" w:type="dxa"/>
                </w:tcPr>
                <w:p w14:paraId="735DD728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Tilgang til det komplette datasettet fra Trondheim MMHD studien vil kun bli gitt til UiO og UiT for formålet «pipeline </w:t>
                  </w:r>
                  <w:proofErr w:type="spellStart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development</w:t>
                  </w:r>
                  <w:proofErr w:type="spellEnd"/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» i WP2 og WP3. Publikasjoner som skal bruke</w:t>
                  </w:r>
                </w:p>
                <w:p w14:paraId="72141370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Trondheim MMHD datasett</w:t>
                  </w:r>
                </w:p>
                <w:p w14:paraId="073A9DE9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Bør diskuteres med Deltaker 1 for mulig medforfatterskap.</w:t>
                  </w:r>
                </w:p>
                <w:p w14:paraId="6EC8AE9C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563" w:type="dxa"/>
                </w:tcPr>
                <w:p w14:paraId="23DF9501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  <w:t>Tilgang for kommersiell bruk vil ikke bli gitt</w:t>
                  </w:r>
                </w:p>
              </w:tc>
            </w:tr>
            <w:tr w:rsidR="001A6168" w:rsidRPr="00F0657B" w14:paraId="2DAC4875" w14:textId="77777777" w:rsidTr="00066A93">
              <w:tc>
                <w:tcPr>
                  <w:tcW w:w="2123" w:type="dxa"/>
                </w:tcPr>
                <w:p w14:paraId="3F0ACB39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657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GB nedbørsmodell (GBPRE)</w:t>
                  </w:r>
                  <w:r w:rsidRPr="00F0657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Denne </w:t>
                  </w:r>
                  <w:proofErr w:type="gramStart"/>
                  <w:r w:rsidRPr="00F0657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softwaren</w:t>
                  </w:r>
                  <w:proofErr w:type="gramEnd"/>
                  <w:r w:rsidRPr="00F0657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er et resultat fra KPN MODEL</w:t>
                  </w:r>
                </w:p>
              </w:tc>
              <w:tc>
                <w:tcPr>
                  <w:tcW w:w="1846" w:type="dxa"/>
                </w:tcPr>
                <w:p w14:paraId="1C232CB1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63" w:type="dxa"/>
                </w:tcPr>
                <w:p w14:paraId="0C7633C2" w14:textId="77777777" w:rsidR="001A6168" w:rsidRPr="00F0657B" w:rsidRDefault="001A6168" w:rsidP="00066A9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pacing w:val="-3"/>
                      <w:sz w:val="18"/>
                      <w:szCs w:val="18"/>
                    </w:rPr>
                  </w:pPr>
                </w:p>
              </w:tc>
            </w:tr>
          </w:tbl>
          <w:p w14:paraId="45648612" w14:textId="77777777" w:rsidR="001A6168" w:rsidRPr="00F0657B" w:rsidRDefault="001A6168" w:rsidP="00066A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3C784B03" w14:textId="77777777" w:rsidR="001A6168" w:rsidRPr="00F0657B" w:rsidRDefault="001A6168" w:rsidP="00066A93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14:paraId="248BD906" w14:textId="77777777" w:rsidR="001A6168" w:rsidRPr="00F0657B" w:rsidRDefault="001A6168" w:rsidP="00C4056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5FEABC7" w14:textId="77777777" w:rsidR="001A6168" w:rsidRPr="001A6168" w:rsidRDefault="001A6168" w:rsidP="001A6168">
      <w:pPr>
        <w:rPr>
          <w:rFonts w:asciiTheme="minorHAnsi" w:hAnsiTheme="minorHAnsi" w:cstheme="minorHAnsi"/>
          <w:u w:val="single"/>
        </w:rPr>
      </w:pPr>
      <w:r w:rsidRPr="001A6168">
        <w:rPr>
          <w:rFonts w:asciiTheme="minorHAnsi" w:hAnsiTheme="minorHAnsi" w:cstheme="minorHAnsi"/>
          <w:u w:val="single"/>
        </w:rPr>
        <w:t>Hvis man ikke har noen bakgrunn, velges dette alternativet:</w:t>
      </w:r>
    </w:p>
    <w:p w14:paraId="0610B721" w14:textId="77777777" w:rsidR="001A6168" w:rsidRDefault="001A6168" w:rsidP="001A6168">
      <w:pPr>
        <w:rPr>
          <w:rFonts w:asciiTheme="minorHAnsi" w:hAnsiTheme="minorHAnsi" w:cstheme="minorHAnsi"/>
        </w:rPr>
      </w:pPr>
    </w:p>
    <w:p w14:paraId="701E7F6D" w14:textId="240173FD" w:rsidR="008857E6" w:rsidRPr="001A6168" w:rsidRDefault="001A6168" w:rsidP="00537287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636D8B">
        <w:rPr>
          <w:color w:val="000000"/>
          <w:lang w:val="en-US"/>
        </w:rPr>
        <w:t>Option 2: No data, know-how or information of [NAME OF THE PARTY] is Needed by another Party for implementation of the Project (Article 16.1 and its Annex 5 Grant Agreement, Section “Access rights to results and background”, sub-section “Access rights to background and results for implementing the action”) or Exploitation of that other Party’s Results (Article 16.1 and its Annex 5 Grant Agreement, Section “Access rights to results and background”, sub-section “Access rights for exploiting the results”).</w:t>
      </w:r>
    </w:p>
    <w:p w14:paraId="68464B27" w14:textId="69525318" w:rsidR="008857E6" w:rsidRPr="001A6168" w:rsidRDefault="008857E6" w:rsidP="008857E6">
      <w:pPr>
        <w:rPr>
          <w:rFonts w:asciiTheme="minorHAnsi" w:hAnsiTheme="minorHAnsi" w:cstheme="minorHAnsi"/>
          <w:lang w:val="en-US"/>
        </w:rPr>
      </w:pPr>
    </w:p>
    <w:p w14:paraId="7908347B" w14:textId="77777777" w:rsidR="00617F65" w:rsidRPr="001A6168" w:rsidRDefault="00617F65" w:rsidP="0040122A">
      <w:pPr>
        <w:rPr>
          <w:rFonts w:asciiTheme="minorHAnsi" w:hAnsiTheme="minorHAnsi" w:cstheme="minorHAnsi"/>
          <w:lang w:val="en-US"/>
        </w:rPr>
      </w:pPr>
    </w:p>
    <w:p w14:paraId="18F6F3AB" w14:textId="77777777" w:rsidR="000F0897" w:rsidRPr="001A6168" w:rsidRDefault="000F0897" w:rsidP="000F0897">
      <w:pPr>
        <w:autoSpaceDE w:val="0"/>
        <w:autoSpaceDN w:val="0"/>
        <w:adjustRightInd w:val="0"/>
        <w:rPr>
          <w:rFonts w:asciiTheme="minorHAnsi" w:eastAsia="SimSun" w:hAnsiTheme="minorHAnsi" w:cstheme="minorHAnsi"/>
          <w:noProof/>
          <w:spacing w:val="-3"/>
          <w:sz w:val="18"/>
          <w:szCs w:val="18"/>
          <w:lang w:val="en-US" w:eastAsia="de-DE"/>
        </w:rPr>
      </w:pPr>
    </w:p>
    <w:p w14:paraId="54EE97E6" w14:textId="77777777" w:rsidR="000F0897" w:rsidRPr="003A328E" w:rsidRDefault="000F0897" w:rsidP="000F0897">
      <w:pPr>
        <w:rPr>
          <w:rFonts w:asciiTheme="minorHAnsi" w:hAnsiTheme="minorHAnsi" w:cstheme="minorHAnsi"/>
          <w:lang w:val="en-US"/>
        </w:rPr>
      </w:pPr>
    </w:p>
    <w:p w14:paraId="6BBF2ADD" w14:textId="77777777" w:rsidR="008320FE" w:rsidRPr="00753AF1" w:rsidRDefault="008320FE" w:rsidP="000F0897">
      <w:pPr>
        <w:rPr>
          <w:rFonts w:asciiTheme="minorHAnsi" w:hAnsiTheme="minorHAnsi" w:cstheme="minorHAnsi"/>
          <w:lang w:val="en-US"/>
        </w:rPr>
      </w:pPr>
    </w:p>
    <w:p w14:paraId="08FD814B" w14:textId="77777777" w:rsidR="000F0897" w:rsidRPr="00753AF1" w:rsidRDefault="000F0897" w:rsidP="000F0897">
      <w:pPr>
        <w:rPr>
          <w:rFonts w:asciiTheme="minorHAnsi" w:hAnsiTheme="minorHAnsi" w:cstheme="minorHAnsi"/>
          <w:lang w:val="en-US"/>
        </w:rPr>
      </w:pPr>
    </w:p>
    <w:p w14:paraId="67F9FBF7" w14:textId="7C441F73" w:rsidR="005025B1" w:rsidRPr="004313AF" w:rsidRDefault="005025B1" w:rsidP="004500A7">
      <w:pPr>
        <w:rPr>
          <w:rFonts w:asciiTheme="minorHAnsi" w:hAnsiTheme="minorHAnsi" w:cstheme="minorHAnsi"/>
          <w:b/>
          <w:bCs/>
          <w:lang w:val="en-US"/>
        </w:rPr>
      </w:pPr>
    </w:p>
    <w:p w14:paraId="5819285C" w14:textId="582E3779" w:rsidR="005025B1" w:rsidRPr="004313AF" w:rsidRDefault="005025B1" w:rsidP="005025B1">
      <w:pPr>
        <w:rPr>
          <w:rFonts w:asciiTheme="minorHAnsi" w:hAnsiTheme="minorHAnsi" w:cstheme="minorHAnsi"/>
          <w:lang w:val="en-US"/>
        </w:rPr>
      </w:pPr>
    </w:p>
    <w:p w14:paraId="06B07CF7" w14:textId="77777777" w:rsidR="005025B1" w:rsidRPr="003A328E" w:rsidRDefault="005025B1" w:rsidP="005025B1">
      <w:pPr>
        <w:rPr>
          <w:rFonts w:asciiTheme="minorHAnsi" w:hAnsiTheme="minorHAnsi" w:cstheme="minorHAnsi"/>
          <w:lang w:val="sl-SI"/>
        </w:rPr>
      </w:pPr>
    </w:p>
    <w:sectPr w:rsidR="005025B1" w:rsidRPr="003A32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1DA5" w14:textId="77777777" w:rsidR="006F003F" w:rsidRDefault="006F003F" w:rsidP="005C79F0">
      <w:r>
        <w:separator/>
      </w:r>
    </w:p>
  </w:endnote>
  <w:endnote w:type="continuationSeparator" w:id="0">
    <w:p w14:paraId="482772C3" w14:textId="77777777" w:rsidR="006F003F" w:rsidRDefault="006F003F" w:rsidP="005C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179924"/>
      <w:docPartObj>
        <w:docPartGallery w:val="Page Numbers (Bottom of Page)"/>
        <w:docPartUnique/>
      </w:docPartObj>
    </w:sdtPr>
    <w:sdtEndPr/>
    <w:sdtContent>
      <w:p w14:paraId="2E38650F" w14:textId="77FC0804" w:rsidR="00FD5CC1" w:rsidRDefault="00FD5CC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72096" w14:textId="77777777" w:rsidR="00FD5CC1" w:rsidRDefault="00FD5C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FF1C" w14:textId="77777777" w:rsidR="006F003F" w:rsidRDefault="006F003F" w:rsidP="005C79F0">
      <w:r>
        <w:separator/>
      </w:r>
    </w:p>
  </w:footnote>
  <w:footnote w:type="continuationSeparator" w:id="0">
    <w:p w14:paraId="18607527" w14:textId="77777777" w:rsidR="006F003F" w:rsidRDefault="006F003F" w:rsidP="005C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861"/>
    <w:multiLevelType w:val="hybridMultilevel"/>
    <w:tmpl w:val="208ABEBE"/>
    <w:name w:val="Numbered list 16"/>
    <w:lvl w:ilvl="0" w:tplc="325A2EA4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B2E8EBF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073CF3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1DE044A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0590DA1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9D6250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B428BE8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B56213D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A01013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F6B3B18"/>
    <w:multiLevelType w:val="hybridMultilevel"/>
    <w:tmpl w:val="9D425874"/>
    <w:lvl w:ilvl="0" w:tplc="3A647AD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4446"/>
    <w:multiLevelType w:val="hybridMultilevel"/>
    <w:tmpl w:val="07B4C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76F5"/>
    <w:multiLevelType w:val="hybridMultilevel"/>
    <w:tmpl w:val="CB7E1626"/>
    <w:name w:val="Numbered list 3"/>
    <w:lvl w:ilvl="0" w:tplc="33581618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06507D6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484AAA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76F72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74F2DD6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B90EF39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70CD630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8C1A5F6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E88C4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535002B"/>
    <w:multiLevelType w:val="hybridMultilevel"/>
    <w:tmpl w:val="3970104C"/>
    <w:name w:val="Numbered list 5"/>
    <w:lvl w:ilvl="0" w:tplc="7E46C218">
      <w:start w:val="1"/>
      <w:numFmt w:val="decimal"/>
      <w:lvlText w:val="%1."/>
      <w:lvlJc w:val="left"/>
      <w:pPr>
        <w:ind w:left="0" w:firstLine="0"/>
      </w:pPr>
    </w:lvl>
    <w:lvl w:ilvl="1" w:tplc="98487428">
      <w:start w:val="1"/>
      <w:numFmt w:val="lowerLetter"/>
      <w:lvlText w:val="%2."/>
      <w:lvlJc w:val="left"/>
      <w:pPr>
        <w:ind w:left="1080" w:firstLine="0"/>
      </w:pPr>
    </w:lvl>
    <w:lvl w:ilvl="2" w:tplc="95649006">
      <w:start w:val="1"/>
      <w:numFmt w:val="lowerRoman"/>
      <w:lvlText w:val="%3."/>
      <w:lvlJc w:val="left"/>
      <w:pPr>
        <w:ind w:left="1980" w:firstLine="0"/>
      </w:pPr>
    </w:lvl>
    <w:lvl w:ilvl="3" w:tplc="E3E20626">
      <w:start w:val="1"/>
      <w:numFmt w:val="decimal"/>
      <w:lvlText w:val="%4."/>
      <w:lvlJc w:val="left"/>
      <w:pPr>
        <w:ind w:left="2520" w:firstLine="0"/>
      </w:pPr>
    </w:lvl>
    <w:lvl w:ilvl="4" w:tplc="4C5CCD60">
      <w:start w:val="1"/>
      <w:numFmt w:val="lowerLetter"/>
      <w:lvlText w:val="%5."/>
      <w:lvlJc w:val="left"/>
      <w:pPr>
        <w:ind w:left="3240" w:firstLine="0"/>
      </w:pPr>
    </w:lvl>
    <w:lvl w:ilvl="5" w:tplc="62D61636">
      <w:start w:val="1"/>
      <w:numFmt w:val="lowerRoman"/>
      <w:lvlText w:val="%6."/>
      <w:lvlJc w:val="left"/>
      <w:pPr>
        <w:ind w:left="4140" w:firstLine="0"/>
      </w:pPr>
    </w:lvl>
    <w:lvl w:ilvl="6" w:tplc="72B6173E">
      <w:start w:val="1"/>
      <w:numFmt w:val="decimal"/>
      <w:lvlText w:val="%7."/>
      <w:lvlJc w:val="left"/>
      <w:pPr>
        <w:ind w:left="4680" w:firstLine="0"/>
      </w:pPr>
    </w:lvl>
    <w:lvl w:ilvl="7" w:tplc="23EC66E6">
      <w:start w:val="1"/>
      <w:numFmt w:val="lowerLetter"/>
      <w:lvlText w:val="%8."/>
      <w:lvlJc w:val="left"/>
      <w:pPr>
        <w:ind w:left="5400" w:firstLine="0"/>
      </w:pPr>
    </w:lvl>
    <w:lvl w:ilvl="8" w:tplc="1B3C247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B3268BF"/>
    <w:multiLevelType w:val="hybridMultilevel"/>
    <w:tmpl w:val="4BE4D1D8"/>
    <w:lvl w:ilvl="0" w:tplc="78302B9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615D6"/>
    <w:multiLevelType w:val="hybridMultilevel"/>
    <w:tmpl w:val="E03AB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99679">
    <w:abstractNumId w:val="1"/>
  </w:num>
  <w:num w:numId="2" w16cid:durableId="1738162824">
    <w:abstractNumId w:val="5"/>
  </w:num>
  <w:num w:numId="3" w16cid:durableId="326204660">
    <w:abstractNumId w:val="3"/>
  </w:num>
  <w:num w:numId="4" w16cid:durableId="2111731000">
    <w:abstractNumId w:val="4"/>
  </w:num>
  <w:num w:numId="5" w16cid:durableId="1039009905">
    <w:abstractNumId w:val="0"/>
  </w:num>
  <w:num w:numId="6" w16cid:durableId="488450341">
    <w:abstractNumId w:val="2"/>
  </w:num>
  <w:num w:numId="7" w16cid:durableId="709837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F0"/>
    <w:rsid w:val="000013B2"/>
    <w:rsid w:val="0004567B"/>
    <w:rsid w:val="00093445"/>
    <w:rsid w:val="000B4864"/>
    <w:rsid w:val="000F0897"/>
    <w:rsid w:val="00102678"/>
    <w:rsid w:val="00102B84"/>
    <w:rsid w:val="0010534F"/>
    <w:rsid w:val="00123E98"/>
    <w:rsid w:val="00147219"/>
    <w:rsid w:val="00161F1A"/>
    <w:rsid w:val="00162D27"/>
    <w:rsid w:val="001630B0"/>
    <w:rsid w:val="00166CC0"/>
    <w:rsid w:val="001806DA"/>
    <w:rsid w:val="001919CA"/>
    <w:rsid w:val="001A10DC"/>
    <w:rsid w:val="001A56C9"/>
    <w:rsid w:val="001A6168"/>
    <w:rsid w:val="001B3E9E"/>
    <w:rsid w:val="00200CFF"/>
    <w:rsid w:val="00205E64"/>
    <w:rsid w:val="00232760"/>
    <w:rsid w:val="00240465"/>
    <w:rsid w:val="00243357"/>
    <w:rsid w:val="00264187"/>
    <w:rsid w:val="002710BA"/>
    <w:rsid w:val="002C6D28"/>
    <w:rsid w:val="002D6FF1"/>
    <w:rsid w:val="002E45A7"/>
    <w:rsid w:val="00304032"/>
    <w:rsid w:val="00305AB1"/>
    <w:rsid w:val="003109B5"/>
    <w:rsid w:val="00317BB2"/>
    <w:rsid w:val="003556C2"/>
    <w:rsid w:val="00362339"/>
    <w:rsid w:val="003849A6"/>
    <w:rsid w:val="003A3028"/>
    <w:rsid w:val="003A328E"/>
    <w:rsid w:val="003D1720"/>
    <w:rsid w:val="0040122A"/>
    <w:rsid w:val="0040128E"/>
    <w:rsid w:val="004069E5"/>
    <w:rsid w:val="004313AF"/>
    <w:rsid w:val="00434135"/>
    <w:rsid w:val="004500A7"/>
    <w:rsid w:val="004618D2"/>
    <w:rsid w:val="004A12CF"/>
    <w:rsid w:val="004B6365"/>
    <w:rsid w:val="004D0FBD"/>
    <w:rsid w:val="005025B1"/>
    <w:rsid w:val="00505032"/>
    <w:rsid w:val="0053183E"/>
    <w:rsid w:val="00537287"/>
    <w:rsid w:val="005C67FB"/>
    <w:rsid w:val="005C79F0"/>
    <w:rsid w:val="005D0CBC"/>
    <w:rsid w:val="005D7130"/>
    <w:rsid w:val="00601787"/>
    <w:rsid w:val="006177A5"/>
    <w:rsid w:val="00617F65"/>
    <w:rsid w:val="00636D8B"/>
    <w:rsid w:val="006673FA"/>
    <w:rsid w:val="0068734F"/>
    <w:rsid w:val="006B0396"/>
    <w:rsid w:val="006E09B6"/>
    <w:rsid w:val="006E5B7A"/>
    <w:rsid w:val="006F003F"/>
    <w:rsid w:val="00707A87"/>
    <w:rsid w:val="00753AF1"/>
    <w:rsid w:val="0077431C"/>
    <w:rsid w:val="007B62AE"/>
    <w:rsid w:val="007C3ED2"/>
    <w:rsid w:val="007D6B07"/>
    <w:rsid w:val="008320FE"/>
    <w:rsid w:val="008857E6"/>
    <w:rsid w:val="00891640"/>
    <w:rsid w:val="00896A83"/>
    <w:rsid w:val="008D0151"/>
    <w:rsid w:val="0090203F"/>
    <w:rsid w:val="00922ECB"/>
    <w:rsid w:val="00925A11"/>
    <w:rsid w:val="009569B3"/>
    <w:rsid w:val="009624F3"/>
    <w:rsid w:val="00972A31"/>
    <w:rsid w:val="00993202"/>
    <w:rsid w:val="00993C73"/>
    <w:rsid w:val="009B1601"/>
    <w:rsid w:val="009C01EC"/>
    <w:rsid w:val="009C1591"/>
    <w:rsid w:val="009C5AC3"/>
    <w:rsid w:val="009F47D7"/>
    <w:rsid w:val="00A01090"/>
    <w:rsid w:val="00A15B88"/>
    <w:rsid w:val="00A333A2"/>
    <w:rsid w:val="00A40208"/>
    <w:rsid w:val="00A46FD0"/>
    <w:rsid w:val="00A57D2C"/>
    <w:rsid w:val="00A77DA6"/>
    <w:rsid w:val="00A97951"/>
    <w:rsid w:val="00B029C4"/>
    <w:rsid w:val="00B24F3E"/>
    <w:rsid w:val="00B51130"/>
    <w:rsid w:val="00B57298"/>
    <w:rsid w:val="00B610C4"/>
    <w:rsid w:val="00B72049"/>
    <w:rsid w:val="00BB5E25"/>
    <w:rsid w:val="00BF19D6"/>
    <w:rsid w:val="00C40569"/>
    <w:rsid w:val="00C41BF5"/>
    <w:rsid w:val="00CB08E4"/>
    <w:rsid w:val="00CD02A5"/>
    <w:rsid w:val="00CF5962"/>
    <w:rsid w:val="00D0017A"/>
    <w:rsid w:val="00D0160C"/>
    <w:rsid w:val="00D21308"/>
    <w:rsid w:val="00D2645E"/>
    <w:rsid w:val="00D50BE8"/>
    <w:rsid w:val="00D7644B"/>
    <w:rsid w:val="00D82AE0"/>
    <w:rsid w:val="00D976B8"/>
    <w:rsid w:val="00DA6631"/>
    <w:rsid w:val="00DB5206"/>
    <w:rsid w:val="00E15037"/>
    <w:rsid w:val="00E35BC3"/>
    <w:rsid w:val="00E439A5"/>
    <w:rsid w:val="00E61275"/>
    <w:rsid w:val="00E936AE"/>
    <w:rsid w:val="00E95B79"/>
    <w:rsid w:val="00EA4513"/>
    <w:rsid w:val="00EA6E1B"/>
    <w:rsid w:val="00ED6DE0"/>
    <w:rsid w:val="00EF3CBD"/>
    <w:rsid w:val="00EF6107"/>
    <w:rsid w:val="00F0657B"/>
    <w:rsid w:val="00F1730F"/>
    <w:rsid w:val="00F64CB3"/>
    <w:rsid w:val="00F82EF5"/>
    <w:rsid w:val="00FB0BE8"/>
    <w:rsid w:val="00FD43D7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C86EE"/>
  <w15:chartTrackingRefBased/>
  <w15:docId w15:val="{59B2942C-D95F-46A6-9502-22CD070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F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6E5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0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88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4500A7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404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4046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40465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04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0465"/>
    <w:rPr>
      <w:rFonts w:ascii="Calibri" w:hAnsi="Calibri" w:cs="Calibri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D5C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CC1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FD5C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5CC1"/>
    <w:rPr>
      <w:rFonts w:ascii="Calibri" w:hAnsi="Calibri" w:cs="Calibri"/>
    </w:rPr>
  </w:style>
  <w:style w:type="paragraph" w:styleId="Revisjon">
    <w:name w:val="Revision"/>
    <w:hidden/>
    <w:uiPriority w:val="99"/>
    <w:semiHidden/>
    <w:rsid w:val="0053183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Sørgjerd</dc:creator>
  <cp:keywords/>
  <dc:description/>
  <cp:lastModifiedBy>Hanne Sørgjerd</cp:lastModifiedBy>
  <cp:revision>2</cp:revision>
  <dcterms:created xsi:type="dcterms:W3CDTF">2024-01-19T10:12:00Z</dcterms:created>
  <dcterms:modified xsi:type="dcterms:W3CDTF">2024-01-19T10:12:00Z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