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F4" w:rsidRDefault="00C62CF4">
      <w:pPr>
        <w:pStyle w:val="Moteoverskrift"/>
      </w:pPr>
      <w:bookmarkStart w:id="0" w:name="_GoBack"/>
      <w:bookmarkEnd w:id="0"/>
      <w:r>
        <w:t>Notat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219"/>
        <w:gridCol w:w="8481"/>
      </w:tblGrid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Til:</w:t>
            </w:r>
          </w:p>
        </w:tc>
        <w:tc>
          <w:tcPr>
            <w:tcW w:w="8494" w:type="dxa"/>
          </w:tcPr>
          <w:p w:rsidR="00C62CF4" w:rsidRDefault="00961174">
            <w:pPr>
              <w:pStyle w:val="InnkallingsskriftFyllInn"/>
            </w:pPr>
            <w:bookmarkStart w:id="1" w:name="Til"/>
            <w:bookmarkEnd w:id="1"/>
            <w:r>
              <w:t>NTNUs driftsenheter</w:t>
            </w:r>
          </w:p>
        </w:tc>
      </w:tr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Kopi til:</w:t>
            </w:r>
          </w:p>
        </w:tc>
        <w:tc>
          <w:tcPr>
            <w:tcW w:w="8494" w:type="dxa"/>
          </w:tcPr>
          <w:p w:rsidR="00C62CF4" w:rsidRDefault="00C62CF4">
            <w:pPr>
              <w:pStyle w:val="InnkallingsskriftFyllInn"/>
            </w:pPr>
            <w:bookmarkStart w:id="2" w:name="Kopi"/>
            <w:bookmarkEnd w:id="2"/>
          </w:p>
        </w:tc>
      </w:tr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Fra:</w:t>
            </w:r>
          </w:p>
        </w:tc>
        <w:tc>
          <w:tcPr>
            <w:tcW w:w="8494" w:type="dxa"/>
          </w:tcPr>
          <w:p w:rsidR="00C62CF4" w:rsidRDefault="00961174">
            <w:pPr>
              <w:pStyle w:val="InnkallingsskriftFyllInn"/>
            </w:pPr>
            <w:bookmarkStart w:id="3" w:name="Fra"/>
            <w:bookmarkEnd w:id="3"/>
            <w:r>
              <w:t>Personalavdelingen</w:t>
            </w:r>
          </w:p>
        </w:tc>
      </w:tr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Signatur:</w:t>
            </w:r>
          </w:p>
        </w:tc>
        <w:tc>
          <w:tcPr>
            <w:tcW w:w="8494" w:type="dxa"/>
          </w:tcPr>
          <w:p w:rsidR="00C62CF4" w:rsidRDefault="00C62CF4">
            <w:pPr>
              <w:pStyle w:val="InnkallingsskriftFyllInn"/>
            </w:pPr>
          </w:p>
        </w:tc>
      </w:tr>
    </w:tbl>
    <w:p w:rsidR="00961174" w:rsidRPr="006371A0" w:rsidRDefault="00961174" w:rsidP="00961174">
      <w:pPr>
        <w:pStyle w:val="Overskrift1"/>
      </w:pPr>
      <w:bookmarkStart w:id="4" w:name="overskrift"/>
      <w:bookmarkEnd w:id="4"/>
      <w:r>
        <w:t xml:space="preserve">Revisjon - </w:t>
      </w:r>
      <w:bookmarkStart w:id="5" w:name="start"/>
      <w:bookmarkEnd w:id="5"/>
      <w:r w:rsidRPr="006371A0">
        <w:t>P1/2008</w:t>
      </w:r>
    </w:p>
    <w:p w:rsidR="00961174" w:rsidRPr="006371A0" w:rsidRDefault="00961174" w:rsidP="00961174">
      <w:pPr>
        <w:pStyle w:val="Overskrift1"/>
        <w:spacing w:before="0" w:after="0"/>
        <w:ind w:left="0"/>
      </w:pPr>
      <w:r w:rsidRPr="006371A0">
        <w:t>Reiseregulativenes bestemmelser om reisetid og arbeidstid - noen avklaringer</w:t>
      </w:r>
    </w:p>
    <w:p w:rsidR="00961174" w:rsidRDefault="00961174" w:rsidP="00961174">
      <w:pPr>
        <w:spacing w:after="0"/>
        <w:ind w:left="0"/>
        <w:rPr>
          <w:lang w:val="nb-NO"/>
        </w:rPr>
      </w:pPr>
    </w:p>
    <w:p w:rsidR="00961174" w:rsidRDefault="00DB374D" w:rsidP="00961174">
      <w:pPr>
        <w:spacing w:after="0"/>
        <w:ind w:left="0"/>
        <w:rPr>
          <w:lang w:val="nb-NO"/>
        </w:rPr>
      </w:pPr>
      <w:r w:rsidRPr="009947DB">
        <w:rPr>
          <w:lang w:val="nb-NO"/>
        </w:rPr>
        <w:t xml:space="preserve">Dette notatet ble førstegang utsendt som </w:t>
      </w:r>
      <w:r>
        <w:rPr>
          <w:lang w:val="nb-NO"/>
        </w:rPr>
        <w:t>Personalavdelingens rundskriv nr. 1 i februar 2008</w:t>
      </w:r>
      <w:r w:rsidR="00132440">
        <w:rPr>
          <w:lang w:val="nb-NO"/>
        </w:rPr>
        <w:t>, deretter revidert 11. september 2009 og siste revisjon 25. oktober 2016</w:t>
      </w:r>
      <w:r>
        <w:rPr>
          <w:lang w:val="nb-NO"/>
        </w:rPr>
        <w:t>.</w:t>
      </w:r>
    </w:p>
    <w:p w:rsidR="00DB374D" w:rsidRPr="009947DB" w:rsidRDefault="00DB374D" w:rsidP="00961174">
      <w:pPr>
        <w:spacing w:after="0"/>
        <w:ind w:left="0"/>
        <w:rPr>
          <w:lang w:val="nb-NO"/>
        </w:rPr>
      </w:pPr>
    </w:p>
    <w:p w:rsidR="00961174" w:rsidRPr="00176070" w:rsidRDefault="00961174" w:rsidP="00961174">
      <w:pPr>
        <w:spacing w:after="0"/>
        <w:ind w:left="0"/>
        <w:rPr>
          <w:b/>
          <w:lang w:val="nb-NO"/>
        </w:rPr>
      </w:pPr>
      <w:r w:rsidRPr="00176070">
        <w:rPr>
          <w:b/>
          <w:lang w:val="nb-NO"/>
        </w:rPr>
        <w:t>1.</w:t>
      </w:r>
      <w:r w:rsidRPr="00176070">
        <w:rPr>
          <w:b/>
          <w:lang w:val="nb-NO"/>
        </w:rPr>
        <w:tab/>
        <w:t>Bakgrunn</w:t>
      </w:r>
    </w:p>
    <w:p w:rsidR="00961174" w:rsidRDefault="00961174" w:rsidP="00961174">
      <w:pPr>
        <w:spacing w:after="0"/>
        <w:ind w:left="0"/>
        <w:rPr>
          <w:lang w:val="nb-NO"/>
        </w:rPr>
      </w:pPr>
      <w:r>
        <w:rPr>
          <w:lang w:val="nb-NO"/>
        </w:rPr>
        <w:t xml:space="preserve">Personalavdelingen får jevnlig spørsmål om </w:t>
      </w:r>
      <w:r w:rsidR="000001F7">
        <w:rPr>
          <w:lang w:val="nb-NO"/>
        </w:rPr>
        <w:t>kompensasjon for reisetid og arbeidstid ved tjenestereiser</w:t>
      </w:r>
      <w:r>
        <w:rPr>
          <w:lang w:val="nb-NO"/>
        </w:rPr>
        <w:t>. Dette gjelder særlig spørsmål om arbeidstid, overtid, kompensasjon og lignende.</w:t>
      </w:r>
    </w:p>
    <w:p w:rsidR="00961174" w:rsidRDefault="00961174" w:rsidP="00961174">
      <w:pPr>
        <w:spacing w:after="0"/>
        <w:ind w:left="0"/>
        <w:rPr>
          <w:lang w:val="nb-NO"/>
        </w:rPr>
      </w:pPr>
    </w:p>
    <w:p w:rsidR="00961174" w:rsidRDefault="00961174" w:rsidP="00961174">
      <w:pPr>
        <w:spacing w:after="0"/>
        <w:ind w:left="0"/>
        <w:rPr>
          <w:lang w:val="nb-NO"/>
        </w:rPr>
      </w:pPr>
      <w:r>
        <w:rPr>
          <w:lang w:val="nb-NO"/>
        </w:rPr>
        <w:t>De sentrale bestemmelsene om reiser er ikke alltid entydige, og de forutsetter at lokale beslutninger basert på skjønn skal foretas. Det følgende er å betrakte som NTNUs praktisering av en del av bestemmelsene i reiseregulativene som angår reisetid, arbeidstid, overtid osv.</w:t>
      </w:r>
    </w:p>
    <w:p w:rsidR="00961174" w:rsidRDefault="00961174" w:rsidP="00961174">
      <w:pPr>
        <w:spacing w:after="0"/>
        <w:ind w:left="0"/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961174" w:rsidRPr="00913D9D" w:rsidTr="002F2547">
        <w:tc>
          <w:tcPr>
            <w:tcW w:w="9948" w:type="dxa"/>
            <w:shd w:val="clear" w:color="auto" w:fill="auto"/>
          </w:tcPr>
          <w:p w:rsidR="00961174" w:rsidRPr="009947DB" w:rsidRDefault="00961174" w:rsidP="00961174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 xml:space="preserve">Felles for reiseregulativene er at de kun gjelder for tjenestereiser, og ikke reiser som Personalhånd-boken omtaler som ”faglige tilskuddsreiser” eller ”stipendreiser”. Det kan være vanskelige å skille mellom de ulike reisetypene, men det antas at i Fellesadministrasjonen vil reiser bare unntaksvis kunne karakteriseres som noe annet enn tjenestereiser. Uansett må det avklares med nærmeste overordnede på forhånd om en reise er å betrakte som en tjenestereise eller ikke. At vedkommende arbeidstaker </w:t>
            </w:r>
            <w:r w:rsidRPr="009947DB">
              <w:rPr>
                <w:i/>
                <w:lang w:val="nb-NO"/>
              </w:rPr>
              <w:t>selv</w:t>
            </w:r>
            <w:r w:rsidRPr="009947DB">
              <w:rPr>
                <w:lang w:val="nb-NO"/>
              </w:rPr>
              <w:t xml:space="preserve"> tar initiativ til kurs eller seminar som medfører reising, gjør eksempelvis ikke reisen til en ”faglige tilskuddsreise.” Avgjørende for vurderingen vil være reisens relevans </w:t>
            </w:r>
            <w:r w:rsidR="000001F7">
              <w:rPr>
                <w:lang w:val="nb-NO"/>
              </w:rPr>
              <w:t>for den ansattes arbeidsoppgaver</w:t>
            </w:r>
            <w:r w:rsidRPr="009947DB">
              <w:rPr>
                <w:lang w:val="nb-NO"/>
              </w:rPr>
              <w:t>.</w:t>
            </w:r>
          </w:p>
        </w:tc>
      </w:tr>
    </w:tbl>
    <w:p w:rsidR="00891CAD" w:rsidRPr="009947DB" w:rsidRDefault="00891CAD" w:rsidP="00961174">
      <w:pPr>
        <w:spacing w:after="0"/>
        <w:ind w:left="0"/>
        <w:rPr>
          <w:lang w:val="nb-NO"/>
        </w:rPr>
      </w:pPr>
    </w:p>
    <w:p w:rsidR="00DB374D" w:rsidRPr="009947DB" w:rsidRDefault="00891CAD" w:rsidP="00961174">
      <w:pPr>
        <w:spacing w:after="0"/>
        <w:ind w:left="0"/>
        <w:rPr>
          <w:lang w:val="nb-NO"/>
        </w:rPr>
      </w:pPr>
      <w:bookmarkStart w:id="6" w:name="OLE_LINK3"/>
      <w:r w:rsidRPr="009947DB">
        <w:rPr>
          <w:lang w:val="nb-NO"/>
        </w:rPr>
        <w:t xml:space="preserve">Timer opparbeidet på overtidskonto eller reisetidskonto skal holdes adskilt fra fleksitidskontoen. Uttak fra tidskontoene fra overtid og reisetid vil ikke </w:t>
      </w:r>
      <w:r w:rsidR="000001F7">
        <w:rPr>
          <w:lang w:val="nb-NO"/>
        </w:rPr>
        <w:t>medregnes i begrensningen</w:t>
      </w:r>
      <w:r w:rsidRPr="009947DB">
        <w:rPr>
          <w:lang w:val="nb-NO"/>
        </w:rPr>
        <w:t xml:space="preserve"> på 24 dager uttak pr. år slik fleksitidsavtalen regulerer. Etter fleksitidsavtalen kan det overføres overskuddstimer fra overtidskontoen eller reisetidskontoen til fleksitidskontoen dersom den siste</w:t>
      </w:r>
      <w:r w:rsidR="000001F7">
        <w:rPr>
          <w:lang w:val="nb-NO"/>
        </w:rPr>
        <w:t>nevnte</w:t>
      </w:r>
      <w:r w:rsidRPr="009947DB">
        <w:rPr>
          <w:lang w:val="nb-NO"/>
        </w:rPr>
        <w:t xml:space="preserve"> står i minus. </w:t>
      </w:r>
    </w:p>
    <w:p w:rsidR="00DB374D" w:rsidRPr="009947DB" w:rsidRDefault="00DB374D" w:rsidP="00961174">
      <w:pPr>
        <w:spacing w:after="0"/>
        <w:ind w:left="0"/>
        <w:rPr>
          <w:lang w:val="nb-NO"/>
        </w:rPr>
      </w:pPr>
    </w:p>
    <w:p w:rsidR="00961174" w:rsidRPr="009947DB" w:rsidRDefault="00961174" w:rsidP="00961174">
      <w:pPr>
        <w:spacing w:after="0"/>
        <w:ind w:left="0"/>
        <w:rPr>
          <w:b/>
          <w:lang w:val="nb-NO"/>
        </w:rPr>
      </w:pPr>
    </w:p>
    <w:p w:rsidR="00961174" w:rsidRPr="009947DB" w:rsidRDefault="00961174" w:rsidP="00961174">
      <w:pPr>
        <w:spacing w:after="0"/>
        <w:ind w:left="0"/>
        <w:rPr>
          <w:b/>
          <w:lang w:val="nb-NO"/>
        </w:rPr>
      </w:pPr>
      <w:r w:rsidRPr="009947DB">
        <w:rPr>
          <w:b/>
          <w:lang w:val="nb-NO"/>
        </w:rPr>
        <w:t>2.</w:t>
      </w:r>
      <w:r w:rsidRPr="009947DB">
        <w:rPr>
          <w:b/>
          <w:lang w:val="nb-NO"/>
        </w:rPr>
        <w:tab/>
        <w:t>Innenlandsreiser</w:t>
      </w:r>
    </w:p>
    <w:bookmarkEnd w:id="6"/>
    <w:p w:rsidR="00961174" w:rsidRPr="009947DB" w:rsidRDefault="00961174" w:rsidP="00961174">
      <w:pPr>
        <w:tabs>
          <w:tab w:val="left" w:pos="2898"/>
        </w:tabs>
        <w:spacing w:after="0"/>
        <w:ind w:left="0"/>
        <w:rPr>
          <w:lang w:val="nb-NO"/>
        </w:rPr>
      </w:pPr>
      <w:r w:rsidRPr="009947DB">
        <w:rPr>
          <w:lang w:val="nb-NO"/>
        </w:rPr>
        <w:t>Det skilles mellom ”reisetid” og ”arbeidstid”, og disse to kompenseres på ulike måter.</w:t>
      </w:r>
    </w:p>
    <w:p w:rsidR="00961174" w:rsidRPr="009947DB" w:rsidRDefault="00961174" w:rsidP="00961174">
      <w:pPr>
        <w:tabs>
          <w:tab w:val="left" w:pos="2898"/>
        </w:tabs>
        <w:spacing w:after="0"/>
        <w:ind w:left="0"/>
        <w:rPr>
          <w:lang w:val="nb-NO"/>
        </w:rPr>
      </w:pPr>
    </w:p>
    <w:p w:rsidR="00961174" w:rsidRPr="009947DB" w:rsidRDefault="00961174" w:rsidP="00961174">
      <w:pPr>
        <w:tabs>
          <w:tab w:val="left" w:pos="2898"/>
        </w:tabs>
        <w:spacing w:after="0"/>
        <w:ind w:left="0"/>
        <w:rPr>
          <w:lang w:val="nb-NO"/>
        </w:rPr>
      </w:pPr>
      <w:r w:rsidRPr="009947DB">
        <w:rPr>
          <w:i/>
          <w:lang w:val="nb-NO"/>
        </w:rPr>
        <w:t>Reisetid</w:t>
      </w:r>
      <w:r w:rsidRPr="009947DB">
        <w:rPr>
          <w:lang w:val="nb-NO"/>
        </w:rPr>
        <w:t xml:space="preserve"> er den tid som medgår på reisen fra arbeidssted/bosted og til det s.k. forretningssted. Eventuell ventetid medregnes. Tid som tilbringes på hotell regnes ikke som reisetid, heller ikke reisetid mellom kl. 22.00 - 06.00 dersom arbeidstakeren har rett til nattillegg eller nytter soveplass.</w:t>
      </w:r>
    </w:p>
    <w:p w:rsidR="00961174" w:rsidRPr="009947DB" w:rsidRDefault="00961174" w:rsidP="00961174">
      <w:pPr>
        <w:tabs>
          <w:tab w:val="left" w:pos="2898"/>
        </w:tabs>
        <w:spacing w:after="0"/>
        <w:ind w:left="0"/>
        <w:rPr>
          <w:lang w:val="nb-NO"/>
        </w:rPr>
      </w:pPr>
      <w:r w:rsidRPr="009947DB">
        <w:rPr>
          <w:lang w:val="nb-NO"/>
        </w:rPr>
        <w:t>Dersom reisen omfatter flere forretningssteder, regnes tid for reiser mellom forretningsstedene for reisetid.</w:t>
      </w:r>
    </w:p>
    <w:p w:rsidR="00961174" w:rsidRPr="009947DB" w:rsidRDefault="00961174" w:rsidP="00961174">
      <w:pPr>
        <w:tabs>
          <w:tab w:val="left" w:pos="2898"/>
        </w:tabs>
        <w:spacing w:after="0"/>
        <w:ind w:left="0"/>
        <w:rPr>
          <w:lang w:val="nb-NO"/>
        </w:rPr>
      </w:pPr>
    </w:p>
    <w:p w:rsidR="00961174" w:rsidRPr="009947DB" w:rsidRDefault="00961174" w:rsidP="00961174">
      <w:pPr>
        <w:tabs>
          <w:tab w:val="left" w:pos="2898"/>
        </w:tabs>
        <w:spacing w:after="0"/>
        <w:ind w:left="0"/>
        <w:rPr>
          <w:lang w:val="nb-NO"/>
        </w:rPr>
      </w:pPr>
      <w:r w:rsidRPr="009947DB">
        <w:rPr>
          <w:i/>
          <w:lang w:val="nb-NO"/>
        </w:rPr>
        <w:t>Kompensasjon for reisetid</w:t>
      </w:r>
      <w:r w:rsidRPr="009947DB">
        <w:rPr>
          <w:lang w:val="nb-NO"/>
        </w:rPr>
        <w:t xml:space="preserve"> beregnes slik: Reisetid i den alminnelige arbeidstid (08.00 – 15.00/15.45) regnes som ordinær arbeidstid uten noen form for kompensasjon.</w:t>
      </w:r>
    </w:p>
    <w:p w:rsidR="00961174" w:rsidRPr="009947DB" w:rsidRDefault="00961174" w:rsidP="00961174">
      <w:pPr>
        <w:tabs>
          <w:tab w:val="left" w:pos="2898"/>
        </w:tabs>
        <w:spacing w:after="0"/>
        <w:ind w:left="0"/>
        <w:rPr>
          <w:lang w:val="nb-NO"/>
        </w:rPr>
      </w:pPr>
    </w:p>
    <w:p w:rsidR="00961174" w:rsidRPr="009947DB" w:rsidRDefault="00961174" w:rsidP="00961174">
      <w:pPr>
        <w:tabs>
          <w:tab w:val="left" w:pos="2898"/>
        </w:tabs>
        <w:spacing w:after="0"/>
        <w:ind w:left="0"/>
        <w:rPr>
          <w:lang w:val="nb-NO"/>
        </w:rPr>
      </w:pPr>
      <w:r w:rsidRPr="009947DB">
        <w:rPr>
          <w:lang w:val="nb-NO"/>
        </w:rPr>
        <w:t>Reisetid utenom arbeidstid på hverdager regnes også time for time, men denne kompenseres ved avspasering eller timelønn etter tabell C.</w:t>
      </w:r>
    </w:p>
    <w:p w:rsidR="00961174" w:rsidRPr="009947DB" w:rsidRDefault="00961174" w:rsidP="00961174">
      <w:pPr>
        <w:tabs>
          <w:tab w:val="left" w:pos="2898"/>
        </w:tabs>
        <w:spacing w:after="0"/>
        <w:ind w:left="0"/>
        <w:rPr>
          <w:lang w:val="nb-NO"/>
        </w:rPr>
      </w:pPr>
    </w:p>
    <w:p w:rsidR="00961174" w:rsidRPr="009947DB" w:rsidRDefault="00961174" w:rsidP="00961174">
      <w:pPr>
        <w:tabs>
          <w:tab w:val="left" w:pos="2898"/>
        </w:tabs>
        <w:spacing w:after="0"/>
        <w:ind w:left="0"/>
        <w:rPr>
          <w:lang w:val="nb-NO"/>
        </w:rPr>
      </w:pPr>
      <w:r w:rsidRPr="009947DB">
        <w:rPr>
          <w:lang w:val="nb-NO"/>
        </w:rPr>
        <w:t xml:space="preserve">Reisetid på lørdager eller andre fridager regnes også time for time og kompenseres ved avspasering som ovenfor. Slik reisetid kan imidlertid også kompenseres ved timelønn etter tabell C, i dette tilfelle tillagt 50 %. Det imidlertid ikke anledning til å utbetale et slikt tillegg dersom reisetiden avspaseres.   </w:t>
      </w:r>
    </w:p>
    <w:p w:rsidR="00961174" w:rsidRPr="009947DB" w:rsidRDefault="00961174" w:rsidP="00961174">
      <w:pPr>
        <w:tabs>
          <w:tab w:val="left" w:pos="2898"/>
        </w:tabs>
        <w:spacing w:after="0"/>
        <w:ind w:left="0"/>
        <w:rPr>
          <w:lang w:val="nb-NO"/>
        </w:rPr>
      </w:pPr>
    </w:p>
    <w:p w:rsidR="00961174" w:rsidRPr="009947DB" w:rsidRDefault="00961174" w:rsidP="00961174">
      <w:pPr>
        <w:tabs>
          <w:tab w:val="left" w:pos="2898"/>
        </w:tabs>
        <w:spacing w:after="0"/>
        <w:ind w:left="0"/>
        <w:rPr>
          <w:lang w:val="nb-NO"/>
        </w:rPr>
      </w:pPr>
      <w:r w:rsidRPr="009947DB">
        <w:rPr>
          <w:lang w:val="nb-NO"/>
        </w:rPr>
        <w:t>Det er nærmeste leder som endelig avgjør om reisetid skal tas ut som lønn etter tabell C eller kan avspaseres time for time. Så langt det er mulig bør arbeidstaker få etterkommet eventuelle ønsker.</w:t>
      </w:r>
    </w:p>
    <w:p w:rsidR="00961174" w:rsidRPr="009947DB" w:rsidRDefault="00961174" w:rsidP="00961174">
      <w:pPr>
        <w:spacing w:after="0"/>
        <w:ind w:left="0"/>
        <w:rPr>
          <w:lang w:val="nb-NO"/>
        </w:rPr>
      </w:pPr>
    </w:p>
    <w:p w:rsidR="00961174" w:rsidRPr="009947DB" w:rsidRDefault="00961174" w:rsidP="00961174">
      <w:pPr>
        <w:spacing w:after="0"/>
        <w:ind w:left="0"/>
        <w:rPr>
          <w:lang w:val="nb-NO"/>
        </w:rPr>
      </w:pPr>
      <w:r w:rsidRPr="009947DB">
        <w:rPr>
          <w:i/>
          <w:lang w:val="nb-NO"/>
        </w:rPr>
        <w:t>Arbeidstid</w:t>
      </w:r>
      <w:r w:rsidRPr="009947DB">
        <w:rPr>
          <w:lang w:val="nb-NO"/>
        </w:rPr>
        <w:t xml:space="preserve"> er den tiden som brukes på forretningsstedet, dvs. den tiden som brukes på kurset, konferansen, møtet o.l., inkludert for- og etterarbeid i forbindelse med oppdraget. Som arbeidstid regnes også den delen av reisetiden som foregår innenfor normal arbeidstid. Inkludert i arbeidstiden ligger også tid til lunsj og andre pauser, selv om disse går utover normal tid til hvilepauser.</w:t>
      </w:r>
    </w:p>
    <w:p w:rsidR="00961174" w:rsidRPr="009947DB" w:rsidRDefault="00961174" w:rsidP="00961174">
      <w:pPr>
        <w:spacing w:after="0"/>
        <w:ind w:left="0"/>
        <w:rPr>
          <w:lang w:val="nb-NO"/>
        </w:rPr>
      </w:pPr>
    </w:p>
    <w:p w:rsidR="00961174" w:rsidRPr="009947DB" w:rsidRDefault="00961174" w:rsidP="00961174">
      <w:pPr>
        <w:spacing w:after="0"/>
        <w:ind w:left="0"/>
        <w:rPr>
          <w:i/>
          <w:lang w:val="nb-NO"/>
        </w:rPr>
      </w:pPr>
      <w:r w:rsidRPr="009947DB">
        <w:rPr>
          <w:i/>
          <w:lang w:val="nb-NO"/>
        </w:rPr>
        <w:t>Kompensasjon for arbeidstid</w:t>
      </w:r>
      <w:r w:rsidRPr="009947DB">
        <w:rPr>
          <w:lang w:val="nb-NO"/>
        </w:rPr>
        <w:t xml:space="preserve"> gis for arbeidstid utover alminnelig arbeidstid, og følger de vanlige reglene for overtidsarbeid.</w:t>
      </w:r>
      <w:r w:rsidRPr="009947DB">
        <w:rPr>
          <w:i/>
          <w:lang w:val="nb-NO"/>
        </w:rPr>
        <w:t xml:space="preserve"> </w:t>
      </w:r>
    </w:p>
    <w:p w:rsidR="00961174" w:rsidRPr="009947DB" w:rsidRDefault="00961174" w:rsidP="00961174">
      <w:pPr>
        <w:spacing w:after="0"/>
        <w:ind w:left="0"/>
        <w:rPr>
          <w:lang w:val="nb-NO"/>
        </w:rPr>
      </w:pPr>
    </w:p>
    <w:p w:rsidR="00961174" w:rsidRPr="009947DB" w:rsidRDefault="00961174" w:rsidP="00961174">
      <w:pPr>
        <w:spacing w:after="0"/>
        <w:ind w:left="0"/>
        <w:rPr>
          <w:lang w:val="nb-NO"/>
        </w:rPr>
      </w:pPr>
      <w:r w:rsidRPr="009947DB">
        <w:rPr>
          <w:lang w:val="nb-NO"/>
        </w:rPr>
        <w:t>Et eksempel på hvordan reisetid og arbeidstid beregnes og kompenseres:</w:t>
      </w:r>
    </w:p>
    <w:p w:rsidR="00961174" w:rsidRPr="009947DB" w:rsidRDefault="00961174" w:rsidP="00961174">
      <w:pPr>
        <w:spacing w:after="0"/>
        <w:ind w:left="0"/>
        <w:rPr>
          <w:lang w:val="nb-NO"/>
        </w:rPr>
      </w:pPr>
    </w:p>
    <w:p w:rsidR="00961174" w:rsidRPr="009947DB" w:rsidRDefault="00961174" w:rsidP="00961174">
      <w:pPr>
        <w:spacing w:after="0"/>
        <w:ind w:left="0"/>
        <w:rPr>
          <w:lang w:val="nb-NO"/>
        </w:rPr>
      </w:pPr>
      <w:r w:rsidRPr="009947DB">
        <w:rPr>
          <w:lang w:val="nb-NO"/>
        </w:rPr>
        <w:t>Konferanse på Lillehammer torsdag 23.01.2014 – lørdag 25.01.2014:</w:t>
      </w:r>
    </w:p>
    <w:p w:rsidR="00961174" w:rsidRPr="009947DB" w:rsidRDefault="00961174" w:rsidP="00961174">
      <w:pPr>
        <w:spacing w:after="0"/>
        <w:ind w:left="0"/>
        <w:rPr>
          <w:lang w:val="nb-NO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5036"/>
      </w:tblGrid>
      <w:tr w:rsidR="00961174" w:rsidRPr="009947DB" w:rsidTr="002F2547">
        <w:tc>
          <w:tcPr>
            <w:tcW w:w="2448" w:type="dxa"/>
            <w:shd w:val="clear" w:color="auto" w:fill="auto"/>
          </w:tcPr>
          <w:p w:rsidR="00961174" w:rsidRPr="009947DB" w:rsidRDefault="00961174" w:rsidP="00961174">
            <w:pPr>
              <w:spacing w:after="0"/>
              <w:ind w:left="0"/>
              <w:rPr>
                <w:b/>
                <w:lang w:val="nb-NO"/>
              </w:rPr>
            </w:pPr>
            <w:r w:rsidRPr="009947DB">
              <w:rPr>
                <w:b/>
                <w:lang w:val="nb-NO"/>
              </w:rPr>
              <w:t>Torsdag 23.01.2014</w:t>
            </w:r>
          </w:p>
        </w:tc>
        <w:tc>
          <w:tcPr>
            <w:tcW w:w="2700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b/>
                <w:lang w:val="nb-NO"/>
              </w:rPr>
            </w:pPr>
            <w:r w:rsidRPr="009947DB">
              <w:rPr>
                <w:b/>
                <w:lang w:val="nb-NO"/>
              </w:rPr>
              <w:t>Aktivitet</w:t>
            </w:r>
          </w:p>
        </w:tc>
        <w:tc>
          <w:tcPr>
            <w:tcW w:w="5036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b/>
                <w:lang w:val="nb-NO"/>
              </w:rPr>
            </w:pPr>
            <w:r w:rsidRPr="009947DB">
              <w:rPr>
                <w:b/>
                <w:lang w:val="nb-NO"/>
              </w:rPr>
              <w:t>Kompensasjon</w:t>
            </w:r>
          </w:p>
        </w:tc>
      </w:tr>
      <w:tr w:rsidR="00961174" w:rsidRPr="00913D9D" w:rsidTr="002F2547">
        <w:tc>
          <w:tcPr>
            <w:tcW w:w="2448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07:30 – 08:30</w:t>
            </w:r>
          </w:p>
        </w:tc>
        <w:tc>
          <w:tcPr>
            <w:tcW w:w="2700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Reise hjemmefra til Sentralstasjonen</w:t>
            </w:r>
          </w:p>
        </w:tc>
        <w:tc>
          <w:tcPr>
            <w:tcW w:w="5036" w:type="dxa"/>
            <w:shd w:val="clear" w:color="auto" w:fill="auto"/>
          </w:tcPr>
          <w:p w:rsidR="00961174" w:rsidRPr="009947DB" w:rsidRDefault="00961174" w:rsidP="00961174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 xml:space="preserve">Reisetid. Tiden 07:30 – 08:00 kan avspaseres eller utbetales som lønn etter C-tabellen.  </w:t>
            </w:r>
          </w:p>
        </w:tc>
      </w:tr>
      <w:tr w:rsidR="00961174" w:rsidRPr="00913D9D" w:rsidTr="002F2547">
        <w:tc>
          <w:tcPr>
            <w:tcW w:w="2448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08:30 – 13:00</w:t>
            </w:r>
          </w:p>
        </w:tc>
        <w:tc>
          <w:tcPr>
            <w:tcW w:w="2700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Reise fra Sentralstasjonen til Lillehammer</w:t>
            </w:r>
          </w:p>
        </w:tc>
        <w:tc>
          <w:tcPr>
            <w:tcW w:w="5036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Reisetid. Regnes som alminnelig arbeidstid.</w:t>
            </w:r>
          </w:p>
        </w:tc>
      </w:tr>
      <w:tr w:rsidR="00961174" w:rsidRPr="00913D9D" w:rsidTr="002F2547">
        <w:tc>
          <w:tcPr>
            <w:tcW w:w="2448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13:00 – 14:00</w:t>
            </w:r>
          </w:p>
        </w:tc>
        <w:tc>
          <w:tcPr>
            <w:tcW w:w="2700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Venter</w:t>
            </w:r>
          </w:p>
        </w:tc>
        <w:tc>
          <w:tcPr>
            <w:tcW w:w="5036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Reisetid. Regnes som alminnelig arbeidstid.</w:t>
            </w:r>
          </w:p>
        </w:tc>
      </w:tr>
      <w:tr w:rsidR="00961174" w:rsidRPr="009947DB" w:rsidTr="002F2547">
        <w:tc>
          <w:tcPr>
            <w:tcW w:w="2448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lastRenderedPageBreak/>
              <w:t>14:00 – 19:00</w:t>
            </w:r>
          </w:p>
        </w:tc>
        <w:tc>
          <w:tcPr>
            <w:tcW w:w="2700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Forelesninger</w:t>
            </w:r>
          </w:p>
        </w:tc>
        <w:tc>
          <w:tcPr>
            <w:tcW w:w="5036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Arbeidstid. Tiden 14:00 – 15:45 regnes som alminnelig arbeidstid. Tiden 15:45 – 19:00 regnes som overtid og kompenseres som dette.</w:t>
            </w:r>
          </w:p>
        </w:tc>
      </w:tr>
      <w:tr w:rsidR="00961174" w:rsidRPr="009947DB" w:rsidTr="002F2547">
        <w:trPr>
          <w:trHeight w:val="70"/>
        </w:trPr>
        <w:tc>
          <w:tcPr>
            <w:tcW w:w="2448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19:00 – 19:30</w:t>
            </w:r>
          </w:p>
        </w:tc>
        <w:tc>
          <w:tcPr>
            <w:tcW w:w="2700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Venter</w:t>
            </w:r>
          </w:p>
        </w:tc>
        <w:tc>
          <w:tcPr>
            <w:tcW w:w="5036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Fritid</w:t>
            </w:r>
          </w:p>
        </w:tc>
      </w:tr>
      <w:tr w:rsidR="00961174" w:rsidRPr="009947DB" w:rsidTr="002F2547">
        <w:trPr>
          <w:trHeight w:val="70"/>
        </w:trPr>
        <w:tc>
          <w:tcPr>
            <w:tcW w:w="2448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19:30 – 22:00</w:t>
            </w:r>
          </w:p>
        </w:tc>
        <w:tc>
          <w:tcPr>
            <w:tcW w:w="2700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Middag</w:t>
            </w:r>
          </w:p>
        </w:tc>
        <w:tc>
          <w:tcPr>
            <w:tcW w:w="5036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Fritid</w:t>
            </w:r>
          </w:p>
        </w:tc>
      </w:tr>
    </w:tbl>
    <w:p w:rsidR="00961174" w:rsidRPr="009947DB" w:rsidRDefault="00961174" w:rsidP="00961174">
      <w:pPr>
        <w:spacing w:after="0"/>
        <w:ind w:left="0"/>
        <w:rPr>
          <w:lang w:val="nb-NO"/>
        </w:rPr>
      </w:pPr>
    </w:p>
    <w:p w:rsidR="00961174" w:rsidRPr="009947DB" w:rsidRDefault="00961174" w:rsidP="00961174">
      <w:pPr>
        <w:spacing w:after="0"/>
        <w:ind w:left="0"/>
        <w:rPr>
          <w:lang w:val="nb-NO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5036"/>
      </w:tblGrid>
      <w:tr w:rsidR="00961174" w:rsidRPr="009947DB" w:rsidTr="002F2547">
        <w:tc>
          <w:tcPr>
            <w:tcW w:w="2448" w:type="dxa"/>
            <w:shd w:val="clear" w:color="auto" w:fill="auto"/>
          </w:tcPr>
          <w:p w:rsidR="00961174" w:rsidRPr="009947DB" w:rsidRDefault="00961174" w:rsidP="00961174">
            <w:pPr>
              <w:spacing w:after="0"/>
              <w:ind w:left="0"/>
              <w:rPr>
                <w:b/>
                <w:lang w:val="nb-NO"/>
              </w:rPr>
            </w:pPr>
            <w:r w:rsidRPr="009947DB">
              <w:rPr>
                <w:b/>
                <w:lang w:val="nb-NO"/>
              </w:rPr>
              <w:t>Fredag 24.01.2014</w:t>
            </w:r>
          </w:p>
        </w:tc>
        <w:tc>
          <w:tcPr>
            <w:tcW w:w="2700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b/>
                <w:lang w:val="nb-NO"/>
              </w:rPr>
            </w:pPr>
            <w:r w:rsidRPr="009947DB">
              <w:rPr>
                <w:b/>
                <w:lang w:val="nb-NO"/>
              </w:rPr>
              <w:t>Aktivitet</w:t>
            </w:r>
          </w:p>
        </w:tc>
        <w:tc>
          <w:tcPr>
            <w:tcW w:w="5036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b/>
                <w:lang w:val="nb-NO"/>
              </w:rPr>
            </w:pPr>
            <w:r w:rsidRPr="009947DB">
              <w:rPr>
                <w:b/>
                <w:lang w:val="nb-NO"/>
              </w:rPr>
              <w:t>Kompensasjon</w:t>
            </w:r>
          </w:p>
        </w:tc>
      </w:tr>
      <w:tr w:rsidR="00961174" w:rsidRPr="00913D9D" w:rsidTr="002F2547">
        <w:tc>
          <w:tcPr>
            <w:tcW w:w="2448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 xml:space="preserve">09:00 – 18:00 </w:t>
            </w:r>
          </w:p>
        </w:tc>
        <w:tc>
          <w:tcPr>
            <w:tcW w:w="2700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 xml:space="preserve">Forelesninger </w:t>
            </w:r>
          </w:p>
        </w:tc>
        <w:tc>
          <w:tcPr>
            <w:tcW w:w="5036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 xml:space="preserve">Arbeidstid. Tiden 09:00 – 16:45 regnes alminnelig arbeidstid. Tiden 16:45 – 18:00 </w:t>
            </w:r>
            <w:bookmarkStart w:id="7" w:name="OLE_LINK4"/>
            <w:r w:rsidRPr="009947DB">
              <w:rPr>
                <w:lang w:val="nb-NO"/>
              </w:rPr>
              <w:t>regnes som overtid og kompenseres som dette.</w:t>
            </w:r>
            <w:bookmarkEnd w:id="7"/>
          </w:p>
        </w:tc>
      </w:tr>
      <w:tr w:rsidR="00961174" w:rsidRPr="009947DB" w:rsidTr="002F2547">
        <w:tc>
          <w:tcPr>
            <w:tcW w:w="2448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18:00 – 20:00</w:t>
            </w:r>
          </w:p>
        </w:tc>
        <w:tc>
          <w:tcPr>
            <w:tcW w:w="2700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Venter</w:t>
            </w:r>
          </w:p>
        </w:tc>
        <w:tc>
          <w:tcPr>
            <w:tcW w:w="5036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Fritid</w:t>
            </w:r>
          </w:p>
        </w:tc>
      </w:tr>
      <w:tr w:rsidR="00961174" w:rsidRPr="009947DB" w:rsidTr="002F2547">
        <w:tc>
          <w:tcPr>
            <w:tcW w:w="2448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20:00 – 23:00</w:t>
            </w:r>
          </w:p>
        </w:tc>
        <w:tc>
          <w:tcPr>
            <w:tcW w:w="2700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Middag</w:t>
            </w:r>
          </w:p>
        </w:tc>
        <w:tc>
          <w:tcPr>
            <w:tcW w:w="5036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Fritid</w:t>
            </w:r>
          </w:p>
        </w:tc>
      </w:tr>
    </w:tbl>
    <w:p w:rsidR="00961174" w:rsidRPr="009947DB" w:rsidRDefault="00961174" w:rsidP="00961174">
      <w:pPr>
        <w:spacing w:after="0"/>
        <w:ind w:left="0"/>
        <w:rPr>
          <w:lang w:val="nb-NO"/>
        </w:rPr>
      </w:pPr>
    </w:p>
    <w:p w:rsidR="00961174" w:rsidRPr="009947DB" w:rsidRDefault="00961174" w:rsidP="00961174">
      <w:pPr>
        <w:spacing w:after="0"/>
        <w:ind w:left="0"/>
        <w:rPr>
          <w:lang w:val="nb-NO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5036"/>
      </w:tblGrid>
      <w:tr w:rsidR="00961174" w:rsidRPr="009947DB" w:rsidTr="002F2547">
        <w:tc>
          <w:tcPr>
            <w:tcW w:w="2448" w:type="dxa"/>
            <w:shd w:val="clear" w:color="auto" w:fill="auto"/>
          </w:tcPr>
          <w:p w:rsidR="00961174" w:rsidRPr="009947DB" w:rsidRDefault="00961174" w:rsidP="00961174">
            <w:pPr>
              <w:spacing w:after="0"/>
              <w:ind w:left="0"/>
              <w:rPr>
                <w:b/>
                <w:lang w:val="nb-NO"/>
              </w:rPr>
            </w:pPr>
            <w:r w:rsidRPr="009947DB">
              <w:rPr>
                <w:b/>
                <w:lang w:val="nb-NO"/>
              </w:rPr>
              <w:t>Lørdag 25.01.2014</w:t>
            </w:r>
          </w:p>
        </w:tc>
        <w:tc>
          <w:tcPr>
            <w:tcW w:w="2700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b/>
                <w:lang w:val="nb-NO"/>
              </w:rPr>
            </w:pPr>
            <w:r w:rsidRPr="009947DB">
              <w:rPr>
                <w:b/>
                <w:lang w:val="nb-NO"/>
              </w:rPr>
              <w:t>Aktivitet</w:t>
            </w:r>
          </w:p>
        </w:tc>
        <w:tc>
          <w:tcPr>
            <w:tcW w:w="5036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b/>
                <w:lang w:val="nb-NO"/>
              </w:rPr>
            </w:pPr>
            <w:r w:rsidRPr="009947DB">
              <w:rPr>
                <w:b/>
                <w:lang w:val="nb-NO"/>
              </w:rPr>
              <w:t>Kompensasjon</w:t>
            </w:r>
          </w:p>
        </w:tc>
      </w:tr>
      <w:tr w:rsidR="00961174" w:rsidRPr="009947DB" w:rsidTr="002F2547">
        <w:tc>
          <w:tcPr>
            <w:tcW w:w="2448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 xml:space="preserve">09:00 – 13.00 </w:t>
            </w:r>
          </w:p>
        </w:tc>
        <w:tc>
          <w:tcPr>
            <w:tcW w:w="2700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 xml:space="preserve">Forelesninger </w:t>
            </w:r>
          </w:p>
        </w:tc>
        <w:tc>
          <w:tcPr>
            <w:tcW w:w="5036" w:type="dxa"/>
            <w:shd w:val="clear" w:color="auto" w:fill="auto"/>
          </w:tcPr>
          <w:p w:rsidR="00961174" w:rsidRPr="009947DB" w:rsidRDefault="00961174" w:rsidP="00961174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 xml:space="preserve">Arbeidstid. Regnes som overtid og kompenseres som dette. </w:t>
            </w:r>
            <w:r w:rsidRPr="009947DB">
              <w:rPr>
                <w:sz w:val="20"/>
                <w:szCs w:val="20"/>
                <w:lang w:val="nb-NO"/>
              </w:rPr>
              <w:t>1)</w:t>
            </w:r>
          </w:p>
        </w:tc>
      </w:tr>
      <w:tr w:rsidR="00961174" w:rsidRPr="00913D9D" w:rsidTr="002F2547">
        <w:tc>
          <w:tcPr>
            <w:tcW w:w="2448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13:00 – 16:30</w:t>
            </w:r>
          </w:p>
        </w:tc>
        <w:tc>
          <w:tcPr>
            <w:tcW w:w="2700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Venter</w:t>
            </w:r>
          </w:p>
        </w:tc>
        <w:tc>
          <w:tcPr>
            <w:tcW w:w="5036" w:type="dxa"/>
            <w:shd w:val="clear" w:color="auto" w:fill="auto"/>
          </w:tcPr>
          <w:p w:rsidR="00961174" w:rsidRPr="009947DB" w:rsidRDefault="00961174" w:rsidP="00961174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 xml:space="preserve">Reisetid. Kan avspaseres eller utbetales som lønn etter C-tabellen tillagt 50 %.  </w:t>
            </w:r>
          </w:p>
        </w:tc>
      </w:tr>
      <w:tr w:rsidR="00961174" w:rsidRPr="00913D9D" w:rsidTr="002F2547">
        <w:tc>
          <w:tcPr>
            <w:tcW w:w="2448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16:30 – 21:00</w:t>
            </w:r>
          </w:p>
        </w:tc>
        <w:tc>
          <w:tcPr>
            <w:tcW w:w="2700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 xml:space="preserve">Reise fra Lillehammer til Sentralstasjonen  </w:t>
            </w:r>
          </w:p>
        </w:tc>
        <w:tc>
          <w:tcPr>
            <w:tcW w:w="5036" w:type="dxa"/>
            <w:shd w:val="clear" w:color="auto" w:fill="auto"/>
          </w:tcPr>
          <w:p w:rsidR="00961174" w:rsidRPr="009947DB" w:rsidRDefault="00961174" w:rsidP="00961174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 xml:space="preserve">Reisetid. Kan avspaseres eller utbetales som lønn etter C-tabellen tillagt 50 %. </w:t>
            </w:r>
          </w:p>
        </w:tc>
      </w:tr>
      <w:tr w:rsidR="00961174" w:rsidRPr="00913D9D" w:rsidTr="002F2547">
        <w:tc>
          <w:tcPr>
            <w:tcW w:w="2448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>21:00 – 22:00</w:t>
            </w:r>
          </w:p>
        </w:tc>
        <w:tc>
          <w:tcPr>
            <w:tcW w:w="2700" w:type="dxa"/>
            <w:shd w:val="clear" w:color="auto" w:fill="auto"/>
          </w:tcPr>
          <w:p w:rsidR="00961174" w:rsidRPr="009947DB" w:rsidRDefault="00961174" w:rsidP="002F2547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 xml:space="preserve">Reise fra Sentralstasjonen og hjem </w:t>
            </w:r>
          </w:p>
        </w:tc>
        <w:tc>
          <w:tcPr>
            <w:tcW w:w="5036" w:type="dxa"/>
            <w:shd w:val="clear" w:color="auto" w:fill="auto"/>
          </w:tcPr>
          <w:p w:rsidR="00961174" w:rsidRPr="009947DB" w:rsidRDefault="00961174" w:rsidP="00961174">
            <w:pPr>
              <w:spacing w:after="0"/>
              <w:ind w:left="0"/>
              <w:rPr>
                <w:lang w:val="nb-NO"/>
              </w:rPr>
            </w:pPr>
            <w:r w:rsidRPr="009947DB">
              <w:rPr>
                <w:lang w:val="nb-NO"/>
              </w:rPr>
              <w:t xml:space="preserve">Reisetid. Kan avspaseres eller utbetales som lønn etter C-tabellen tillagt 50 %. </w:t>
            </w:r>
          </w:p>
        </w:tc>
      </w:tr>
    </w:tbl>
    <w:p w:rsidR="00961174" w:rsidRPr="009947DB" w:rsidRDefault="00961174" w:rsidP="00961174">
      <w:pPr>
        <w:spacing w:after="0"/>
        <w:ind w:left="0"/>
        <w:rPr>
          <w:lang w:val="nb-NO"/>
        </w:rPr>
      </w:pPr>
    </w:p>
    <w:p w:rsidR="00961174" w:rsidRPr="009947DB" w:rsidRDefault="00961174" w:rsidP="00961174">
      <w:pPr>
        <w:spacing w:after="0"/>
        <w:ind w:left="0"/>
        <w:rPr>
          <w:sz w:val="20"/>
          <w:szCs w:val="20"/>
          <w:lang w:val="nb-NO"/>
        </w:rPr>
      </w:pPr>
      <w:r w:rsidRPr="009947DB">
        <w:rPr>
          <w:sz w:val="20"/>
          <w:szCs w:val="20"/>
          <w:lang w:val="nb-NO"/>
        </w:rPr>
        <w:t>1) Det forutsettes full stilling. Dersom arbeidstakeren har deltidsstilling, regnes denne tiden som ordinær inntil full uke er    opparbeidet.</w:t>
      </w:r>
    </w:p>
    <w:p w:rsidR="00961174" w:rsidRPr="009947DB" w:rsidRDefault="00961174" w:rsidP="00961174">
      <w:pPr>
        <w:spacing w:after="0"/>
        <w:ind w:left="0"/>
        <w:rPr>
          <w:lang w:val="nb-NO"/>
        </w:rPr>
      </w:pPr>
    </w:p>
    <w:p w:rsidR="00961174" w:rsidRPr="009947DB" w:rsidRDefault="00961174" w:rsidP="00961174">
      <w:pPr>
        <w:spacing w:after="0"/>
        <w:ind w:left="0"/>
        <w:rPr>
          <w:lang w:val="nb-NO"/>
        </w:rPr>
      </w:pPr>
    </w:p>
    <w:p w:rsidR="00961174" w:rsidRPr="009947DB" w:rsidRDefault="00961174" w:rsidP="00961174">
      <w:pPr>
        <w:spacing w:after="0"/>
        <w:ind w:left="0"/>
        <w:rPr>
          <w:b/>
          <w:lang w:val="nb-NO"/>
        </w:rPr>
      </w:pPr>
      <w:r w:rsidRPr="009947DB">
        <w:rPr>
          <w:b/>
          <w:lang w:val="nb-NO"/>
        </w:rPr>
        <w:t>2.</w:t>
      </w:r>
      <w:r w:rsidRPr="009947DB">
        <w:rPr>
          <w:b/>
          <w:lang w:val="nb-NO"/>
        </w:rPr>
        <w:tab/>
        <w:t>Utenlandsreiser</w:t>
      </w:r>
    </w:p>
    <w:p w:rsidR="00961174" w:rsidRPr="009947DB" w:rsidRDefault="00961174" w:rsidP="00961174">
      <w:pPr>
        <w:spacing w:after="0"/>
        <w:ind w:left="0"/>
        <w:rPr>
          <w:lang w:val="nb-NO"/>
        </w:rPr>
      </w:pPr>
      <w:r w:rsidRPr="009947DB">
        <w:rPr>
          <w:lang w:val="nb-NO"/>
        </w:rPr>
        <w:t>Bestemmelsene om reisetid og arbeidstid ved utenlandsreiser skiller seg fra tilsvarende bestemmelser ved innenlandsreiser på et par viktige punkter hva angår kompensasjon:</w:t>
      </w:r>
    </w:p>
    <w:p w:rsidR="00961174" w:rsidRPr="009947DB" w:rsidRDefault="00961174" w:rsidP="00961174">
      <w:pPr>
        <w:spacing w:after="0"/>
        <w:ind w:left="0"/>
        <w:rPr>
          <w:i/>
          <w:lang w:val="nb-NO"/>
        </w:rPr>
      </w:pPr>
    </w:p>
    <w:p w:rsidR="00961174" w:rsidRPr="009947DB" w:rsidRDefault="00961174" w:rsidP="00961174">
      <w:pPr>
        <w:spacing w:after="0"/>
        <w:ind w:left="0"/>
        <w:rPr>
          <w:lang w:val="nb-NO"/>
        </w:rPr>
      </w:pPr>
      <w:r w:rsidRPr="009947DB">
        <w:rPr>
          <w:i/>
          <w:lang w:val="nb-NO"/>
        </w:rPr>
        <w:t>Kompensasjon for reisetid i fritiden</w:t>
      </w:r>
      <w:r w:rsidRPr="009947DB">
        <w:rPr>
          <w:lang w:val="nb-NO"/>
        </w:rPr>
        <w:t xml:space="preserve"> beregnes slik: Det gis en kompensasjon på </w:t>
      </w:r>
      <w:r w:rsidRPr="009947DB">
        <w:rPr>
          <w:i/>
          <w:lang w:val="nb-NO"/>
        </w:rPr>
        <w:t xml:space="preserve">30 min. pr. reisetime. </w:t>
      </w:r>
      <w:r w:rsidRPr="009947DB">
        <w:rPr>
          <w:lang w:val="nb-NO"/>
        </w:rPr>
        <w:t xml:space="preserve"> Kompensasjonen kan tas ut som fritid eller som ordinær timelønn etter C-tabellen.</w:t>
      </w:r>
    </w:p>
    <w:p w:rsidR="00961174" w:rsidRPr="009947DB" w:rsidRDefault="00961174" w:rsidP="00961174">
      <w:pPr>
        <w:spacing w:after="0"/>
        <w:ind w:left="0"/>
        <w:rPr>
          <w:lang w:val="nb-NO"/>
        </w:rPr>
      </w:pPr>
    </w:p>
    <w:p w:rsidR="00105A2C" w:rsidRPr="00105A2C" w:rsidRDefault="00961174" w:rsidP="00105A2C">
      <w:pPr>
        <w:spacing w:after="0"/>
        <w:ind w:left="0"/>
        <w:rPr>
          <w:lang w:val="nb-NO"/>
        </w:rPr>
      </w:pPr>
      <w:r w:rsidRPr="009947DB">
        <w:rPr>
          <w:i/>
          <w:lang w:val="nb-NO"/>
        </w:rPr>
        <w:t>Kompensasjon for arbeidet tid utover 8 timer pr. dag og for arbeid på fridager</w:t>
      </w:r>
      <w:r w:rsidRPr="009947DB">
        <w:rPr>
          <w:lang w:val="nb-NO"/>
        </w:rPr>
        <w:t xml:space="preserve">: </w:t>
      </w:r>
      <w:r w:rsidR="00913D9D">
        <w:rPr>
          <w:lang w:val="nb-NO"/>
        </w:rPr>
        <w:t xml:space="preserve">Fra 1. mai 2016 ble reglene endret. </w:t>
      </w:r>
      <w:r w:rsidR="00105A2C" w:rsidRPr="00105A2C">
        <w:rPr>
          <w:lang w:val="nb-NO"/>
        </w:rPr>
        <w:t>For pålagt og kontrollerbart arbeid ut over 8 timer per døgn (faktisk arbeidet tid/nettotid), utbetales et tillegg til ordinær timelønn på 50 prosent. For pålagt arbeid på lørdager, søndager og på helge- og høytidsdager nevnt i hovedtariffavtalens § 16 nr. 1 utbetales et tillegg til ordinær timelønn på 50 prosent.</w:t>
      </w:r>
      <w:r w:rsidR="00105A2C">
        <w:rPr>
          <w:lang w:val="nb-NO"/>
        </w:rPr>
        <w:t xml:space="preserve"> </w:t>
      </w:r>
      <w:r w:rsidR="00105A2C" w:rsidRPr="00105A2C">
        <w:rPr>
          <w:lang w:val="nb-NO"/>
        </w:rPr>
        <w:t>Etter avtale mellom arbeidsgiver og arbeidstaker kan opparbeidet tid avspaseres time for time. Tillegget for arbeidet tid ut over 8 timer per døgn utbetales.</w:t>
      </w:r>
      <w:r w:rsidR="00105A2C">
        <w:rPr>
          <w:lang w:val="nb-NO"/>
        </w:rPr>
        <w:t xml:space="preserve"> Det vises til </w:t>
      </w:r>
      <w:hyperlink r:id="rId6" w:anchor="KAPITTEL_10-25" w:history="1">
        <w:r w:rsidR="00105A2C" w:rsidRPr="00105A2C">
          <w:rPr>
            <w:rStyle w:val="Hyperkobling"/>
            <w:lang w:val="nb-NO"/>
          </w:rPr>
          <w:t>Statens personalhåndbok kapittel 10.25, pkt. 4.1.2</w:t>
        </w:r>
      </w:hyperlink>
      <w:r w:rsidR="00105A2C">
        <w:rPr>
          <w:lang w:val="nb-NO"/>
        </w:rPr>
        <w:t>.</w:t>
      </w:r>
    </w:p>
    <w:p w:rsidR="00105A2C" w:rsidRPr="00105A2C" w:rsidRDefault="00105A2C" w:rsidP="00105A2C">
      <w:pPr>
        <w:spacing w:after="0"/>
        <w:ind w:left="0"/>
        <w:rPr>
          <w:lang w:val="nb-NO"/>
        </w:rPr>
      </w:pPr>
    </w:p>
    <w:p w:rsidR="00961174" w:rsidRPr="009947DB" w:rsidRDefault="00425FBF" w:rsidP="009947DB">
      <w:pPr>
        <w:tabs>
          <w:tab w:val="left" w:pos="2898"/>
        </w:tabs>
        <w:spacing w:after="0"/>
        <w:ind w:left="0"/>
        <w:rPr>
          <w:lang w:val="nb-NO"/>
        </w:rPr>
      </w:pPr>
      <w:r>
        <w:rPr>
          <w:lang w:val="nb-NO"/>
        </w:rPr>
        <w:t xml:space="preserve">Arbeidsmiljøloven, Hovedtariffavtalen i staten og </w:t>
      </w:r>
      <w:r w:rsidR="00DB374D" w:rsidRPr="009947DB">
        <w:rPr>
          <w:lang w:val="nb-NO"/>
        </w:rPr>
        <w:t>Særavtale om fleksibel arbeidstid i staten gjelder ikke i utlandet og derved heller ikke ved tjenestereiser i utlandet.</w:t>
      </w:r>
    </w:p>
    <w:p w:rsidR="00961174" w:rsidRPr="009947DB" w:rsidRDefault="00961174" w:rsidP="00961174">
      <w:pPr>
        <w:spacing w:after="0"/>
        <w:ind w:left="0"/>
        <w:rPr>
          <w:lang w:val="nb-NO"/>
        </w:rPr>
      </w:pPr>
    </w:p>
    <w:p w:rsidR="00961174" w:rsidRPr="009947DB" w:rsidRDefault="00961174" w:rsidP="00961174">
      <w:pPr>
        <w:spacing w:after="0"/>
        <w:ind w:left="0"/>
        <w:rPr>
          <w:b/>
          <w:lang w:val="nb-NO"/>
        </w:rPr>
      </w:pPr>
      <w:r w:rsidRPr="009947DB">
        <w:rPr>
          <w:b/>
          <w:lang w:val="nb-NO"/>
        </w:rPr>
        <w:t>3.</w:t>
      </w:r>
      <w:r w:rsidRPr="009947DB">
        <w:rPr>
          <w:b/>
          <w:lang w:val="nb-NO"/>
        </w:rPr>
        <w:tab/>
        <w:t>Kombinerte innenlands- og utenlandsreiser</w:t>
      </w:r>
    </w:p>
    <w:p w:rsidR="00961174" w:rsidRPr="009947DB" w:rsidRDefault="00961174" w:rsidP="00961174">
      <w:pPr>
        <w:spacing w:after="0"/>
        <w:ind w:left="0"/>
        <w:rPr>
          <w:lang w:val="nb-NO"/>
        </w:rPr>
      </w:pPr>
      <w:r w:rsidRPr="009947DB">
        <w:rPr>
          <w:lang w:val="nb-NO"/>
        </w:rPr>
        <w:t>En tjenestereise er enten en utenlandsreise eller en innenlandsreise.</w:t>
      </w:r>
      <w:r w:rsidR="00425FBF">
        <w:rPr>
          <w:lang w:val="nb-NO"/>
        </w:rPr>
        <w:t xml:space="preserve"> Det er oppdragsstedet som er avgjørende for hvilken avtale man skal benytte.</w:t>
      </w:r>
      <w:r w:rsidRPr="009947DB">
        <w:rPr>
          <w:lang w:val="nb-NO"/>
        </w:rPr>
        <w:t xml:space="preserve"> En utenlandsreise starter eller slutter ved hjemmet eller arbeidsstedet. Så fremt det dreier seg om én reise til forretningssted(er) i utlandet skal </w:t>
      </w:r>
      <w:r w:rsidRPr="009947DB">
        <w:rPr>
          <w:u w:val="single"/>
          <w:lang w:val="nb-NO"/>
        </w:rPr>
        <w:t>hele</w:t>
      </w:r>
      <w:r w:rsidRPr="009947DB">
        <w:rPr>
          <w:lang w:val="nb-NO"/>
        </w:rPr>
        <w:t xml:space="preserve"> reisen betraktes som en utenlandsreise. </w:t>
      </w:r>
    </w:p>
    <w:p w:rsidR="00961174" w:rsidRPr="009947DB" w:rsidRDefault="00961174" w:rsidP="00961174">
      <w:pPr>
        <w:spacing w:after="0"/>
        <w:ind w:left="0"/>
        <w:rPr>
          <w:lang w:val="nb-NO"/>
        </w:rPr>
      </w:pPr>
    </w:p>
    <w:p w:rsidR="00961174" w:rsidRPr="009947DB" w:rsidRDefault="00961174" w:rsidP="00961174">
      <w:pPr>
        <w:spacing w:after="0"/>
        <w:ind w:left="0"/>
        <w:rPr>
          <w:lang w:val="nb-NO"/>
        </w:rPr>
      </w:pPr>
      <w:r w:rsidRPr="009947DB">
        <w:rPr>
          <w:lang w:val="nb-NO"/>
        </w:rPr>
        <w:t xml:space="preserve">Dersom reiser for eksempel innbefatter to forretningssteder - ett i Norge og ett i utlandet - vil reisen kunne betraktes som to reiser som dermed reguleres av regulativene for hhv. innenlandsreiser og utenlandsreiser. Hvis oppdraget i Norge kommer først, starter utenlandsreisen i det man forlater oppdragsstedet eller hotellet i Norge. </w:t>
      </w:r>
    </w:p>
    <w:p w:rsidR="00961174" w:rsidRPr="009947DB" w:rsidRDefault="00961174" w:rsidP="00961174">
      <w:pPr>
        <w:spacing w:after="0"/>
        <w:ind w:left="0"/>
        <w:rPr>
          <w:lang w:val="nb-NO"/>
        </w:rPr>
      </w:pPr>
    </w:p>
    <w:p w:rsidR="00961174" w:rsidRPr="00873976" w:rsidRDefault="00961174" w:rsidP="00961174">
      <w:pPr>
        <w:spacing w:after="0"/>
        <w:ind w:left="0"/>
        <w:rPr>
          <w:lang w:val="nb-NO"/>
        </w:rPr>
      </w:pPr>
      <w:r w:rsidRPr="009947DB">
        <w:rPr>
          <w:lang w:val="nb-NO"/>
        </w:rPr>
        <w:t>For arbeidstakere med fast</w:t>
      </w:r>
      <w:r w:rsidR="00132440">
        <w:rPr>
          <w:lang w:val="nb-NO"/>
        </w:rPr>
        <w:t xml:space="preserve"> arbeidssted i utlandet, vil en</w:t>
      </w:r>
      <w:r w:rsidRPr="009947DB">
        <w:rPr>
          <w:lang w:val="nb-NO"/>
        </w:rPr>
        <w:t>hver reise innad i eget land eller andre land unntatt Norge være en utenlandsreise. Dersom arbeidstakeren reiser på oppdrag til Norge, skal innenlandsavtalen legges til grunn etter de samme prinsipper som over.</w:t>
      </w:r>
    </w:p>
    <w:p w:rsidR="00961174" w:rsidRDefault="00961174" w:rsidP="00961174">
      <w:pPr>
        <w:spacing w:after="0"/>
        <w:ind w:left="0"/>
        <w:rPr>
          <w:lang w:val="nb-NO"/>
        </w:rPr>
      </w:pPr>
    </w:p>
    <w:p w:rsidR="00961174" w:rsidRDefault="00961174" w:rsidP="00961174">
      <w:pPr>
        <w:spacing w:after="0"/>
        <w:rPr>
          <w:lang w:val="nb-NO"/>
        </w:rPr>
      </w:pPr>
    </w:p>
    <w:p w:rsidR="00961174" w:rsidRDefault="00961174" w:rsidP="00961174">
      <w:pPr>
        <w:spacing w:after="0"/>
        <w:ind w:left="0"/>
        <w:rPr>
          <w:b/>
          <w:lang w:val="nb-NO"/>
        </w:rPr>
      </w:pPr>
      <w:r>
        <w:rPr>
          <w:b/>
          <w:lang w:val="nb-NO"/>
        </w:rPr>
        <w:t>4</w:t>
      </w:r>
      <w:r w:rsidRPr="00742109">
        <w:rPr>
          <w:b/>
          <w:lang w:val="nb-NO"/>
        </w:rPr>
        <w:t>.</w:t>
      </w:r>
      <w:r w:rsidRPr="00742109">
        <w:rPr>
          <w:b/>
          <w:lang w:val="nb-NO"/>
        </w:rPr>
        <w:tab/>
        <w:t>Sentrale bestemmelser</w:t>
      </w:r>
    </w:p>
    <w:p w:rsidR="00961174" w:rsidRDefault="00961174" w:rsidP="00961174">
      <w:pPr>
        <w:spacing w:after="0"/>
        <w:ind w:left="0"/>
        <w:rPr>
          <w:lang w:val="nb-NO"/>
        </w:rPr>
      </w:pPr>
      <w:r>
        <w:rPr>
          <w:lang w:val="nb-NO"/>
        </w:rPr>
        <w:t>Reiseregulativene, eller ”</w:t>
      </w:r>
      <w:hyperlink r:id="rId7" w:anchor="KAPITTEL_9-2" w:history="1">
        <w:r w:rsidR="00132440" w:rsidRPr="00132440">
          <w:rPr>
            <w:rStyle w:val="Hyperkobling"/>
            <w:lang w:val="nb-NO"/>
          </w:rPr>
          <w:t>Særavtale om dekning av utgifter til reise og kost innenlands</w:t>
        </w:r>
      </w:hyperlink>
      <w:r>
        <w:rPr>
          <w:lang w:val="nb-NO"/>
        </w:rPr>
        <w:t>” og ”</w:t>
      </w:r>
      <w:hyperlink r:id="rId8" w:anchor="KAPITTEL_9-3" w:history="1">
        <w:r w:rsidR="00132440" w:rsidRPr="00132440">
          <w:rPr>
            <w:rStyle w:val="Hyperkobling"/>
            <w:lang w:val="nb-NO"/>
          </w:rPr>
          <w:t>Særavtale om dekning av utgifter til reise og kost utenfor Norge</w:t>
        </w:r>
      </w:hyperlink>
      <w:r>
        <w:rPr>
          <w:lang w:val="nb-NO"/>
        </w:rPr>
        <w:t xml:space="preserve">” er avtaler inngått med tjenestemannsorganisasjonene og </w:t>
      </w:r>
      <w:r w:rsidR="00132440">
        <w:rPr>
          <w:lang w:val="nb-NO"/>
        </w:rPr>
        <w:t>ligger ute på Lovdata.</w:t>
      </w:r>
    </w:p>
    <w:p w:rsidR="00961174" w:rsidRDefault="00961174" w:rsidP="00961174">
      <w:pPr>
        <w:spacing w:after="0"/>
        <w:ind w:left="0"/>
        <w:rPr>
          <w:lang w:val="nb-NO"/>
        </w:rPr>
      </w:pPr>
    </w:p>
    <w:p w:rsidR="00961174" w:rsidRDefault="00891CAD" w:rsidP="00961174">
      <w:pPr>
        <w:spacing w:after="0"/>
        <w:ind w:left="0"/>
        <w:rPr>
          <w:lang w:val="nb-NO"/>
        </w:rPr>
      </w:pPr>
      <w:r>
        <w:rPr>
          <w:lang w:val="nb-NO"/>
        </w:rPr>
        <w:t>Bestemmelsene i</w:t>
      </w:r>
      <w:r w:rsidR="00961174">
        <w:rPr>
          <w:lang w:val="nb-NO"/>
        </w:rPr>
        <w:t xml:space="preserve"> avtalene er utstyrt med fotnoter. Disse er </w:t>
      </w:r>
      <w:r>
        <w:rPr>
          <w:lang w:val="nb-NO"/>
        </w:rPr>
        <w:t>Kommunal- og modernisering</w:t>
      </w:r>
      <w:r w:rsidR="00961174">
        <w:rPr>
          <w:lang w:val="nb-NO"/>
        </w:rPr>
        <w:t>sdepartementets kommentarer.</w:t>
      </w:r>
    </w:p>
    <w:p w:rsidR="00961174" w:rsidRDefault="00961174" w:rsidP="00961174">
      <w:pPr>
        <w:spacing w:after="0"/>
        <w:ind w:left="0"/>
        <w:rPr>
          <w:lang w:val="nb-NO"/>
        </w:rPr>
      </w:pPr>
    </w:p>
    <w:p w:rsidR="00961174" w:rsidRDefault="00961174" w:rsidP="00961174">
      <w:pPr>
        <w:spacing w:after="0"/>
        <w:ind w:left="0"/>
        <w:rPr>
          <w:lang w:val="nb-NO"/>
        </w:rPr>
      </w:pPr>
      <w:r>
        <w:rPr>
          <w:lang w:val="nb-NO"/>
        </w:rPr>
        <w:t>I tillegg gir Fellesbestemmelsene § 8 (i Hovedtariffavtalen) utfyllende regler om kompensasjon for reiser innenlands:</w:t>
      </w:r>
    </w:p>
    <w:p w:rsidR="00891CAD" w:rsidRDefault="00891CAD" w:rsidP="00961174">
      <w:pPr>
        <w:spacing w:after="0"/>
        <w:ind w:left="0"/>
        <w:rPr>
          <w:lang w:val="nb-NO"/>
        </w:rPr>
      </w:pPr>
    </w:p>
    <w:p w:rsidR="00891CAD" w:rsidRDefault="00CD56B8" w:rsidP="00961174">
      <w:pPr>
        <w:spacing w:after="0"/>
        <w:ind w:left="0"/>
        <w:rPr>
          <w:lang w:val="nb-NO"/>
        </w:rPr>
      </w:pPr>
      <w:hyperlink r:id="rId9" w:anchor="KAPITTEL_7-3-8" w:history="1">
        <w:r w:rsidR="00891CAD" w:rsidRPr="00891CAD">
          <w:rPr>
            <w:rStyle w:val="Hyperkobling"/>
            <w:lang w:val="nb-NO"/>
          </w:rPr>
          <w:t>§ 8 Kompensasjon for reiser innenlands</w:t>
        </w:r>
      </w:hyperlink>
    </w:p>
    <w:p w:rsidR="00961174" w:rsidRDefault="00961174" w:rsidP="00961174">
      <w:pPr>
        <w:spacing w:after="0"/>
        <w:ind w:left="0"/>
        <w:rPr>
          <w:lang w:val="nb-NO"/>
        </w:rPr>
      </w:pPr>
    </w:p>
    <w:p w:rsidR="00891CAD" w:rsidRDefault="00961174" w:rsidP="00961174">
      <w:pPr>
        <w:spacing w:after="0"/>
        <w:ind w:left="0"/>
        <w:rPr>
          <w:lang w:val="nb-NO"/>
        </w:rPr>
      </w:pPr>
      <w:r>
        <w:rPr>
          <w:lang w:val="nb-NO"/>
        </w:rPr>
        <w:t>Og tilsvarende regler for reiser utenlands:</w:t>
      </w:r>
    </w:p>
    <w:p w:rsidR="00961174" w:rsidRDefault="00961174" w:rsidP="00961174">
      <w:pPr>
        <w:spacing w:after="0"/>
        <w:ind w:left="0"/>
        <w:rPr>
          <w:lang w:val="nb-NO"/>
        </w:rPr>
      </w:pPr>
    </w:p>
    <w:p w:rsidR="00961174" w:rsidRDefault="00CD56B8" w:rsidP="00961174">
      <w:pPr>
        <w:spacing w:after="0"/>
        <w:ind w:left="0"/>
        <w:rPr>
          <w:lang w:val="nb-NO"/>
        </w:rPr>
      </w:pPr>
      <w:hyperlink r:id="rId10" w:anchor="KAPITTEL_10-25" w:history="1">
        <w:r w:rsidR="00444FD9" w:rsidRPr="00444FD9">
          <w:rPr>
            <w:rStyle w:val="Hyperkobling"/>
            <w:lang w:val="nb-NO"/>
          </w:rPr>
          <w:t>10.25 Tjenestemenns lønns- og arbeidsvilkår ved tjeneste i utlandet</w:t>
        </w:r>
      </w:hyperlink>
    </w:p>
    <w:p w:rsidR="00961174" w:rsidRPr="001121D4" w:rsidRDefault="00961174" w:rsidP="00961174">
      <w:pPr>
        <w:rPr>
          <w:lang w:val="nb-NO"/>
        </w:rPr>
      </w:pPr>
    </w:p>
    <w:p w:rsidR="00961174" w:rsidRPr="00030E8F" w:rsidRDefault="00961174" w:rsidP="00961174">
      <w:pPr>
        <w:rPr>
          <w:lang w:val="nb-NO"/>
        </w:rPr>
      </w:pPr>
    </w:p>
    <w:p w:rsidR="00C62CF4" w:rsidRDefault="00C62CF4">
      <w:pPr>
        <w:rPr>
          <w:lang w:val="nb-NO"/>
        </w:rPr>
      </w:pPr>
    </w:p>
    <w:sectPr w:rsidR="00C62CF4">
      <w:headerReference w:type="default" r:id="rId11"/>
      <w:headerReference w:type="first" r:id="rId12"/>
      <w:footerReference w:type="first" r:id="rId13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B3" w:rsidRDefault="00A253B3">
      <w:r>
        <w:separator/>
      </w:r>
    </w:p>
  </w:endnote>
  <w:endnote w:type="continuationSeparator" w:id="0">
    <w:p w:rsidR="00A253B3" w:rsidRDefault="00A2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F4" w:rsidRDefault="00C62CF4">
    <w:pPr>
      <w:pStyle w:val="Bunntekst"/>
      <w:pBdr>
        <w:bottom w:val="single" w:sz="4" w:space="1" w:color="auto"/>
      </w:pBdr>
    </w:pPr>
  </w:p>
  <w:p w:rsidR="00C62CF4" w:rsidRDefault="00C62CF4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2" w:name="tittel"/>
    <w:bookmarkEnd w:id="12"/>
    <w:r w:rsidR="00961174">
      <w:t>rådgiver</w:t>
    </w:r>
  </w:p>
  <w:p w:rsidR="00C62CF4" w:rsidRPr="00913D9D" w:rsidRDefault="00977ACA">
    <w:pPr>
      <w:pStyle w:val="FooterTekst"/>
    </w:pPr>
    <w:r>
      <w:t>Høgskoleringen 1</w:t>
    </w:r>
    <w:r w:rsidR="00C62CF4">
      <w:tab/>
    </w:r>
    <w:r w:rsidR="00C62CF4" w:rsidRPr="00913D9D">
      <w:t>E-post:</w:t>
    </w:r>
    <w:r w:rsidR="00C62CF4" w:rsidRPr="00913D9D">
      <w:tab/>
    </w:r>
    <w:r w:rsidRPr="00913D9D">
      <w:t>Hovedbygget</w:t>
    </w:r>
    <w:r w:rsidR="00C62CF4" w:rsidRPr="00913D9D">
      <w:tab/>
      <w:t xml:space="preserve">+ 47 </w:t>
    </w:r>
    <w:r w:rsidRPr="00913D9D">
      <w:t>73 59 50 00</w:t>
    </w:r>
    <w:r w:rsidR="00C62CF4" w:rsidRPr="00913D9D">
      <w:tab/>
    </w:r>
    <w:bookmarkStart w:id="13" w:name="Navn"/>
    <w:bookmarkEnd w:id="13"/>
    <w:r w:rsidR="00961174" w:rsidRPr="00913D9D">
      <w:t>Didrik Tårnesvik</w:t>
    </w:r>
  </w:p>
  <w:p w:rsidR="00C62CF4" w:rsidRPr="00913D9D" w:rsidRDefault="00977ACA">
    <w:pPr>
      <w:pStyle w:val="FooterTekst"/>
      <w:rPr>
        <w:lang w:val="en-US"/>
      </w:rPr>
    </w:pPr>
    <w:r>
      <w:rPr>
        <w:lang w:val="en-US"/>
      </w:rPr>
      <w:t>7491 Trondheim</w:t>
    </w:r>
    <w:r w:rsidR="00C62CF4">
      <w:rPr>
        <w:lang w:val="en-US"/>
      </w:rPr>
      <w:tab/>
    </w:r>
    <w:r w:rsidR="00C62CF4">
      <w:rPr>
        <w:lang w:val="en-US"/>
      </w:rPr>
      <w:tab/>
    </w:r>
    <w:r>
      <w:rPr>
        <w:lang w:val="en-US"/>
      </w:rPr>
      <w:t>Gløshaugen</w:t>
    </w:r>
    <w:r w:rsidR="00C62CF4">
      <w:rPr>
        <w:lang w:val="en-US"/>
      </w:rPr>
      <w:tab/>
    </w:r>
    <w:r w:rsidR="00C62CF4" w:rsidRPr="00913D9D">
      <w:rPr>
        <w:rFonts w:ascii="Arial" w:hAnsi="Arial"/>
        <w:b/>
        <w:lang w:val="en-US"/>
      </w:rPr>
      <w:t>Telefaks</w:t>
    </w:r>
    <w:r w:rsidR="00C62CF4" w:rsidRPr="00913D9D">
      <w:rPr>
        <w:lang w:val="en-US"/>
      </w:rPr>
      <w:tab/>
    </w:r>
    <w:bookmarkStart w:id="14" w:name="Navn2"/>
    <w:bookmarkEnd w:id="14"/>
  </w:p>
  <w:p w:rsidR="00C62CF4" w:rsidRPr="00913D9D" w:rsidRDefault="00C62CF4">
    <w:pPr>
      <w:pStyle w:val="FooterTekst"/>
      <w:rPr>
        <w:lang w:val="en-US"/>
      </w:rPr>
    </w:pPr>
    <w:r w:rsidRPr="00913D9D">
      <w:rPr>
        <w:lang w:val="en-US"/>
      </w:rPr>
      <w:tab/>
      <w:t>http://</w:t>
    </w:r>
    <w:r w:rsidR="00977ACA" w:rsidRPr="00913D9D">
      <w:rPr>
        <w:lang w:val="en-US"/>
      </w:rPr>
      <w:t>www.ntnu.no/administrasjon</w:t>
    </w:r>
    <w:r w:rsidRPr="00913D9D">
      <w:rPr>
        <w:lang w:val="en-US"/>
      </w:rPr>
      <w:tab/>
    </w:r>
    <w:r w:rsidRPr="00913D9D">
      <w:rPr>
        <w:lang w:val="en-US"/>
      </w:rPr>
      <w:tab/>
      <w:t xml:space="preserve">+ 47 </w:t>
    </w:r>
    <w:r w:rsidR="00977ACA" w:rsidRPr="00913D9D">
      <w:rPr>
        <w:lang w:val="en-US"/>
      </w:rPr>
      <w:t>73 59 80 99</w:t>
    </w:r>
    <w:r w:rsidRPr="00913D9D">
      <w:rPr>
        <w:lang w:val="en-US"/>
      </w:rPr>
      <w:tab/>
      <w:t xml:space="preserve">Tlf: + 47 </w:t>
    </w:r>
    <w:bookmarkStart w:id="15" w:name="Tlf"/>
    <w:bookmarkEnd w:id="15"/>
    <w:r w:rsidR="00961174" w:rsidRPr="00913D9D">
      <w:rPr>
        <w:lang w:val="en-US"/>
      </w:rPr>
      <w:t>47370733</w:t>
    </w:r>
  </w:p>
  <w:p w:rsidR="00C62CF4" w:rsidRPr="00913D9D" w:rsidRDefault="00C62CF4">
    <w:pPr>
      <w:pStyle w:val="Bunntekst"/>
      <w:rPr>
        <w:sz w:val="6"/>
        <w:lang w:val="en-US"/>
      </w:rPr>
    </w:pPr>
  </w:p>
  <w:p w:rsidR="00C62CF4" w:rsidRDefault="00C62CF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C62CF4" w:rsidRDefault="00C62CF4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B3" w:rsidRDefault="00A253B3">
      <w:r>
        <w:separator/>
      </w:r>
    </w:p>
  </w:footnote>
  <w:footnote w:type="continuationSeparator" w:id="0">
    <w:p w:rsidR="00A253B3" w:rsidRDefault="00A2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F4" w:rsidRDefault="00C62CF4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D56B8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CD56B8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7"/>
      <w:gridCol w:w="1976"/>
    </w:tblGrid>
    <w:tr w:rsidR="00C62CF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  <w:r>
            <w:t>Dato</w:t>
          </w:r>
        </w:p>
        <w:p w:rsidR="00C62CF4" w:rsidRDefault="00132440">
          <w:pPr>
            <w:pStyle w:val="DatoRefFyllInn"/>
          </w:pPr>
          <w:bookmarkStart w:id="8" w:name="VarDato2"/>
          <w:bookmarkEnd w:id="8"/>
          <w:r>
            <w:t>25.10.2016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  <w:r>
            <w:t>Referanse</w:t>
          </w:r>
        </w:p>
        <w:p w:rsidR="00C62CF4" w:rsidRDefault="00C62CF4">
          <w:pPr>
            <w:pStyle w:val="DatoRefFyllInn"/>
          </w:pPr>
          <w:bookmarkStart w:id="9" w:name="VarRef2"/>
          <w:bookmarkEnd w:id="9"/>
        </w:p>
      </w:tc>
    </w:tr>
  </w:tbl>
  <w:p w:rsidR="00C62CF4" w:rsidRDefault="00C62CF4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F4" w:rsidRDefault="00DB374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CF4">
      <w:tab/>
    </w:r>
    <w:r w:rsidR="00C62CF4">
      <w:tab/>
    </w:r>
    <w:r w:rsidR="00C62CF4">
      <w:tab/>
    </w:r>
    <w:r w:rsidR="00C62CF4">
      <w:fldChar w:fldCharType="begin"/>
    </w:r>
    <w:r w:rsidR="00C62CF4">
      <w:instrText xml:space="preserve"> PAGE </w:instrText>
    </w:r>
    <w:r w:rsidR="00C62CF4">
      <w:fldChar w:fldCharType="separate"/>
    </w:r>
    <w:r w:rsidR="00CD56B8">
      <w:t>1</w:t>
    </w:r>
    <w:r w:rsidR="00C62CF4">
      <w:fldChar w:fldCharType="end"/>
    </w:r>
    <w:r w:rsidR="00C62CF4">
      <w:t xml:space="preserve"> av </w:t>
    </w:r>
    <w:r w:rsidR="00C62CF4">
      <w:fldChar w:fldCharType="begin"/>
    </w:r>
    <w:r w:rsidR="00C62CF4">
      <w:instrText xml:space="preserve"> NUMPAGES </w:instrText>
    </w:r>
    <w:r w:rsidR="00C62CF4">
      <w:fldChar w:fldCharType="separate"/>
    </w:r>
    <w:r w:rsidR="00CD56B8">
      <w:t>1</w:t>
    </w:r>
    <w:r w:rsidR="00C62CF4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4"/>
      <w:gridCol w:w="1338"/>
      <w:gridCol w:w="1976"/>
    </w:tblGrid>
    <w:tr w:rsidR="00C62CF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</w:p>
        <w:p w:rsidR="00C62CF4" w:rsidRDefault="00C62CF4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</w:p>
        <w:p w:rsidR="00C62CF4" w:rsidRDefault="00C62CF4">
          <w:pPr>
            <w:pStyle w:val="DatoFyllInn1"/>
          </w:pPr>
        </w:p>
      </w:tc>
    </w:tr>
    <w:tr w:rsidR="00C62CF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CF4" w:rsidRDefault="00977ACA">
          <w:pPr>
            <w:pStyle w:val="Header1"/>
          </w:pPr>
          <w:r>
            <w:t>Personalavdelingen</w:t>
          </w:r>
        </w:p>
        <w:p w:rsidR="00C62CF4" w:rsidRDefault="00C62CF4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2"/>
          </w:pPr>
          <w:r>
            <w:t>Dato</w:t>
          </w:r>
        </w:p>
        <w:p w:rsidR="00C62CF4" w:rsidRDefault="00132440">
          <w:pPr>
            <w:pStyle w:val="DatoRefFyllInn"/>
          </w:pPr>
          <w:bookmarkStart w:id="10" w:name="VarDato"/>
          <w:bookmarkEnd w:id="10"/>
          <w:r>
            <w:t>25.10.2016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2"/>
          </w:pPr>
          <w:r>
            <w:t>Referanse</w:t>
          </w:r>
        </w:p>
        <w:p w:rsidR="00C62CF4" w:rsidRDefault="00C62CF4">
          <w:pPr>
            <w:pStyle w:val="DatoRefFyllInn"/>
          </w:pPr>
          <w:bookmarkStart w:id="11" w:name="VarRef"/>
          <w:bookmarkEnd w:id="11"/>
        </w:p>
      </w:tc>
    </w:tr>
  </w:tbl>
  <w:p w:rsidR="00C62CF4" w:rsidRDefault="00C62CF4">
    <w:pPr>
      <w:pStyle w:val="Topptekst"/>
      <w:pBdr>
        <w:bottom w:val="single" w:sz="4" w:space="1" w:color="auto"/>
      </w:pBdr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74"/>
    <w:rsid w:val="000001F7"/>
    <w:rsid w:val="00105A2C"/>
    <w:rsid w:val="00132440"/>
    <w:rsid w:val="00137D5D"/>
    <w:rsid w:val="001A28C3"/>
    <w:rsid w:val="003B10CD"/>
    <w:rsid w:val="00425FBF"/>
    <w:rsid w:val="00444FD9"/>
    <w:rsid w:val="00656DEF"/>
    <w:rsid w:val="0072520B"/>
    <w:rsid w:val="00891CAD"/>
    <w:rsid w:val="00913D9D"/>
    <w:rsid w:val="00961174"/>
    <w:rsid w:val="00977ACA"/>
    <w:rsid w:val="009947DB"/>
    <w:rsid w:val="00A253B3"/>
    <w:rsid w:val="00C62CF4"/>
    <w:rsid w:val="00C703F9"/>
    <w:rsid w:val="00CD56B8"/>
    <w:rsid w:val="00D460C8"/>
    <w:rsid w:val="00DB374D"/>
    <w:rsid w:val="00F9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CB28F49-DBBF-405B-9034-D53B7D56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before="56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ArkivFyllInn">
    <w:name w:val="ArkivFyllInn"/>
    <w:basedOn w:val="Normal"/>
    <w:autoRedefine/>
    <w:pPr>
      <w:tabs>
        <w:tab w:val="left" w:pos="1418"/>
        <w:tab w:val="left" w:pos="3969"/>
        <w:tab w:val="right" w:pos="9639"/>
      </w:tabs>
      <w:spacing w:before="113" w:after="167"/>
      <w:ind w:left="0" w:right="-96"/>
      <w:jc w:val="right"/>
    </w:pPr>
    <w:rPr>
      <w:rFonts w:ascii="Arial" w:hAnsi="Arial"/>
      <w:lang w:val="nb-NO"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character" w:styleId="Hyperkobling">
    <w:name w:val="Hyperlink"/>
    <w:rsid w:val="00961174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961174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61174"/>
    <w:rPr>
      <w:rFonts w:ascii="Tahoma" w:hAnsi="Tahoma" w:cs="Tahoma"/>
      <w:sz w:val="16"/>
      <w:szCs w:val="16"/>
      <w:lang w:val="en-GB" w:eastAsia="en-US"/>
    </w:rPr>
  </w:style>
  <w:style w:type="character" w:styleId="Fulgthyperkobling">
    <w:name w:val="FollowedHyperlink"/>
    <w:basedOn w:val="Standardskriftforavsnitt"/>
    <w:rsid w:val="00891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PH/sph-2016/KAPITTEL_9-3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vdata.no/dokument/SPH/sph-2016/KAPITTEL_9-2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vdata.no/dokument/SPH/sph-2016/KAPITTEL_1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vdata.no/dokument/SPH/sph-2016/KAPITTEL_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vdata.no/dokument/SPH/sph-2016/KAPITTEL_7-3-8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I\PA\b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bnotat.dot</Template>
  <TotalTime>0</TotalTime>
  <Pages>16</Pages>
  <Words>1146</Words>
  <Characters>7575</Characters>
  <Application>Microsoft Office Word</Application>
  <DocSecurity>4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Didrik Tårnesvik</dc:creator>
  <cp:lastModifiedBy>Edith Marlene Søndre</cp:lastModifiedBy>
  <cp:revision>2</cp:revision>
  <cp:lastPrinted>2005-07-27T07:12:00Z</cp:lastPrinted>
  <dcterms:created xsi:type="dcterms:W3CDTF">2016-10-25T09:06:00Z</dcterms:created>
  <dcterms:modified xsi:type="dcterms:W3CDTF">2016-10-25T09:06:00Z</dcterms:modified>
</cp:coreProperties>
</file>