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62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</w:tblGrid>
      <w:tr w:rsidR="009E0702" w14:paraId="747EFC04" w14:textId="77777777" w:rsidTr="00212CEF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36DFB" w14:textId="77777777" w:rsidR="009E0702" w:rsidRDefault="009E0702" w:rsidP="00212CEF">
            <w:pPr>
              <w:pStyle w:val="Tilfelt"/>
            </w:pPr>
            <w:bookmarkStart w:id="0" w:name="UOFFPARAGRAF"/>
            <w:bookmarkEnd w:id="0"/>
          </w:p>
        </w:tc>
      </w:tr>
    </w:tbl>
    <w:p w14:paraId="46970A62" w14:textId="77777777" w:rsidR="009E0702" w:rsidRDefault="009E0702" w:rsidP="009E0702">
      <w:pPr>
        <w:pStyle w:val="Tilfelt"/>
      </w:pPr>
    </w:p>
    <w:p w14:paraId="2B761EDB" w14:textId="77777777" w:rsidR="009E0702" w:rsidRDefault="009E0702" w:rsidP="009E0702">
      <w:pPr>
        <w:pStyle w:val="Tilfelt"/>
      </w:pPr>
      <w:r>
        <w:t>Ti</w:t>
      </w:r>
      <w:r w:rsidR="006F1830">
        <w:t>l</w:t>
      </w:r>
    </w:p>
    <w:p w14:paraId="6D8A7572" w14:textId="77777777" w:rsidR="009E0702" w:rsidRPr="00D227E1" w:rsidRDefault="009E0702" w:rsidP="009E0702">
      <w:pPr>
        <w:pStyle w:val="Tilfelt"/>
      </w:pPr>
      <w:bookmarkStart w:id="1" w:name="KONTAKT"/>
      <w:bookmarkStart w:id="2" w:name="ADRESSE"/>
      <w:bookmarkStart w:id="3" w:name="POSTNR"/>
      <w:bookmarkStart w:id="4" w:name="POSTSTED"/>
      <w:bookmarkEnd w:id="1"/>
      <w:bookmarkEnd w:id="2"/>
      <w:bookmarkEnd w:id="3"/>
      <w:bookmarkEnd w:id="4"/>
    </w:p>
    <w:p w14:paraId="73C897F6" w14:textId="77777777" w:rsidR="009E0702" w:rsidRDefault="009E0702" w:rsidP="009E0702">
      <w:pPr>
        <w:pStyle w:val="Tilfelt"/>
      </w:pPr>
      <w:bookmarkStart w:id="5" w:name="UTLANDSADRESSE"/>
      <w:bookmarkEnd w:id="5"/>
    </w:p>
    <w:p w14:paraId="717ABAD1" w14:textId="77777777" w:rsidR="009E0702" w:rsidRPr="00612F7A" w:rsidRDefault="009E0702" w:rsidP="009E0702">
      <w:pPr>
        <w:pStyle w:val="Overskrift1"/>
        <w:rPr>
          <w:lang w:val="nb-NO"/>
        </w:rPr>
      </w:pPr>
      <w:bookmarkStart w:id="6" w:name="TITTEL"/>
      <w:r>
        <w:rPr>
          <w:lang w:val="nb-NO"/>
        </w:rPr>
        <w:t xml:space="preserve">Vedtak </w:t>
      </w:r>
      <w:r w:rsidR="00B02085">
        <w:rPr>
          <w:lang w:val="nb-NO"/>
        </w:rPr>
        <w:t>om</w:t>
      </w:r>
      <w:r>
        <w:rPr>
          <w:lang w:val="nb-NO"/>
        </w:rPr>
        <w:t xml:space="preserve"> innsyn</w:t>
      </w:r>
      <w:bookmarkEnd w:id="6"/>
      <w:r w:rsidR="00B02085">
        <w:rPr>
          <w:lang w:val="nb-NO"/>
        </w:rPr>
        <w:t xml:space="preserve"> etter offentleglova</w:t>
      </w:r>
    </w:p>
    <w:p w14:paraId="0C5DC6E9" w14:textId="77777777" w:rsidR="009E0702" w:rsidRPr="00612F7A" w:rsidRDefault="009E0702" w:rsidP="009E0702">
      <w:pPr>
        <w:ind w:left="0"/>
        <w:rPr>
          <w:lang w:val="nb-NO"/>
        </w:rPr>
      </w:pPr>
    </w:p>
    <w:p w14:paraId="04A48A2D" w14:textId="77777777" w:rsidR="009E0702" w:rsidRPr="00394CA2" w:rsidRDefault="009E0702" w:rsidP="009E0702">
      <w:pPr>
        <w:autoSpaceDE w:val="0"/>
        <w:autoSpaceDN w:val="0"/>
        <w:adjustRightInd w:val="0"/>
        <w:spacing w:after="0"/>
        <w:ind w:left="0" w:right="0"/>
        <w:rPr>
          <w:color w:val="808080" w:themeColor="background1" w:themeShade="80"/>
          <w:lang w:val="nb-NO"/>
        </w:rPr>
      </w:pPr>
      <w:bookmarkStart w:id="7" w:name="start"/>
      <w:bookmarkEnd w:id="7"/>
      <w:r>
        <w:rPr>
          <w:lang w:val="nb-NO"/>
        </w:rPr>
        <w:t>Vi viser til</w:t>
      </w:r>
      <w:r w:rsidR="00B02085">
        <w:rPr>
          <w:lang w:val="nb-NO"/>
        </w:rPr>
        <w:t xml:space="preserve"> krav om innsyn datert </w:t>
      </w:r>
      <w:r w:rsidR="00B02085" w:rsidRPr="00394CA2">
        <w:rPr>
          <w:i/>
          <w:color w:val="808080" w:themeColor="background1" w:themeShade="80"/>
          <w:lang w:val="nb-NO"/>
        </w:rPr>
        <w:t>[</w:t>
      </w:r>
      <w:r w:rsidR="00394CA2" w:rsidRPr="00394CA2">
        <w:rPr>
          <w:i/>
          <w:color w:val="808080" w:themeColor="background1" w:themeShade="80"/>
          <w:lang w:val="nb-NO"/>
        </w:rPr>
        <w:t>fyll ut</w:t>
      </w:r>
      <w:r w:rsidR="00B02085" w:rsidRPr="00394CA2">
        <w:rPr>
          <w:i/>
          <w:color w:val="808080" w:themeColor="background1" w:themeShade="80"/>
          <w:lang w:val="nb-NO"/>
        </w:rPr>
        <w:t>]</w:t>
      </w:r>
    </w:p>
    <w:p w14:paraId="3755964C" w14:textId="77777777" w:rsidR="009E0702" w:rsidRDefault="009E0702" w:rsidP="009E0702">
      <w:pPr>
        <w:autoSpaceDE w:val="0"/>
        <w:autoSpaceDN w:val="0"/>
        <w:adjustRightInd w:val="0"/>
        <w:spacing w:after="0"/>
        <w:ind w:left="0" w:right="0"/>
        <w:rPr>
          <w:lang w:val="nb-NO"/>
        </w:rPr>
      </w:pPr>
      <w:r>
        <w:rPr>
          <w:lang w:val="nb-NO"/>
        </w:rPr>
        <w:t xml:space="preserve">Innsynskravet gjelder </w:t>
      </w:r>
      <w:r w:rsidRPr="00E82CE7">
        <w:rPr>
          <w:lang w:val="nb-NO"/>
        </w:rPr>
        <w:t>opplys</w:t>
      </w:r>
      <w:r>
        <w:rPr>
          <w:lang w:val="nb-NO"/>
        </w:rPr>
        <w:t xml:space="preserve">ninger </w:t>
      </w:r>
      <w:r w:rsidRPr="00E82CE7">
        <w:rPr>
          <w:lang w:val="nb-NO"/>
        </w:rPr>
        <w:t>om</w:t>
      </w:r>
      <w:r w:rsidR="00B02085">
        <w:rPr>
          <w:lang w:val="nb-NO"/>
        </w:rPr>
        <w:t xml:space="preserve"> </w:t>
      </w:r>
      <w:r w:rsidR="00B02085" w:rsidRPr="00394CA2">
        <w:rPr>
          <w:i/>
          <w:color w:val="808080" w:themeColor="background1" w:themeShade="80"/>
          <w:lang w:val="nb-NO"/>
        </w:rPr>
        <w:t>[</w:t>
      </w:r>
      <w:r w:rsidR="00394CA2" w:rsidRPr="00394CA2">
        <w:rPr>
          <w:i/>
          <w:color w:val="808080" w:themeColor="background1" w:themeShade="80"/>
          <w:lang w:val="nb-NO"/>
        </w:rPr>
        <w:t>fyll ut</w:t>
      </w:r>
      <w:r w:rsidR="00B02085" w:rsidRPr="00394CA2">
        <w:rPr>
          <w:i/>
          <w:color w:val="808080" w:themeColor="background1" w:themeShade="80"/>
          <w:lang w:val="nb-NO"/>
        </w:rPr>
        <w:t>]</w:t>
      </w:r>
    </w:p>
    <w:p w14:paraId="6973B30E" w14:textId="77777777" w:rsidR="009E0702" w:rsidRDefault="009E0702" w:rsidP="009E0702">
      <w:pPr>
        <w:autoSpaceDE w:val="0"/>
        <w:autoSpaceDN w:val="0"/>
        <w:adjustRightInd w:val="0"/>
        <w:spacing w:after="0"/>
        <w:ind w:left="0" w:right="0"/>
        <w:rPr>
          <w:lang w:val="nb-NO"/>
        </w:rPr>
      </w:pPr>
      <w:r>
        <w:rPr>
          <w:lang w:val="nb-NO"/>
        </w:rPr>
        <w:t xml:space="preserve"> </w:t>
      </w:r>
    </w:p>
    <w:p w14:paraId="16A90AF0" w14:textId="77777777" w:rsidR="00B02085" w:rsidRDefault="00B02085" w:rsidP="00B02085">
      <w:pPr>
        <w:spacing w:after="0" w:line="360" w:lineRule="auto"/>
        <w:ind w:left="0" w:right="0"/>
        <w:rPr>
          <w:b/>
          <w:lang w:val="nb-NO"/>
        </w:rPr>
      </w:pPr>
    </w:p>
    <w:p w14:paraId="6E154D69" w14:textId="77777777" w:rsidR="009E0702" w:rsidRPr="00B478F8" w:rsidRDefault="009E0702" w:rsidP="00B02085">
      <w:pPr>
        <w:spacing w:after="0" w:line="360" w:lineRule="auto"/>
        <w:ind w:left="0" w:right="0"/>
        <w:rPr>
          <w:b/>
          <w:lang w:val="nb-NO"/>
        </w:rPr>
      </w:pPr>
      <w:r w:rsidRPr="00B478F8">
        <w:rPr>
          <w:b/>
          <w:lang w:val="nb-NO"/>
        </w:rPr>
        <w:t>Vurdering av innsynskravet</w:t>
      </w:r>
    </w:p>
    <w:p w14:paraId="4247A623" w14:textId="77777777" w:rsidR="00B02085" w:rsidRDefault="00B02085" w:rsidP="00B02085">
      <w:pPr>
        <w:spacing w:after="0"/>
        <w:ind w:left="0" w:right="0"/>
        <w:rPr>
          <w:i/>
          <w:lang w:val="nn-NO"/>
        </w:rPr>
      </w:pPr>
      <w:r>
        <w:rPr>
          <w:lang w:val="nb-NO"/>
        </w:rPr>
        <w:t>Det følger av o</w:t>
      </w:r>
      <w:r w:rsidR="009E0702" w:rsidRPr="00B478F8">
        <w:rPr>
          <w:lang w:val="nb-NO"/>
        </w:rPr>
        <w:t xml:space="preserve">ffl. § 3 at </w:t>
      </w:r>
      <w:r w:rsidR="009E0702" w:rsidRPr="00B02085">
        <w:rPr>
          <w:i/>
          <w:lang w:val="nb-NO"/>
        </w:rPr>
        <w:t xml:space="preserve">"Saksdokument, journalar og liknande register for organet er opne for innsyn dersom ikkje anna følgjer av lov eller forskrift med heimel i lov. </w:t>
      </w:r>
      <w:r w:rsidR="009E0702" w:rsidRPr="00B02085">
        <w:rPr>
          <w:i/>
          <w:lang w:val="nn-NO"/>
        </w:rPr>
        <w:t>Alle kan krevje innsyn i saksdokument, journalar og liknande register til organet hos vedkommande organ"</w:t>
      </w:r>
      <w:r>
        <w:rPr>
          <w:i/>
          <w:lang w:val="nn-NO"/>
        </w:rPr>
        <w:t>.</w:t>
      </w:r>
    </w:p>
    <w:p w14:paraId="51BD6342" w14:textId="77777777" w:rsidR="00B02085" w:rsidRDefault="00B02085" w:rsidP="00B02085">
      <w:pPr>
        <w:spacing w:after="0"/>
        <w:ind w:left="0" w:right="0"/>
        <w:rPr>
          <w:i/>
          <w:lang w:val="nn-NO"/>
        </w:rPr>
      </w:pPr>
    </w:p>
    <w:p w14:paraId="6995ACF2" w14:textId="77777777" w:rsidR="009E0702" w:rsidRDefault="009E0702" w:rsidP="00B02085">
      <w:pPr>
        <w:spacing w:after="0"/>
        <w:ind w:left="0" w:right="0"/>
        <w:rPr>
          <w:lang w:val="nn-NO"/>
        </w:rPr>
      </w:pPr>
      <w:r>
        <w:rPr>
          <w:lang w:val="nn-NO"/>
        </w:rPr>
        <w:t xml:space="preserve">Hva som regnes som saksdokument følger av § 4: </w:t>
      </w:r>
      <w:r w:rsidRPr="00B02085">
        <w:rPr>
          <w:i/>
          <w:lang w:val="nn-NO"/>
        </w:rPr>
        <w:t>«Saksdokument for organet er dokument som er komne inn til eller lagde fram for eit organ, eller som organet sjølv har oppretta, og som gjeld ansvarsområdet eller verksemda til organet.»</w:t>
      </w:r>
      <w:r w:rsidR="00574F0A">
        <w:rPr>
          <w:lang w:val="nn-NO"/>
        </w:rPr>
        <w:t xml:space="preserve"> </w:t>
      </w:r>
      <w:r w:rsidR="00B02085">
        <w:rPr>
          <w:i/>
          <w:color w:val="A5A5A5" w:themeColor="accent3"/>
          <w:lang w:val="nn-NO"/>
        </w:rPr>
        <w:t>[</w:t>
      </w:r>
      <w:r w:rsidR="00574F0A" w:rsidRPr="00ED781A">
        <w:rPr>
          <w:i/>
          <w:color w:val="A5A5A5" w:themeColor="accent3"/>
          <w:lang w:val="nn-NO"/>
        </w:rPr>
        <w:t>Vurder også dersom aktuelt, § 9 om samanstilling av databaser</w:t>
      </w:r>
      <w:r w:rsidR="00B02085">
        <w:rPr>
          <w:i/>
          <w:color w:val="A5A5A5" w:themeColor="accent3"/>
          <w:lang w:val="nn-NO"/>
        </w:rPr>
        <w:t>]</w:t>
      </w:r>
      <w:r w:rsidRPr="00ED781A">
        <w:rPr>
          <w:color w:val="A5A5A5" w:themeColor="accent3"/>
          <w:lang w:val="nn-NO"/>
        </w:rPr>
        <w:br/>
      </w:r>
    </w:p>
    <w:p w14:paraId="2E18B52E" w14:textId="77777777" w:rsidR="00B02085" w:rsidRDefault="007E18C8" w:rsidP="009E0702">
      <w:pPr>
        <w:ind w:left="0"/>
        <w:rPr>
          <w:color w:val="A5A5A5" w:themeColor="accent3"/>
          <w:lang w:val="nn-NO"/>
        </w:rPr>
      </w:pPr>
      <w:r>
        <w:rPr>
          <w:lang w:val="nn-NO"/>
        </w:rPr>
        <w:t xml:space="preserve">Fra lovens hovedregel om innsyn kan det gjøres unntak på gitte vilkår </w:t>
      </w:r>
    </w:p>
    <w:p w14:paraId="04EB6375" w14:textId="77777777" w:rsidR="00B02085" w:rsidRPr="00B02085" w:rsidRDefault="007E18C8" w:rsidP="00B02085">
      <w:pPr>
        <w:pStyle w:val="Listeavsnitt"/>
        <w:numPr>
          <w:ilvl w:val="0"/>
          <w:numId w:val="4"/>
        </w:numPr>
        <w:rPr>
          <w:i/>
          <w:lang w:val="nn-NO"/>
        </w:rPr>
      </w:pPr>
      <w:r w:rsidRPr="00B02085">
        <w:rPr>
          <w:i/>
          <w:color w:val="A5A5A5" w:themeColor="accent3"/>
          <w:lang w:val="nn-NO"/>
        </w:rPr>
        <w:t xml:space="preserve"> § </w:t>
      </w:r>
      <w:r w:rsidR="002E7304" w:rsidRPr="00B02085">
        <w:rPr>
          <w:i/>
          <w:color w:val="A5A5A5" w:themeColor="accent3"/>
          <w:lang w:val="nn-NO"/>
        </w:rPr>
        <w:t xml:space="preserve">14 </w:t>
      </w:r>
      <w:r w:rsidRPr="00B02085">
        <w:rPr>
          <w:i/>
          <w:color w:val="A5A5A5" w:themeColor="accent3"/>
          <w:lang w:val="nn-NO"/>
        </w:rPr>
        <w:t>om interne dokumenter</w:t>
      </w:r>
    </w:p>
    <w:p w14:paraId="55532664" w14:textId="77777777" w:rsidR="00B02085" w:rsidRPr="00B02085" w:rsidRDefault="00574F0A" w:rsidP="00B02085">
      <w:pPr>
        <w:pStyle w:val="Listeavsnitt"/>
        <w:numPr>
          <w:ilvl w:val="0"/>
          <w:numId w:val="4"/>
        </w:numPr>
        <w:rPr>
          <w:i/>
          <w:color w:val="A5A5A5" w:themeColor="accent3"/>
          <w:lang w:val="nn-NO"/>
        </w:rPr>
      </w:pPr>
      <w:r w:rsidRPr="00B02085">
        <w:rPr>
          <w:i/>
          <w:color w:val="A5A5A5" w:themeColor="accent3"/>
          <w:lang w:val="nn-NO"/>
        </w:rPr>
        <w:t>§ 5 om utsatt innsyn</w:t>
      </w:r>
    </w:p>
    <w:p w14:paraId="71F4AE94" w14:textId="77777777" w:rsidR="00B02085" w:rsidRPr="00B02085" w:rsidRDefault="00526A8F" w:rsidP="00B02085">
      <w:pPr>
        <w:pStyle w:val="Listeavsnitt"/>
        <w:numPr>
          <w:ilvl w:val="0"/>
          <w:numId w:val="4"/>
        </w:numPr>
        <w:rPr>
          <w:i/>
          <w:lang w:val="nn-NO"/>
        </w:rPr>
      </w:pPr>
      <w:r w:rsidRPr="00B02085">
        <w:rPr>
          <w:i/>
          <w:color w:val="A5A5A5" w:themeColor="accent3"/>
          <w:lang w:val="nn-NO"/>
        </w:rPr>
        <w:t>§ 25 om tilsettingssaker</w:t>
      </w:r>
      <w:r w:rsidR="00574F0A" w:rsidRPr="00B02085">
        <w:rPr>
          <w:i/>
          <w:color w:val="A5A5A5" w:themeColor="accent3"/>
          <w:lang w:val="nn-NO"/>
        </w:rPr>
        <w:t xml:space="preserve"> </w:t>
      </w:r>
    </w:p>
    <w:p w14:paraId="52DA6551" w14:textId="77777777" w:rsidR="00B02085" w:rsidRPr="00B02085" w:rsidRDefault="00B02085" w:rsidP="00B02085">
      <w:pPr>
        <w:pStyle w:val="Listeavsnitt"/>
        <w:ind w:left="1080"/>
        <w:rPr>
          <w:lang w:val="nn-NO"/>
        </w:rPr>
      </w:pPr>
    </w:p>
    <w:p w14:paraId="1F6DB084" w14:textId="77777777" w:rsidR="007E18C8" w:rsidRPr="00B02085" w:rsidRDefault="007E18C8" w:rsidP="00B02085">
      <w:pPr>
        <w:rPr>
          <w:lang w:val="nn-NO"/>
        </w:rPr>
      </w:pPr>
      <w:r w:rsidRPr="00B02085">
        <w:rPr>
          <w:lang w:val="nn-NO"/>
        </w:rPr>
        <w:t xml:space="preserve">Der </w:t>
      </w:r>
      <w:r w:rsidR="00D53216" w:rsidRPr="00B02085">
        <w:rPr>
          <w:lang w:val="nn-NO"/>
        </w:rPr>
        <w:t xml:space="preserve">loven oppstiller en </w:t>
      </w:r>
      <w:r w:rsidRPr="00B02085">
        <w:rPr>
          <w:lang w:val="nn-NO"/>
        </w:rPr>
        <w:t xml:space="preserve">adgang til å gjøre unntak, </w:t>
      </w:r>
      <w:r w:rsidR="00D53216" w:rsidRPr="00B02085">
        <w:rPr>
          <w:lang w:val="nn-NO"/>
        </w:rPr>
        <w:t xml:space="preserve">skal forvaltningsorganet vurdere merinnsyn jf. § 11, dvs. behovet for unntak fra offentlighet må veies opp mot behovet for innsyn. </w:t>
      </w:r>
    </w:p>
    <w:p w14:paraId="4E19747F" w14:textId="77777777" w:rsidR="007E18C8" w:rsidRDefault="007E18C8" w:rsidP="009E0702">
      <w:pPr>
        <w:ind w:left="0"/>
        <w:rPr>
          <w:lang w:val="nn-NO"/>
        </w:rPr>
      </w:pPr>
    </w:p>
    <w:p w14:paraId="4196FCFC" w14:textId="77777777" w:rsidR="00ED781A" w:rsidRPr="00ED781A" w:rsidRDefault="00ED781A" w:rsidP="009E0702">
      <w:pPr>
        <w:ind w:left="0"/>
        <w:rPr>
          <w:i/>
          <w:color w:val="A5A5A5" w:themeColor="accent3"/>
          <w:lang w:val="nn-NO"/>
        </w:rPr>
      </w:pPr>
      <w:r w:rsidRPr="00ED781A">
        <w:rPr>
          <w:i/>
          <w:color w:val="A5A5A5" w:themeColor="accent3"/>
          <w:lang w:val="nn-NO"/>
        </w:rPr>
        <w:t>Dersom taushetsbelagte opplysninger</w:t>
      </w:r>
      <w:r>
        <w:rPr>
          <w:i/>
          <w:color w:val="A5A5A5" w:themeColor="accent3"/>
          <w:lang w:val="nn-NO"/>
        </w:rPr>
        <w:t>:</w:t>
      </w:r>
    </w:p>
    <w:p w14:paraId="58742903" w14:textId="77777777" w:rsidR="00ED781A" w:rsidRPr="00ED781A" w:rsidRDefault="009E0702" w:rsidP="009E0702">
      <w:pPr>
        <w:ind w:left="0"/>
        <w:rPr>
          <w:i/>
          <w:color w:val="A5A5A5" w:themeColor="accent3"/>
          <w:lang w:val="nb-NO"/>
        </w:rPr>
      </w:pPr>
      <w:r>
        <w:rPr>
          <w:lang w:val="nb-NO"/>
        </w:rPr>
        <w:t>Dokumenter som inneholder taushetsbelagte opplysninger, kan forvaltningsorganet ikke gi ut, jf. offl. § 13, jf. forvaltningsloven § 13</w:t>
      </w:r>
      <w:r w:rsidR="00D53216">
        <w:rPr>
          <w:lang w:val="nb-NO"/>
        </w:rPr>
        <w:t xml:space="preserve"> 1. ledd nr. 1 om noens personlige forhold /nr. 2 om forretningsforhold </w:t>
      </w:r>
      <w:r w:rsidR="00B02085">
        <w:rPr>
          <w:i/>
          <w:color w:val="A5A5A5" w:themeColor="accent3"/>
          <w:lang w:val="nb-NO"/>
        </w:rPr>
        <w:t>[</w:t>
      </w:r>
      <w:r w:rsidR="00D53216" w:rsidRPr="00ED781A">
        <w:rPr>
          <w:i/>
          <w:color w:val="A5A5A5" w:themeColor="accent3"/>
          <w:lang w:val="nb-NO"/>
        </w:rPr>
        <w:t>stryk det som ikke passer</w:t>
      </w:r>
      <w:r w:rsidR="00B02085">
        <w:rPr>
          <w:i/>
          <w:color w:val="A5A5A5" w:themeColor="accent3"/>
          <w:lang w:val="nb-NO"/>
        </w:rPr>
        <w:t xml:space="preserve">]. </w:t>
      </w:r>
      <w:r w:rsidRPr="00ED781A">
        <w:rPr>
          <w:color w:val="A5A5A5" w:themeColor="accent3"/>
          <w:lang w:val="nb-NO"/>
        </w:rPr>
        <w:t xml:space="preserve"> </w:t>
      </w:r>
      <w:r>
        <w:rPr>
          <w:lang w:val="nb-NO"/>
        </w:rPr>
        <w:t xml:space="preserve">Slike opplysninger er organet forpliktet til å fjerne/anonymisere. </w:t>
      </w:r>
      <w:r w:rsidR="00B02085" w:rsidRPr="00E4314B">
        <w:rPr>
          <w:i/>
          <w:color w:val="808080" w:themeColor="background1" w:themeShade="80"/>
          <w:lang w:val="nb-NO"/>
        </w:rPr>
        <w:t>[</w:t>
      </w:r>
      <w:r w:rsidR="00ED781A" w:rsidRPr="00E4314B">
        <w:rPr>
          <w:i/>
          <w:color w:val="A5A5A5" w:themeColor="accent3"/>
          <w:lang w:val="nb-NO"/>
        </w:rPr>
        <w:t>V</w:t>
      </w:r>
      <w:r w:rsidR="00ED781A" w:rsidRPr="00ED781A">
        <w:rPr>
          <w:i/>
          <w:color w:val="A5A5A5" w:themeColor="accent3"/>
          <w:lang w:val="nb-NO"/>
        </w:rPr>
        <w:t xml:space="preserve">urder også om § 12 kan komme til anvendelse, enten </w:t>
      </w:r>
      <w:r w:rsidR="00B02085">
        <w:rPr>
          <w:i/>
          <w:color w:val="A5A5A5" w:themeColor="accent3"/>
          <w:lang w:val="nb-NO"/>
        </w:rPr>
        <w:t>bokstav</w:t>
      </w:r>
      <w:r w:rsidR="00ED781A" w:rsidRPr="00ED781A">
        <w:rPr>
          <w:i/>
          <w:color w:val="A5A5A5" w:themeColor="accent3"/>
          <w:lang w:val="nb-NO"/>
        </w:rPr>
        <w:t xml:space="preserve"> a, b, eller c, i så fall kan hele dokumentet unntas. Må angi nøyaktig aktuell bestemmelse</w:t>
      </w:r>
      <w:r w:rsidR="00E4314B">
        <w:rPr>
          <w:i/>
          <w:color w:val="A5A5A5" w:themeColor="accent3"/>
          <w:lang w:val="nb-NO"/>
        </w:rPr>
        <w:t>].</w:t>
      </w:r>
    </w:p>
    <w:p w14:paraId="7B562D48" w14:textId="77777777" w:rsidR="007E18C8" w:rsidRDefault="00ED781A" w:rsidP="009E0702">
      <w:pPr>
        <w:ind w:left="0"/>
        <w:rPr>
          <w:lang w:val="nb-NO"/>
        </w:rPr>
      </w:pPr>
      <w:r>
        <w:rPr>
          <w:lang w:val="nb-NO"/>
        </w:rPr>
        <w:t xml:space="preserve"> </w:t>
      </w:r>
    </w:p>
    <w:p w14:paraId="34141127" w14:textId="77777777" w:rsidR="00E4314B" w:rsidRDefault="00E4314B" w:rsidP="009E0702">
      <w:pPr>
        <w:ind w:left="0"/>
        <w:rPr>
          <w:lang w:val="nb-NO"/>
        </w:rPr>
      </w:pPr>
    </w:p>
    <w:p w14:paraId="00E2D186" w14:textId="77777777" w:rsidR="00E4314B" w:rsidRDefault="00E4314B" w:rsidP="009E0702">
      <w:pPr>
        <w:ind w:left="0"/>
        <w:rPr>
          <w:lang w:val="nb-NO"/>
        </w:rPr>
      </w:pPr>
    </w:p>
    <w:p w14:paraId="188CB8AE" w14:textId="77777777" w:rsidR="00E4314B" w:rsidRDefault="00E4314B" w:rsidP="009E0702">
      <w:pPr>
        <w:ind w:left="0"/>
        <w:rPr>
          <w:lang w:val="nb-NO"/>
        </w:rPr>
      </w:pPr>
    </w:p>
    <w:p w14:paraId="6995AB20" w14:textId="77777777" w:rsidR="00ED781A" w:rsidRDefault="00D53216" w:rsidP="009E0702">
      <w:pPr>
        <w:ind w:left="0"/>
        <w:rPr>
          <w:color w:val="A5A5A5" w:themeColor="accent3"/>
          <w:lang w:val="nb-NO"/>
        </w:rPr>
      </w:pPr>
      <w:r>
        <w:rPr>
          <w:lang w:val="nb-NO"/>
        </w:rPr>
        <w:lastRenderedPageBreak/>
        <w:t>I dette tilfellet, har NTNU v/</w:t>
      </w:r>
      <w:r w:rsidR="00E4314B">
        <w:rPr>
          <w:i/>
          <w:color w:val="A5A5A5" w:themeColor="accent3"/>
          <w:lang w:val="nb-NO"/>
        </w:rPr>
        <w:t>[</w:t>
      </w:r>
      <w:r w:rsidRPr="00ED781A">
        <w:rPr>
          <w:i/>
          <w:color w:val="A5A5A5" w:themeColor="accent3"/>
          <w:lang w:val="nb-NO"/>
        </w:rPr>
        <w:t>enhet</w:t>
      </w:r>
      <w:r w:rsidR="00E4314B">
        <w:rPr>
          <w:i/>
          <w:color w:val="A5A5A5" w:themeColor="accent3"/>
          <w:lang w:val="nb-NO"/>
        </w:rPr>
        <w:t xml:space="preserve">] </w:t>
      </w:r>
      <w:r>
        <w:rPr>
          <w:lang w:val="nb-NO"/>
        </w:rPr>
        <w:t xml:space="preserve">vurdert at innsyn kan gis </w:t>
      </w:r>
      <w:r w:rsidR="00E4314B">
        <w:rPr>
          <w:i/>
          <w:color w:val="A5A5A5" w:themeColor="accent3"/>
          <w:lang w:val="nb-NO"/>
        </w:rPr>
        <w:t>[</w:t>
      </w:r>
      <w:r w:rsidRPr="00ED781A">
        <w:rPr>
          <w:i/>
          <w:color w:val="A5A5A5" w:themeColor="accent3"/>
          <w:lang w:val="nb-NO"/>
        </w:rPr>
        <w:t>helt eller delvis</w:t>
      </w:r>
      <w:r w:rsidR="00E4314B">
        <w:rPr>
          <w:i/>
          <w:color w:val="A5A5A5" w:themeColor="accent3"/>
          <w:lang w:val="nb-NO"/>
        </w:rPr>
        <w:t>]</w:t>
      </w:r>
      <w:r w:rsidRPr="00ED781A">
        <w:rPr>
          <w:color w:val="A5A5A5" w:themeColor="accent3"/>
          <w:lang w:val="nb-NO"/>
        </w:rPr>
        <w:t xml:space="preserve">. </w:t>
      </w:r>
    </w:p>
    <w:p w14:paraId="2DD2CDA5" w14:textId="77777777" w:rsidR="00ED781A" w:rsidRDefault="00ED781A" w:rsidP="009E0702">
      <w:pPr>
        <w:ind w:left="0"/>
        <w:rPr>
          <w:color w:val="A5A5A5" w:themeColor="accent3"/>
          <w:lang w:val="nb-NO"/>
        </w:rPr>
      </w:pPr>
    </w:p>
    <w:p w14:paraId="0B27FB07" w14:textId="77777777" w:rsidR="007E18C8" w:rsidRPr="00ED781A" w:rsidRDefault="00D53216" w:rsidP="009E0702">
      <w:pPr>
        <w:ind w:left="0"/>
        <w:rPr>
          <w:i/>
          <w:color w:val="A5A5A5" w:themeColor="accent3"/>
          <w:lang w:val="nb-NO"/>
        </w:rPr>
      </w:pPr>
      <w:r w:rsidRPr="00ED781A">
        <w:rPr>
          <w:i/>
          <w:color w:val="A5A5A5" w:themeColor="accent3"/>
          <w:lang w:val="nb-NO"/>
        </w:rPr>
        <w:t xml:space="preserve">Begrunnelse </w:t>
      </w:r>
      <w:r w:rsidR="00E4314B">
        <w:rPr>
          <w:i/>
          <w:color w:val="A5A5A5" w:themeColor="accent3"/>
          <w:lang w:val="nb-NO"/>
        </w:rPr>
        <w:t>[</w:t>
      </w:r>
      <w:r w:rsidRPr="00ED781A">
        <w:rPr>
          <w:i/>
          <w:color w:val="A5A5A5" w:themeColor="accent3"/>
          <w:lang w:val="nb-NO"/>
        </w:rPr>
        <w:t>faktisk og rettslig</w:t>
      </w:r>
      <w:r w:rsidR="00E4314B">
        <w:rPr>
          <w:i/>
          <w:color w:val="A5A5A5" w:themeColor="accent3"/>
          <w:lang w:val="nb-NO"/>
        </w:rPr>
        <w:t>]</w:t>
      </w:r>
    </w:p>
    <w:p w14:paraId="17D5E4FB" w14:textId="77777777" w:rsidR="007E18C8" w:rsidRPr="00FC69FC" w:rsidRDefault="007E18C8" w:rsidP="009E0702">
      <w:pPr>
        <w:ind w:left="0"/>
        <w:rPr>
          <w:lang w:val="nb-NO"/>
        </w:rPr>
      </w:pPr>
    </w:p>
    <w:p w14:paraId="03BE35D2" w14:textId="77777777" w:rsidR="009E0702" w:rsidRPr="00FC69FC" w:rsidRDefault="009E0702" w:rsidP="009E0702">
      <w:pPr>
        <w:ind w:left="0"/>
        <w:rPr>
          <w:lang w:val="nb-NO"/>
        </w:rPr>
      </w:pPr>
    </w:p>
    <w:p w14:paraId="33237B74" w14:textId="77777777" w:rsidR="009E0702" w:rsidRPr="00B478F8" w:rsidRDefault="009E0702" w:rsidP="009E0702">
      <w:pPr>
        <w:spacing w:line="360" w:lineRule="auto"/>
        <w:ind w:left="0"/>
        <w:rPr>
          <w:b/>
          <w:lang w:val="nb-NO"/>
        </w:rPr>
      </w:pPr>
      <w:r>
        <w:rPr>
          <w:b/>
          <w:lang w:val="nb-NO"/>
        </w:rPr>
        <w:t>Vedtak</w:t>
      </w:r>
    </w:p>
    <w:p w14:paraId="7343D386" w14:textId="77777777" w:rsidR="00E4314B" w:rsidRDefault="009E0702" w:rsidP="009E0702">
      <w:pPr>
        <w:ind w:left="0"/>
        <w:rPr>
          <w:lang w:val="nb-NO"/>
        </w:rPr>
      </w:pPr>
      <w:r>
        <w:rPr>
          <w:lang w:val="nb-NO"/>
        </w:rPr>
        <w:t>NTNU v/</w:t>
      </w:r>
      <w:r w:rsidR="00E4314B">
        <w:rPr>
          <w:lang w:val="nb-NO"/>
        </w:rPr>
        <w:t xml:space="preserve">               </w:t>
      </w:r>
      <w:r>
        <w:rPr>
          <w:lang w:val="nb-NO"/>
        </w:rPr>
        <w:t xml:space="preserve">gir med dette (delvis) innsyn </w:t>
      </w:r>
      <w:r w:rsidR="00E4314B">
        <w:rPr>
          <w:lang w:val="nb-NO"/>
        </w:rPr>
        <w:t xml:space="preserve">i           </w:t>
      </w:r>
      <w:r>
        <w:rPr>
          <w:lang w:val="nb-NO"/>
        </w:rPr>
        <w:t xml:space="preserve">/avslag på innsynskravet </w:t>
      </w:r>
      <w:r w:rsidR="00E4314B">
        <w:rPr>
          <w:lang w:val="nb-NO"/>
        </w:rPr>
        <w:t>da</w:t>
      </w:r>
    </w:p>
    <w:p w14:paraId="0C16B957" w14:textId="77777777" w:rsidR="00E4314B" w:rsidRDefault="00E4314B" w:rsidP="009E0702">
      <w:pPr>
        <w:ind w:left="0"/>
        <w:rPr>
          <w:lang w:val="nb-NO"/>
        </w:rPr>
      </w:pPr>
    </w:p>
    <w:p w14:paraId="5ED0E33E" w14:textId="77777777" w:rsidR="009E0702" w:rsidRPr="00E4314B" w:rsidRDefault="009E0702" w:rsidP="009E0702">
      <w:pPr>
        <w:ind w:left="0"/>
        <w:rPr>
          <w:i/>
          <w:lang w:val="nb-NO"/>
        </w:rPr>
      </w:pPr>
      <w:r>
        <w:rPr>
          <w:lang w:val="nb-NO"/>
        </w:rPr>
        <w:t xml:space="preserve">, jf. offl. § 31, jf. </w:t>
      </w:r>
      <w:r w:rsidRPr="002E7304">
        <w:rPr>
          <w:color w:val="A5A5A5" w:themeColor="accent3"/>
          <w:lang w:val="nb-NO"/>
        </w:rPr>
        <w:t>§</w:t>
      </w:r>
      <w:r w:rsidR="00E4314B">
        <w:rPr>
          <w:color w:val="A5A5A5" w:themeColor="accent3"/>
          <w:lang w:val="nb-NO"/>
        </w:rPr>
        <w:t xml:space="preserve">     </w:t>
      </w:r>
      <w:r w:rsidR="00ED781A" w:rsidRPr="002E7304">
        <w:rPr>
          <w:color w:val="A5A5A5" w:themeColor="accent3"/>
          <w:lang w:val="nb-NO"/>
        </w:rPr>
        <w:t>/ledd, bokstav/ punktum</w:t>
      </w:r>
      <w:r w:rsidR="002E7304">
        <w:rPr>
          <w:color w:val="A5A5A5" w:themeColor="accent3"/>
          <w:lang w:val="nb-NO"/>
        </w:rPr>
        <w:t xml:space="preserve"> </w:t>
      </w:r>
      <w:r w:rsidR="00E4314B">
        <w:rPr>
          <w:color w:val="A5A5A5" w:themeColor="accent3"/>
          <w:lang w:val="nb-NO"/>
        </w:rPr>
        <w:t>[</w:t>
      </w:r>
      <w:r w:rsidR="002E7304" w:rsidRPr="00E4314B">
        <w:rPr>
          <w:i/>
          <w:color w:val="A5A5A5" w:themeColor="accent3"/>
          <w:lang w:val="nb-NO"/>
        </w:rPr>
        <w:t xml:space="preserve">Nøyaktig </w:t>
      </w:r>
      <w:r w:rsidR="00E4314B" w:rsidRPr="00E4314B">
        <w:rPr>
          <w:i/>
          <w:color w:val="A5A5A5" w:themeColor="accent3"/>
          <w:lang w:val="nb-NO"/>
        </w:rPr>
        <w:t>lovhenvisning</w:t>
      </w:r>
      <w:r w:rsidR="002E7304" w:rsidRPr="00E4314B">
        <w:rPr>
          <w:i/>
          <w:color w:val="A5A5A5" w:themeColor="accent3"/>
          <w:lang w:val="nb-NO"/>
        </w:rPr>
        <w:t xml:space="preserve"> må angis; f.eks. «jf. offl. § 13, jf. fvl.</w:t>
      </w:r>
      <w:r w:rsidR="00E4314B" w:rsidRPr="00E4314B">
        <w:rPr>
          <w:i/>
          <w:color w:val="A5A5A5" w:themeColor="accent3"/>
          <w:lang w:val="nb-NO"/>
        </w:rPr>
        <w:t xml:space="preserve"> </w:t>
      </w:r>
      <w:r w:rsidR="002E7304" w:rsidRPr="00E4314B">
        <w:rPr>
          <w:i/>
          <w:color w:val="A5A5A5" w:themeColor="accent3"/>
          <w:lang w:val="nb-NO"/>
        </w:rPr>
        <w:t>§13 første ledd nr. 1»</w:t>
      </w:r>
      <w:r w:rsidR="00E4314B" w:rsidRPr="00E4314B">
        <w:rPr>
          <w:i/>
          <w:color w:val="A5A5A5" w:themeColor="accent3"/>
          <w:lang w:val="nb-NO"/>
        </w:rPr>
        <w:t>]</w:t>
      </w:r>
    </w:p>
    <w:p w14:paraId="0EAABAE9" w14:textId="77777777" w:rsidR="009E0702" w:rsidRDefault="009E0702" w:rsidP="009E0702">
      <w:pPr>
        <w:ind w:left="0"/>
        <w:rPr>
          <w:lang w:val="nb-NO"/>
        </w:rPr>
      </w:pPr>
    </w:p>
    <w:p w14:paraId="46D13A03" w14:textId="77777777" w:rsidR="009E0702" w:rsidRDefault="009E0702" w:rsidP="009E0702">
      <w:pPr>
        <w:ind w:left="0"/>
        <w:rPr>
          <w:lang w:val="nb-NO"/>
        </w:rPr>
      </w:pPr>
      <w:r>
        <w:rPr>
          <w:lang w:val="nb-NO"/>
        </w:rPr>
        <w:t xml:space="preserve">Vedtaket kan påklages innen tre uker fra dette brevet er mottatt, jfr. offl. §32, jf. forvaltningsloven </w:t>
      </w:r>
      <w:r w:rsidR="00E4314B">
        <w:rPr>
          <w:lang w:val="nb-NO"/>
        </w:rPr>
        <w:t xml:space="preserve">   </w:t>
      </w:r>
      <w:r>
        <w:rPr>
          <w:lang w:val="nb-NO"/>
        </w:rPr>
        <w:t>§ 29 første ledd.</w:t>
      </w:r>
    </w:p>
    <w:p w14:paraId="63AB55DC" w14:textId="77777777" w:rsidR="009E0702" w:rsidRDefault="009E0702" w:rsidP="009E0702">
      <w:pPr>
        <w:ind w:left="0"/>
        <w:rPr>
          <w:lang w:val="nb-NO"/>
        </w:rPr>
      </w:pPr>
    </w:p>
    <w:p w14:paraId="3F09D1C8" w14:textId="20694D78" w:rsidR="00C65E35" w:rsidRDefault="00F30CC1" w:rsidP="00C65E35">
      <w:pPr>
        <w:ind w:left="0"/>
        <w:rPr>
          <w:lang w:val="nb-NO"/>
        </w:rPr>
      </w:pPr>
      <w:r>
        <w:rPr>
          <w:lang w:val="nb-NO"/>
        </w:rPr>
        <w:t>Det er D</w:t>
      </w:r>
      <w:r w:rsidRPr="00F30CC1">
        <w:rPr>
          <w:lang w:val="nb-NO"/>
        </w:rPr>
        <w:t>irektorat</w:t>
      </w:r>
      <w:r>
        <w:rPr>
          <w:lang w:val="nb-NO"/>
        </w:rPr>
        <w:t xml:space="preserve">et </w:t>
      </w:r>
      <w:r w:rsidRPr="00F30CC1">
        <w:rPr>
          <w:lang w:val="nb-NO"/>
        </w:rPr>
        <w:t>for høyere utdanning og kompetanse</w:t>
      </w:r>
      <w:r>
        <w:rPr>
          <w:lang w:val="nb-NO"/>
        </w:rPr>
        <w:t xml:space="preserve"> (HK- dir.)</w:t>
      </w:r>
      <w:r w:rsidRPr="00F30CC1">
        <w:rPr>
          <w:lang w:val="nb-NO"/>
        </w:rPr>
        <w:t xml:space="preserve">, </w:t>
      </w:r>
      <w:r>
        <w:rPr>
          <w:lang w:val="nb-NO"/>
        </w:rPr>
        <w:t xml:space="preserve">som </w:t>
      </w:r>
      <w:r w:rsidR="008E4341">
        <w:rPr>
          <w:lang w:val="nb-NO"/>
        </w:rPr>
        <w:t xml:space="preserve">er klageinstans på </w:t>
      </w:r>
      <w:r w:rsidR="00F04E5E" w:rsidRPr="00F04E5E">
        <w:rPr>
          <w:lang w:val="nb-NO"/>
        </w:rPr>
        <w:t>avslag på krav om innsyn etter offentleglova</w:t>
      </w:r>
      <w:r w:rsidR="008E4341">
        <w:rPr>
          <w:lang w:val="nb-NO"/>
        </w:rPr>
        <w:t xml:space="preserve">. </w:t>
      </w:r>
      <w:r w:rsidR="00C65E35">
        <w:rPr>
          <w:lang w:val="nb-NO"/>
        </w:rPr>
        <w:t>Klagen skal</w:t>
      </w:r>
      <w:r w:rsidR="00321CE5">
        <w:rPr>
          <w:lang w:val="nb-NO"/>
        </w:rPr>
        <w:t xml:space="preserve"> </w:t>
      </w:r>
      <w:r w:rsidR="00C65E35">
        <w:rPr>
          <w:lang w:val="nb-NO"/>
        </w:rPr>
        <w:t>sendes til NTNU</w:t>
      </w:r>
      <w:r w:rsidR="001F75E8">
        <w:rPr>
          <w:lang w:val="nb-NO"/>
        </w:rPr>
        <w:t xml:space="preserve">, som vil </w:t>
      </w:r>
      <w:r w:rsidR="00101D7E">
        <w:rPr>
          <w:lang w:val="nb-NO"/>
        </w:rPr>
        <w:t xml:space="preserve">forberede og </w:t>
      </w:r>
      <w:r w:rsidR="001F75E8">
        <w:rPr>
          <w:lang w:val="nb-NO"/>
        </w:rPr>
        <w:t xml:space="preserve">oversende klagen til </w:t>
      </w:r>
      <w:r>
        <w:rPr>
          <w:lang w:val="nb-NO"/>
        </w:rPr>
        <w:t>HK-dir</w:t>
      </w:r>
      <w:r w:rsidR="001F75E8">
        <w:rPr>
          <w:lang w:val="nb-NO"/>
        </w:rPr>
        <w:t>.</w:t>
      </w:r>
    </w:p>
    <w:p w14:paraId="76C1BEF8" w14:textId="77777777" w:rsidR="001F75E8" w:rsidRDefault="001F75E8" w:rsidP="009E0702">
      <w:pPr>
        <w:ind w:left="0"/>
        <w:rPr>
          <w:lang w:val="nb-NO"/>
        </w:rPr>
      </w:pPr>
    </w:p>
    <w:p w14:paraId="01C81DB8" w14:textId="77777777" w:rsidR="001F75E8" w:rsidRDefault="001F75E8" w:rsidP="009E0702">
      <w:pPr>
        <w:ind w:left="0"/>
        <w:rPr>
          <w:lang w:val="nb-NO"/>
        </w:rPr>
      </w:pPr>
    </w:p>
    <w:p w14:paraId="7528C56D" w14:textId="77777777" w:rsidR="009E0702" w:rsidRPr="00ED781A" w:rsidRDefault="009E0702" w:rsidP="009E0702">
      <w:pPr>
        <w:ind w:left="0"/>
        <w:rPr>
          <w:i/>
          <w:color w:val="44546A" w:themeColor="text2"/>
          <w:lang w:val="nb-NO"/>
        </w:rPr>
      </w:pPr>
      <w:r w:rsidRPr="00612F7A">
        <w:rPr>
          <w:lang w:val="nb-NO"/>
        </w:rPr>
        <w:t xml:space="preserve">Med hilsen </w:t>
      </w:r>
    </w:p>
    <w:p w14:paraId="382ADF89" w14:textId="77777777" w:rsidR="009E0702" w:rsidRPr="00ED781A" w:rsidRDefault="009E0702" w:rsidP="009E0702">
      <w:pPr>
        <w:ind w:left="0"/>
        <w:rPr>
          <w:i/>
          <w:color w:val="44546A" w:themeColor="text2"/>
          <w:lang w:val="nb-NO"/>
        </w:rPr>
      </w:pPr>
    </w:p>
    <w:p w14:paraId="5FCE5BC4" w14:textId="77777777" w:rsidR="009E0702" w:rsidRPr="00ED781A" w:rsidRDefault="00E4314B" w:rsidP="009E0702">
      <w:pPr>
        <w:ind w:left="0"/>
        <w:rPr>
          <w:i/>
          <w:color w:val="A5A5A5" w:themeColor="accent3"/>
          <w:lang w:val="nb-NO"/>
        </w:rPr>
      </w:pPr>
      <w:r>
        <w:rPr>
          <w:i/>
          <w:color w:val="A5A5A5" w:themeColor="accent3"/>
          <w:lang w:val="nb-NO"/>
        </w:rPr>
        <w:t>[</w:t>
      </w:r>
      <w:r w:rsidR="00ED781A" w:rsidRPr="00ED781A">
        <w:rPr>
          <w:i/>
          <w:color w:val="A5A5A5" w:themeColor="accent3"/>
          <w:lang w:val="nb-NO"/>
        </w:rPr>
        <w:t>ved klagebehandling bør dekan/avdelingsleder underskrive</w:t>
      </w:r>
      <w:r>
        <w:rPr>
          <w:i/>
          <w:color w:val="A5A5A5" w:themeColor="accent3"/>
          <w:lang w:val="nb-NO"/>
        </w:rPr>
        <w:t>]</w:t>
      </w:r>
    </w:p>
    <w:p w14:paraId="0AA3559C" w14:textId="77777777" w:rsidR="009E0702" w:rsidRPr="00E605E2" w:rsidRDefault="009E0702" w:rsidP="009E0702">
      <w:pPr>
        <w:tabs>
          <w:tab w:val="left" w:pos="6096"/>
        </w:tabs>
        <w:ind w:left="0"/>
        <w:rPr>
          <w:lang w:val="nb-NO"/>
        </w:rPr>
      </w:pPr>
      <w:bookmarkStart w:id="8" w:name="Vedlegg"/>
      <w:bookmarkEnd w:id="8"/>
      <w:r>
        <w:rPr>
          <w:lang w:val="nb-NO"/>
        </w:rPr>
        <w:tab/>
      </w:r>
    </w:p>
    <w:p w14:paraId="3717E843" w14:textId="77777777" w:rsidR="009E0702" w:rsidRPr="003A1EC7" w:rsidRDefault="009E0702" w:rsidP="009E0702">
      <w:pPr>
        <w:ind w:left="0"/>
        <w:rPr>
          <w:i/>
          <w:sz w:val="18"/>
          <w:szCs w:val="18"/>
          <w:lang w:val="nb-NO"/>
        </w:rPr>
      </w:pPr>
      <w:r w:rsidRPr="003A1EC7">
        <w:rPr>
          <w:i/>
          <w:sz w:val="18"/>
          <w:szCs w:val="18"/>
          <w:lang w:val="nb-NO"/>
        </w:rPr>
        <w:t>Dette dokumentet er godkjent elektronisk og har derfor ingen signatur.</w:t>
      </w:r>
    </w:p>
    <w:p w14:paraId="2B361AB9" w14:textId="77777777" w:rsidR="004935EE" w:rsidRDefault="004935EE" w:rsidP="009E0702">
      <w:pPr>
        <w:ind w:left="0"/>
        <w:rPr>
          <w:lang w:val="nb-NO"/>
        </w:rPr>
      </w:pPr>
    </w:p>
    <w:p w14:paraId="55ABF084" w14:textId="77777777" w:rsidR="004935EE" w:rsidRDefault="004935EE" w:rsidP="009E0702">
      <w:pPr>
        <w:ind w:left="0"/>
        <w:rPr>
          <w:lang w:val="nb-NO"/>
        </w:rPr>
      </w:pPr>
    </w:p>
    <w:p w14:paraId="4036D278" w14:textId="77777777" w:rsidR="004935EE" w:rsidRDefault="004935EE" w:rsidP="004935EE">
      <w:pPr>
        <w:ind w:left="0"/>
        <w:rPr>
          <w:lang w:val="nb-NO"/>
        </w:rPr>
      </w:pPr>
    </w:p>
    <w:p w14:paraId="12350942" w14:textId="77777777" w:rsidR="004935EE" w:rsidRDefault="004935EE" w:rsidP="004935EE">
      <w:pPr>
        <w:ind w:left="0"/>
        <w:rPr>
          <w:lang w:val="nb-NO"/>
        </w:rPr>
      </w:pPr>
    </w:p>
    <w:p w14:paraId="17B0DD48" w14:textId="77777777" w:rsidR="004935EE" w:rsidRDefault="004935EE" w:rsidP="004935EE">
      <w:pPr>
        <w:ind w:left="0"/>
        <w:rPr>
          <w:lang w:val="nb-NO"/>
        </w:rPr>
      </w:pPr>
    </w:p>
    <w:p w14:paraId="7725BE63" w14:textId="77777777" w:rsidR="004935EE" w:rsidRDefault="004935EE" w:rsidP="004935EE">
      <w:pPr>
        <w:ind w:left="0"/>
        <w:rPr>
          <w:lang w:val="nn-NO"/>
        </w:rPr>
      </w:pPr>
    </w:p>
    <w:p w14:paraId="7E05D4BF" w14:textId="77777777" w:rsidR="004935EE" w:rsidRDefault="004935EE" w:rsidP="004935EE">
      <w:pPr>
        <w:ind w:left="0"/>
        <w:rPr>
          <w:lang w:val="nb-NO"/>
        </w:rPr>
      </w:pPr>
      <w:r>
        <w:rPr>
          <w:lang w:val="nn-NO"/>
        </w:rPr>
        <w:t>Vedlegg:</w:t>
      </w:r>
    </w:p>
    <w:p w14:paraId="40BF9C19" w14:textId="77777777" w:rsidR="004935EE" w:rsidRDefault="004935EE" w:rsidP="004935EE">
      <w:pPr>
        <w:ind w:left="0"/>
        <w:rPr>
          <w:lang w:val="nb-NO"/>
        </w:rPr>
      </w:pPr>
      <w:r>
        <w:rPr>
          <w:lang w:val="nb-NO"/>
        </w:rPr>
        <w:t>Kopi:</w:t>
      </w:r>
    </w:p>
    <w:p w14:paraId="11D4368A" w14:textId="77777777" w:rsidR="004935EE" w:rsidRDefault="004935EE" w:rsidP="009E0702">
      <w:pPr>
        <w:ind w:left="0"/>
        <w:rPr>
          <w:lang w:val="nb-NO"/>
        </w:rPr>
      </w:pPr>
    </w:p>
    <w:p w14:paraId="153CFC3D" w14:textId="77777777" w:rsidR="009E0702" w:rsidRPr="00612F7A" w:rsidRDefault="009E0702" w:rsidP="009E0702">
      <w:pPr>
        <w:ind w:left="0"/>
        <w:rPr>
          <w:lang w:val="nb-NO"/>
        </w:rPr>
      </w:pPr>
    </w:p>
    <w:p w14:paraId="5FA57B29" w14:textId="77777777" w:rsidR="00F613B0" w:rsidRPr="009E0702" w:rsidRDefault="00A80DFC" w:rsidP="005C6106">
      <w:pPr>
        <w:ind w:left="0"/>
        <w:rPr>
          <w:lang w:val="nn-NO"/>
        </w:rPr>
      </w:pPr>
    </w:p>
    <w:sectPr w:rsidR="00F613B0" w:rsidRPr="009E0702" w:rsidSect="009E0702">
      <w:headerReference w:type="default" r:id="rId7"/>
      <w:headerReference w:type="first" r:id="rId8"/>
      <w:footerReference w:type="first" r:id="rId9"/>
      <w:pgSz w:w="11906" w:h="16838" w:code="9"/>
      <w:pgMar w:top="2098" w:right="1026" w:bottom="1259" w:left="1049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F787" w14:textId="77777777" w:rsidR="009E0702" w:rsidRDefault="009E0702" w:rsidP="009E0702">
      <w:pPr>
        <w:spacing w:after="0"/>
      </w:pPr>
      <w:r>
        <w:separator/>
      </w:r>
    </w:p>
  </w:endnote>
  <w:endnote w:type="continuationSeparator" w:id="0">
    <w:p w14:paraId="39FAC0A2" w14:textId="77777777" w:rsidR="009E0702" w:rsidRDefault="009E0702" w:rsidP="009E0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FF6" w14:textId="77777777" w:rsidR="00347F2B" w:rsidRDefault="00A80DFC" w:rsidP="00347F2B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347F2B" w:rsidRPr="00B0093B" w14:paraId="37416998" w14:textId="77777777" w:rsidTr="00B0093B">
      <w:tc>
        <w:tcPr>
          <w:tcW w:w="1914" w:type="dxa"/>
          <w:shd w:val="clear" w:color="auto" w:fill="auto"/>
        </w:tcPr>
        <w:p w14:paraId="59972299" w14:textId="77777777" w:rsidR="00347F2B" w:rsidRPr="00347F2B" w:rsidRDefault="00526A8F" w:rsidP="000B74D5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14:paraId="16172672" w14:textId="77777777" w:rsidR="00347F2B" w:rsidRPr="00347F2B" w:rsidRDefault="00526A8F" w:rsidP="000B74D5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14:paraId="112A953F" w14:textId="77777777" w:rsidR="00347F2B" w:rsidRPr="00347F2B" w:rsidRDefault="00526A8F" w:rsidP="000B74D5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14:paraId="29AC3D59" w14:textId="77777777" w:rsidR="00347F2B" w:rsidRPr="00347F2B" w:rsidRDefault="00526A8F" w:rsidP="000B74D5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14:paraId="4FBA404B" w14:textId="77777777" w:rsidR="00347F2B" w:rsidRPr="00B0093B" w:rsidRDefault="00526A8F" w:rsidP="000B74D5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973A6A" w:rsidRPr="00347F2B" w14:paraId="487D71BB" w14:textId="77777777" w:rsidTr="00B0093B">
      <w:tc>
        <w:tcPr>
          <w:tcW w:w="1914" w:type="dxa"/>
          <w:vMerge w:val="restart"/>
          <w:shd w:val="clear" w:color="auto" w:fill="auto"/>
        </w:tcPr>
        <w:p w14:paraId="637CB8B8" w14:textId="77777777" w:rsidR="00973A6A" w:rsidRDefault="00A80DFC" w:rsidP="00B0093B">
          <w:pPr>
            <w:pStyle w:val="FooterTekst"/>
            <w:ind w:left="0"/>
          </w:pPr>
          <w:bookmarkStart w:id="12" w:name="ADMPOSTADRESSE"/>
          <w:bookmarkEnd w:id="12"/>
        </w:p>
        <w:p w14:paraId="42C75624" w14:textId="77777777" w:rsidR="00973A6A" w:rsidRPr="00347F2B" w:rsidRDefault="00526A8F" w:rsidP="00B0093B">
          <w:pPr>
            <w:pStyle w:val="FooterTekst"/>
            <w:ind w:left="0"/>
          </w:pPr>
          <w:bookmarkStart w:id="13" w:name="ADMPOSTNR"/>
          <w:r>
            <w:t>7491</w:t>
          </w:r>
          <w:bookmarkEnd w:id="13"/>
          <w:r>
            <w:t xml:space="preserve"> </w:t>
          </w:r>
          <w:bookmarkStart w:id="14" w:name="ADMPOSTSTED"/>
          <w:r>
            <w:t>TRONDHEIM</w:t>
          </w:r>
          <w:bookmarkEnd w:id="14"/>
        </w:p>
      </w:tc>
      <w:tc>
        <w:tcPr>
          <w:tcW w:w="2222" w:type="dxa"/>
          <w:shd w:val="clear" w:color="auto" w:fill="auto"/>
        </w:tcPr>
        <w:p w14:paraId="7440811C" w14:textId="77777777" w:rsidR="00973A6A" w:rsidRPr="00347F2B" w:rsidRDefault="00526A8F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14:paraId="69A60DCC" w14:textId="77777777" w:rsidR="00973A6A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  <w:p w14:paraId="226C4A6A" w14:textId="77777777" w:rsidR="00B02085" w:rsidRPr="00347F2B" w:rsidRDefault="00B02085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14:paraId="2F6F8F4A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947" w:type="dxa"/>
          <w:vMerge w:val="restart"/>
          <w:shd w:val="clear" w:color="auto" w:fill="auto"/>
        </w:tcPr>
        <w:p w14:paraId="65D8C7FF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973A6A" w:rsidRPr="00347F2B" w14:paraId="23D90509" w14:textId="77777777" w:rsidTr="00B0093B">
      <w:tc>
        <w:tcPr>
          <w:tcW w:w="1914" w:type="dxa"/>
          <w:vMerge/>
          <w:shd w:val="clear" w:color="auto" w:fill="auto"/>
        </w:tcPr>
        <w:p w14:paraId="0F80E296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14:paraId="5E814B30" w14:textId="77777777" w:rsidR="00973A6A" w:rsidRPr="00347F2B" w:rsidRDefault="00526A8F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ADMEMAILADRESSE"/>
          <w:r>
            <w:t>postmottak@</w:t>
          </w:r>
          <w:bookmarkEnd w:id="15"/>
          <w:r w:rsidR="009E0702">
            <w:t>ntnu.no</w:t>
          </w:r>
        </w:p>
      </w:tc>
      <w:tc>
        <w:tcPr>
          <w:tcW w:w="2367" w:type="dxa"/>
          <w:vMerge/>
          <w:shd w:val="clear" w:color="auto" w:fill="auto"/>
        </w:tcPr>
        <w:p w14:paraId="212E6135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14:paraId="0B53EFE5" w14:textId="77777777" w:rsidR="00973A6A" w:rsidRPr="00347F2B" w:rsidRDefault="00A80DFC" w:rsidP="000B74D5">
          <w:pPr>
            <w:pStyle w:val="FooterFet"/>
          </w:pPr>
        </w:p>
      </w:tc>
      <w:tc>
        <w:tcPr>
          <w:tcW w:w="1947" w:type="dxa"/>
          <w:vMerge/>
          <w:shd w:val="clear" w:color="auto" w:fill="auto"/>
        </w:tcPr>
        <w:p w14:paraId="2E26DC2A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973A6A" w:rsidRPr="00B0093B" w14:paraId="6FDA2AD1" w14:textId="77777777" w:rsidTr="00B0093B">
      <w:tc>
        <w:tcPr>
          <w:tcW w:w="1914" w:type="dxa"/>
          <w:vMerge/>
          <w:shd w:val="clear" w:color="auto" w:fill="auto"/>
        </w:tcPr>
        <w:p w14:paraId="57A2F293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14:paraId="2140D61C" w14:textId="77777777" w:rsidR="00973A6A" w:rsidRPr="00347F2B" w:rsidRDefault="00526A8F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14:paraId="4F62A871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14:paraId="16E4E0B4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947" w:type="dxa"/>
          <w:shd w:val="clear" w:color="auto" w:fill="auto"/>
        </w:tcPr>
        <w:p w14:paraId="658D1136" w14:textId="77777777" w:rsidR="00973A6A" w:rsidRPr="00347F2B" w:rsidRDefault="00A80DFC" w:rsidP="00B0093B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</w:tbl>
  <w:p w14:paraId="1FA98AD7" w14:textId="77777777" w:rsidR="005A3635" w:rsidRPr="00B02085" w:rsidRDefault="00526A8F" w:rsidP="005A3635">
    <w:pPr>
      <w:pStyle w:val="FooterGraa"/>
      <w:rPr>
        <w:i/>
      </w:rPr>
    </w:pPr>
    <w:r w:rsidRPr="00B02085">
      <w:rPr>
        <w:i/>
      </w:rPr>
      <w:t>Adresser korrespondanse til saksbehandlende enhet. Husk å oppgi referanse.</w:t>
    </w:r>
  </w:p>
  <w:p w14:paraId="464017C5" w14:textId="77777777" w:rsidR="007E44DF" w:rsidRPr="00B02085" w:rsidRDefault="00A80DFC" w:rsidP="005A3635">
    <w:pPr>
      <w:pStyle w:val="FooterGra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CD47" w14:textId="77777777" w:rsidR="009E0702" w:rsidRDefault="009E0702" w:rsidP="009E0702">
      <w:pPr>
        <w:spacing w:after="0"/>
      </w:pPr>
      <w:r>
        <w:separator/>
      </w:r>
    </w:p>
  </w:footnote>
  <w:footnote w:type="continuationSeparator" w:id="0">
    <w:p w14:paraId="3932E574" w14:textId="77777777" w:rsidR="009E0702" w:rsidRDefault="009E0702" w:rsidP="009E0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A78C" w14:textId="77777777" w:rsidR="006A6413" w:rsidRDefault="00526A8F" w:rsidP="00F57F35">
    <w:pPr>
      <w:pStyle w:val="Topptekst"/>
      <w:jc w:val="right"/>
    </w:pPr>
    <w:r>
      <w:fldChar w:fldCharType="begin"/>
    </w:r>
    <w:r>
      <w:instrText xml:space="preserve"> PAGE </w:instrText>
    </w:r>
    <w:r>
      <w:fldChar w:fldCharType="separate"/>
    </w:r>
    <w:r w:rsidR="003F5FA8">
      <w:rPr>
        <w:noProof/>
      </w:rPr>
      <w:t>2</w:t>
    </w:r>
    <w:r>
      <w:fldChar w:fldCharType="end"/>
    </w:r>
    <w:r>
      <w:t xml:space="preserve"> av </w:t>
    </w:r>
    <w:fldSimple w:instr=" NUMPAGES ">
      <w:r w:rsidR="003F5FA8">
        <w:rPr>
          <w:noProof/>
        </w:rPr>
        <w:t>2</w:t>
      </w:r>
    </w:fldSimple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20"/>
      <w:gridCol w:w="1330"/>
      <w:gridCol w:w="1981"/>
    </w:tblGrid>
    <w:tr w:rsidR="006A6413" w14:paraId="678552F4" w14:textId="77777777">
      <w:tc>
        <w:tcPr>
          <w:tcW w:w="6579" w:type="dxa"/>
        </w:tcPr>
        <w:p w14:paraId="5B4285EB" w14:textId="77777777" w:rsidR="006A6413" w:rsidRDefault="00526A8F" w:rsidP="00677F14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</w:tcPr>
        <w:p w14:paraId="22185CF8" w14:textId="77777777" w:rsidR="006A6413" w:rsidRDefault="00526A8F" w:rsidP="00677F14">
          <w:pPr>
            <w:pStyle w:val="DatoRefTekst"/>
          </w:pPr>
          <w:r>
            <w:t>Vår dato</w:t>
          </w:r>
        </w:p>
        <w:p w14:paraId="1BB34C58" w14:textId="737D69A5" w:rsidR="006A6413" w:rsidRPr="004D6D92" w:rsidRDefault="00A80DFC" w:rsidP="004D6D92">
          <w:pPr>
            <w:pStyle w:val="DatoRefFyllInn"/>
          </w:pPr>
        </w:p>
      </w:tc>
      <w:tc>
        <w:tcPr>
          <w:tcW w:w="1996" w:type="dxa"/>
        </w:tcPr>
        <w:p w14:paraId="21056877" w14:textId="79A5EC0E" w:rsidR="006A6413" w:rsidRPr="004D6D92" w:rsidRDefault="00526A8F" w:rsidP="00F30CC1">
          <w:pPr>
            <w:pStyle w:val="DatoRefTekst"/>
          </w:pPr>
          <w:r>
            <w:t>Vår referanse</w:t>
          </w:r>
        </w:p>
      </w:tc>
    </w:tr>
  </w:tbl>
  <w:p w14:paraId="00CC3D8D" w14:textId="77777777" w:rsidR="006A6413" w:rsidRPr="006A6413" w:rsidRDefault="00A80DFC" w:rsidP="00677F1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9D38" w14:textId="77777777" w:rsidR="007E44DF" w:rsidRPr="006A6413" w:rsidRDefault="00526A8F" w:rsidP="00677F14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E638317" wp14:editId="3AA8C287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1600200" cy="298450"/>
          <wp:effectExtent l="0" t="0" r="0" b="635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413">
      <w:fldChar w:fldCharType="begin"/>
    </w:r>
    <w:r w:rsidRPr="006A6413">
      <w:instrText xml:space="preserve"> PAGE </w:instrText>
    </w:r>
    <w:r w:rsidRPr="006A6413">
      <w:fldChar w:fldCharType="separate"/>
    </w:r>
    <w:r w:rsidR="003F5FA8">
      <w:rPr>
        <w:noProof/>
      </w:rPr>
      <w:t>1</w:t>
    </w:r>
    <w:r w:rsidRPr="006A6413">
      <w:fldChar w:fldCharType="end"/>
    </w:r>
    <w:r w:rsidRPr="006A6413">
      <w:t xml:space="preserve"> av </w:t>
    </w:r>
    <w:fldSimple w:instr=" NUMPAGES ">
      <w:r w:rsidR="003F5FA8">
        <w:rPr>
          <w:noProof/>
        </w:rPr>
        <w:t>2</w:t>
      </w:r>
    </w:fldSimple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166"/>
      <w:gridCol w:w="1681"/>
      <w:gridCol w:w="1984"/>
    </w:tblGrid>
    <w:tr w:rsidR="006A6413" w:rsidRPr="009E0702" w14:paraId="2AD57835" w14:textId="77777777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14:paraId="779D4E00" w14:textId="77777777" w:rsidR="006A6413" w:rsidRDefault="00A80DFC" w:rsidP="00677F14">
          <w:pPr>
            <w:pStyle w:val="Topptekst"/>
          </w:pPr>
        </w:p>
      </w:tc>
      <w:tc>
        <w:tcPr>
          <w:tcW w:w="1692" w:type="dxa"/>
          <w:tcBorders>
            <w:top w:val="nil"/>
            <w:left w:val="nil"/>
            <w:bottom w:val="nil"/>
            <w:right w:val="nil"/>
          </w:tcBorders>
        </w:tcPr>
        <w:p w14:paraId="68C63BFA" w14:textId="77777777" w:rsidR="006A6413" w:rsidRDefault="00526A8F" w:rsidP="00677F14">
          <w:pPr>
            <w:pStyle w:val="DatoRefTekst"/>
          </w:pPr>
          <w:r>
            <w:t>Vår dato</w:t>
          </w:r>
        </w:p>
        <w:p w14:paraId="17F7C7E7" w14:textId="77777777" w:rsidR="006A6413" w:rsidRPr="006E7025" w:rsidRDefault="00A80DFC" w:rsidP="004D6D92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7BCB9D8" w14:textId="77777777" w:rsidR="006A6413" w:rsidRDefault="00526A8F" w:rsidP="00677F14">
          <w:pPr>
            <w:pStyle w:val="DatoRefTekst"/>
          </w:pPr>
          <w:r>
            <w:t>Vår referanse</w:t>
          </w:r>
        </w:p>
        <w:p w14:paraId="3E324D8A" w14:textId="77777777" w:rsidR="006A6413" w:rsidRDefault="00A80DFC" w:rsidP="004D6D92">
          <w:pPr>
            <w:pStyle w:val="DatoFyllInn1"/>
          </w:pPr>
        </w:p>
      </w:tc>
    </w:tr>
    <w:tr w:rsidR="006A6413" w:rsidRPr="009E0702" w14:paraId="005DDE50" w14:textId="77777777">
      <w:tc>
        <w:tcPr>
          <w:tcW w:w="62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715142" w14:textId="77777777" w:rsidR="006A6413" w:rsidRDefault="00A80DFC" w:rsidP="002568D9">
          <w:pPr>
            <w:pStyle w:val="Header1"/>
            <w:ind w:left="0"/>
          </w:pPr>
          <w:bookmarkStart w:id="9" w:name="ADMBETEGNELSE_4R"/>
          <w:bookmarkEnd w:id="9"/>
        </w:p>
      </w:tc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847402C" w14:textId="77777777" w:rsidR="006A6413" w:rsidRDefault="00526A8F" w:rsidP="00677F14">
          <w:pPr>
            <w:pStyle w:val="DatoRefTekst2"/>
          </w:pPr>
          <w:r>
            <w:t>Deres dato</w:t>
          </w:r>
        </w:p>
        <w:p w14:paraId="7075A0BD" w14:textId="77777777" w:rsidR="006A6413" w:rsidRPr="006E7025" w:rsidRDefault="00A80DFC" w:rsidP="004D6D92">
          <w:pPr>
            <w:pStyle w:val="DatoRefFyllInn"/>
          </w:pPr>
          <w:bookmarkStart w:id="10" w:name="REFDATO"/>
          <w:bookmarkEnd w:id="10"/>
        </w:p>
      </w:tc>
      <w:tc>
        <w:tcPr>
          <w:tcW w:w="19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A45ACF" w14:textId="77777777" w:rsidR="006A6413" w:rsidRDefault="00526A8F" w:rsidP="00677F14">
          <w:pPr>
            <w:pStyle w:val="DatoRefTekst2"/>
          </w:pPr>
          <w:r>
            <w:t>Deres referanse</w:t>
          </w:r>
        </w:p>
        <w:p w14:paraId="1B3CA39F" w14:textId="77777777" w:rsidR="006A6413" w:rsidRPr="006E7025" w:rsidRDefault="00A80DFC" w:rsidP="004D6D92">
          <w:pPr>
            <w:pStyle w:val="DatoRefFyllInn"/>
          </w:pPr>
          <w:bookmarkStart w:id="11" w:name="REF"/>
          <w:bookmarkEnd w:id="11"/>
        </w:p>
      </w:tc>
    </w:tr>
  </w:tbl>
  <w:p w14:paraId="2C26447B" w14:textId="77777777" w:rsidR="006A6413" w:rsidRDefault="00A80DFC" w:rsidP="005848AD">
    <w:pPr>
      <w:pStyle w:val="Fyll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04A"/>
    <w:multiLevelType w:val="hybridMultilevel"/>
    <w:tmpl w:val="81CA8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295"/>
    <w:multiLevelType w:val="hybridMultilevel"/>
    <w:tmpl w:val="00DA0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7D35"/>
    <w:multiLevelType w:val="hybridMultilevel"/>
    <w:tmpl w:val="40CC5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923"/>
    <w:multiLevelType w:val="hybridMultilevel"/>
    <w:tmpl w:val="314482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02"/>
    <w:rsid w:val="00101D7E"/>
    <w:rsid w:val="00105419"/>
    <w:rsid w:val="001F75E8"/>
    <w:rsid w:val="0028173D"/>
    <w:rsid w:val="002E7304"/>
    <w:rsid w:val="00321CE5"/>
    <w:rsid w:val="00394CA2"/>
    <w:rsid w:val="003F5FA8"/>
    <w:rsid w:val="004935EE"/>
    <w:rsid w:val="00526A8F"/>
    <w:rsid w:val="00574F0A"/>
    <w:rsid w:val="005C6106"/>
    <w:rsid w:val="006F1830"/>
    <w:rsid w:val="0079473A"/>
    <w:rsid w:val="007E18C8"/>
    <w:rsid w:val="008E4341"/>
    <w:rsid w:val="009E0702"/>
    <w:rsid w:val="00B02085"/>
    <w:rsid w:val="00C65E35"/>
    <w:rsid w:val="00D53216"/>
    <w:rsid w:val="00E4314B"/>
    <w:rsid w:val="00E925F8"/>
    <w:rsid w:val="00ED4832"/>
    <w:rsid w:val="00ED781A"/>
    <w:rsid w:val="00F04E5E"/>
    <w:rsid w:val="00F30CC1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C80CE"/>
  <w15:chartTrackingRefBased/>
  <w15:docId w15:val="{1B174CED-483D-45CC-A32F-B7094C3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02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autoRedefine/>
    <w:qFormat/>
    <w:rsid w:val="009E0702"/>
    <w:pPr>
      <w:keepNext/>
      <w:spacing w:before="840"/>
      <w:ind w:left="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E0702"/>
    <w:rPr>
      <w:rFonts w:ascii="Arial" w:eastAsia="Times New Roman" w:hAnsi="Arial" w:cs="Arial"/>
      <w:b/>
      <w:bCs/>
      <w:kern w:val="32"/>
      <w:sz w:val="30"/>
      <w:szCs w:val="32"/>
      <w:lang w:val="en-GB"/>
    </w:rPr>
  </w:style>
  <w:style w:type="paragraph" w:styleId="Topptekst">
    <w:name w:val="header"/>
    <w:basedOn w:val="Normal"/>
    <w:link w:val="TopptekstTegn"/>
    <w:autoRedefine/>
    <w:rsid w:val="009E0702"/>
    <w:pPr>
      <w:tabs>
        <w:tab w:val="center" w:pos="4153"/>
        <w:tab w:val="right" w:pos="8306"/>
      </w:tabs>
      <w:spacing w:after="20"/>
      <w:ind w:left="0" w:right="0"/>
    </w:pPr>
    <w:rPr>
      <w:rFonts w:ascii="Arial" w:hAnsi="Arial" w:cs="Arial"/>
      <w:sz w:val="19"/>
      <w:szCs w:val="19"/>
      <w:lang w:val="nb-NO"/>
    </w:rPr>
  </w:style>
  <w:style w:type="character" w:customStyle="1" w:styleId="TopptekstTegn">
    <w:name w:val="Topptekst Tegn"/>
    <w:basedOn w:val="Standardskriftforavsnitt"/>
    <w:link w:val="Topptekst"/>
    <w:rsid w:val="009E0702"/>
    <w:rPr>
      <w:rFonts w:ascii="Arial" w:eastAsia="Times New Roman" w:hAnsi="Arial" w:cs="Arial"/>
      <w:sz w:val="19"/>
      <w:szCs w:val="19"/>
    </w:rPr>
  </w:style>
  <w:style w:type="paragraph" w:customStyle="1" w:styleId="DatoRefTekst">
    <w:name w:val="DatoRefTekst"/>
    <w:basedOn w:val="Topptekst"/>
    <w:autoRedefine/>
    <w:rsid w:val="009E0702"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Topptekst"/>
    <w:autoRedefine/>
    <w:rsid w:val="009E0702"/>
    <w:pPr>
      <w:spacing w:after="60"/>
    </w:pPr>
    <w:rPr>
      <w:rFonts w:ascii="Times" w:hAnsi="Times" w:cs="Times New Roman"/>
      <w:sz w:val="21"/>
      <w:szCs w:val="20"/>
    </w:rPr>
  </w:style>
  <w:style w:type="paragraph" w:customStyle="1" w:styleId="Header2">
    <w:name w:val="Header2"/>
    <w:basedOn w:val="Topptekst"/>
    <w:autoRedefine/>
    <w:rsid w:val="009E0702"/>
    <w:pPr>
      <w:spacing w:before="204" w:after="60"/>
      <w:ind w:left="85" w:right="85"/>
    </w:pPr>
    <w:rPr>
      <w:b/>
      <w:sz w:val="20"/>
    </w:rPr>
  </w:style>
  <w:style w:type="paragraph" w:customStyle="1" w:styleId="DatoRefTekst2">
    <w:name w:val="DatoRefTekst2"/>
    <w:basedOn w:val="DatoRefTekst"/>
    <w:autoRedefine/>
    <w:rsid w:val="009E0702"/>
    <w:pPr>
      <w:spacing w:before="77"/>
    </w:pPr>
  </w:style>
  <w:style w:type="paragraph" w:customStyle="1" w:styleId="FooterFet">
    <w:name w:val="FooterFet"/>
    <w:basedOn w:val="FooterTekst"/>
    <w:autoRedefine/>
    <w:rsid w:val="009E0702"/>
    <w:pPr>
      <w:tabs>
        <w:tab w:val="clear" w:pos="6282"/>
        <w:tab w:val="left" w:pos="6480"/>
      </w:tabs>
      <w:spacing w:before="60"/>
      <w:ind w:left="-9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rsid w:val="009E0702"/>
    <w:pPr>
      <w:pBdr>
        <w:bottom w:val="single" w:sz="6" w:space="1" w:color="auto"/>
      </w:pBdr>
      <w:tabs>
        <w:tab w:val="clear" w:pos="4513"/>
        <w:tab w:val="clear" w:pos="9026"/>
        <w:tab w:val="left" w:pos="1916"/>
        <w:tab w:val="left" w:pos="4360"/>
        <w:tab w:val="left" w:pos="6282"/>
        <w:tab w:val="left" w:pos="8023"/>
      </w:tabs>
      <w:spacing w:after="50"/>
      <w:ind w:left="0" w:right="0"/>
    </w:pPr>
    <w:rPr>
      <w:rFonts w:ascii="Arial" w:hAnsi="Arial" w:cs="Arial"/>
      <w:sz w:val="2"/>
      <w:szCs w:val="19"/>
      <w:lang w:val="nb-NO"/>
    </w:rPr>
  </w:style>
  <w:style w:type="paragraph" w:customStyle="1" w:styleId="FooterGraa">
    <w:name w:val="FooterGraa"/>
    <w:basedOn w:val="Bunntekst"/>
    <w:autoRedefine/>
    <w:rsid w:val="009E0702"/>
    <w:pPr>
      <w:tabs>
        <w:tab w:val="clear" w:pos="4513"/>
        <w:tab w:val="clear" w:pos="9026"/>
        <w:tab w:val="left" w:pos="1916"/>
        <w:tab w:val="left" w:pos="4360"/>
        <w:tab w:val="left" w:pos="6282"/>
        <w:tab w:val="left" w:pos="8023"/>
      </w:tabs>
      <w:spacing w:after="30"/>
      <w:ind w:right="0"/>
    </w:pPr>
    <w:rPr>
      <w:rFonts w:ascii="Arial" w:hAnsi="Arial" w:cs="Arial"/>
      <w:color w:val="808080"/>
      <w:sz w:val="18"/>
      <w:szCs w:val="19"/>
      <w:lang w:val="nb-NO"/>
    </w:rPr>
  </w:style>
  <w:style w:type="paragraph" w:customStyle="1" w:styleId="Tilfelt">
    <w:name w:val="Tilfelt"/>
    <w:basedOn w:val="Normal"/>
    <w:autoRedefine/>
    <w:rsid w:val="009E0702"/>
    <w:pPr>
      <w:spacing w:after="20"/>
      <w:ind w:left="0"/>
    </w:pPr>
    <w:rPr>
      <w:lang w:val="nb-NO"/>
    </w:rPr>
  </w:style>
  <w:style w:type="paragraph" w:customStyle="1" w:styleId="FooterTekst">
    <w:name w:val="FooterTekst"/>
    <w:basedOn w:val="Bunntekst"/>
    <w:autoRedefine/>
    <w:rsid w:val="009E0702"/>
    <w:pPr>
      <w:tabs>
        <w:tab w:val="clear" w:pos="4513"/>
        <w:tab w:val="clear" w:pos="9026"/>
        <w:tab w:val="left" w:pos="1916"/>
        <w:tab w:val="left" w:pos="4360"/>
        <w:tab w:val="left" w:pos="6282"/>
        <w:tab w:val="left" w:pos="8023"/>
      </w:tabs>
      <w:spacing w:after="50"/>
    </w:pPr>
    <w:rPr>
      <w:rFonts w:cs="Arial"/>
      <w:sz w:val="16"/>
      <w:szCs w:val="19"/>
      <w:lang w:val="nb-NO"/>
    </w:rPr>
  </w:style>
  <w:style w:type="paragraph" w:customStyle="1" w:styleId="Header1">
    <w:name w:val="Header1"/>
    <w:basedOn w:val="Topptekst"/>
    <w:autoRedefine/>
    <w:rsid w:val="009E0702"/>
    <w:pPr>
      <w:spacing w:after="60"/>
      <w:ind w:left="85" w:right="85"/>
    </w:pPr>
  </w:style>
  <w:style w:type="paragraph" w:customStyle="1" w:styleId="FyllLinje">
    <w:name w:val="FyllLinje"/>
    <w:basedOn w:val="Normal"/>
    <w:autoRedefine/>
    <w:rsid w:val="009E0702"/>
    <w:rPr>
      <w:sz w:val="2"/>
      <w:lang w:val="nb-NO"/>
    </w:rPr>
  </w:style>
  <w:style w:type="paragraph" w:customStyle="1" w:styleId="DatoFyllInn1">
    <w:name w:val="DatoFyllInn1"/>
    <w:basedOn w:val="DatoRefFyllInn"/>
    <w:rsid w:val="009E0702"/>
    <w:pPr>
      <w:spacing w:after="0"/>
    </w:pPr>
  </w:style>
  <w:style w:type="paragraph" w:styleId="Bunntekst">
    <w:name w:val="footer"/>
    <w:basedOn w:val="Normal"/>
    <w:link w:val="BunntekstTegn"/>
    <w:uiPriority w:val="99"/>
    <w:unhideWhenUsed/>
    <w:rsid w:val="009E0702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E0702"/>
    <w:rPr>
      <w:rFonts w:ascii="Times" w:eastAsia="Times New Roman" w:hAnsi="Times" w:cs="Times New Roman"/>
      <w:sz w:val="24"/>
      <w:szCs w:val="24"/>
      <w:lang w:val="en-GB"/>
    </w:rPr>
  </w:style>
  <w:style w:type="character" w:styleId="Hyperkobling">
    <w:name w:val="Hyperlink"/>
    <w:basedOn w:val="Standardskriftforavsnitt"/>
    <w:uiPriority w:val="99"/>
    <w:unhideWhenUsed/>
    <w:rsid w:val="009E070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0208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E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Mal for vedtak om innsynskrav</vt:lpstr>
      <vt:lpstr>Mal for vedtak om innsynskrav</vt:lpstr>
    </vt:vector>
  </TitlesOfParts>
  <Company>NTNU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innsynskrav</dc:title>
  <dc:subject/>
  <dc:creator>Åshild Margrethe Revhaug</dc:creator>
  <cp:keywords>innsyn, malverk, innsynsbegjæring, innsynskrav</cp:keywords>
  <dc:description/>
  <cp:lastModifiedBy>Synøve Halstadtrø Mørseth</cp:lastModifiedBy>
  <cp:revision>2</cp:revision>
  <dcterms:created xsi:type="dcterms:W3CDTF">2022-01-12T15:41:00Z</dcterms:created>
  <dcterms:modified xsi:type="dcterms:W3CDTF">2022-01-12T15:41:00Z</dcterms:modified>
</cp:coreProperties>
</file>