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 xml:space="preserve">Ove Robert Borstad            NTL                                          </w:t>
            </w:r>
            <w:r w:rsidR="00882DDC">
              <w:t>Ingrid Iren Eide (fung. Øk.sjef)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AA464D">
              <w:rPr>
                <w:lang w:val="nn-NO"/>
              </w:rPr>
              <w:t xml:space="preserve">Tove Strømman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Parat  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553C85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553C85">
              <w:rPr>
                <w:b/>
              </w:rPr>
              <w:t>1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553C85">
              <w:rPr>
                <w:b/>
              </w:rPr>
              <w:t>5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53C85" w:rsidP="00553C85">
            <w:pPr>
              <w:pStyle w:val="InnkallingsskriftFyllInn"/>
            </w:pPr>
            <w:bookmarkStart w:id="3" w:name="Tid"/>
            <w:bookmarkEnd w:id="3"/>
            <w:r>
              <w:t>02</w:t>
            </w:r>
            <w:r w:rsidR="004C27A7">
              <w:t>.</w:t>
            </w:r>
            <w:r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5</w:t>
            </w:r>
            <w:r w:rsidR="00A81B4A" w:rsidRPr="00290380">
              <w:t xml:space="preserve"> kl. </w:t>
            </w:r>
            <w:r>
              <w:t>13.</w:t>
            </w:r>
            <w:r w:rsidR="004C27A7">
              <w:t>30</w:t>
            </w:r>
            <w:r w:rsidR="00AA464D">
              <w:t>–1</w:t>
            </w:r>
            <w:r>
              <w:t>5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606EA5" w:rsidRPr="00606EA5" w:rsidRDefault="00AA464D" w:rsidP="00606EA5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606EA5">
        <w:rPr>
          <w:b/>
        </w:rPr>
        <w:br/>
      </w:r>
      <w:r w:rsidR="00606EA5" w:rsidRPr="00606EA5">
        <w:t>- 20.11.2014, se vedlegg</w:t>
      </w:r>
    </w:p>
    <w:p w:rsidR="00221C2C" w:rsidRPr="00606EA5" w:rsidRDefault="00606EA5" w:rsidP="00606EA5">
      <w:pPr>
        <w:ind w:left="720"/>
        <w:jc w:val="both"/>
      </w:pPr>
      <w:r w:rsidRPr="00606EA5">
        <w:t xml:space="preserve">- </w:t>
      </w:r>
      <w:r w:rsidR="00E564A5" w:rsidRPr="00606EA5">
        <w:t>16.1.2015</w:t>
      </w:r>
      <w:r w:rsidRPr="00606EA5">
        <w:t>, se vedlegg</w:t>
      </w:r>
    </w:p>
    <w:p w:rsidR="004823B9" w:rsidRDefault="004823B9" w:rsidP="00221C2C">
      <w:pPr>
        <w:ind w:left="0"/>
        <w:jc w:val="both"/>
        <w:rPr>
          <w:b/>
        </w:rPr>
      </w:pPr>
    </w:p>
    <w:p w:rsidR="001B7FE3" w:rsidRDefault="001B7FE3" w:rsidP="00221C2C">
      <w:pPr>
        <w:ind w:left="0"/>
        <w:jc w:val="both"/>
        <w:rPr>
          <w:b/>
        </w:rPr>
      </w:pPr>
    </w:p>
    <w:p w:rsidR="004823B9" w:rsidRPr="002324B6" w:rsidRDefault="00221C2C" w:rsidP="001B7FE3">
      <w:pPr>
        <w:ind w:left="0"/>
      </w:pPr>
      <w:r>
        <w:rPr>
          <w:b/>
        </w:rPr>
        <w:t xml:space="preserve">3. </w:t>
      </w:r>
      <w:r>
        <w:rPr>
          <w:b/>
        </w:rPr>
        <w:tab/>
      </w:r>
      <w:r w:rsidRPr="00221C2C">
        <w:rPr>
          <w:b/>
        </w:rPr>
        <w:t>Gjensidig</w:t>
      </w:r>
      <w:r w:rsidR="001B7FE3">
        <w:rPr>
          <w:b/>
        </w:rPr>
        <w:t xml:space="preserve"> i</w:t>
      </w:r>
      <w:r w:rsidRPr="00221C2C">
        <w:rPr>
          <w:b/>
        </w:rPr>
        <w:t>nformasjon</w:t>
      </w:r>
      <w:r>
        <w:rPr>
          <w:b/>
        </w:rPr>
        <w:br/>
      </w:r>
      <w:r w:rsidRPr="002324B6">
        <w:tab/>
      </w:r>
    </w:p>
    <w:p w:rsidR="00221C2C" w:rsidRPr="002324B6" w:rsidRDefault="004823B9" w:rsidP="004823B9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a) </w:t>
      </w:r>
      <w:r w:rsidR="00221C2C" w:rsidRPr="002324B6">
        <w:rPr>
          <w:rFonts w:ascii="Times" w:eastAsia="Times New Roman" w:hAnsi="Times"/>
          <w:sz w:val="24"/>
          <w:szCs w:val="24"/>
        </w:rPr>
        <w:t>informasjon fra arbeidsgiver</w:t>
      </w:r>
    </w:p>
    <w:p w:rsidR="00221C2C" w:rsidRDefault="00221C2C" w:rsidP="00221C2C">
      <w:pPr>
        <w:pStyle w:val="Rentekst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ab/>
      </w:r>
      <w:r w:rsidR="004C27A7" w:rsidRPr="002324B6">
        <w:rPr>
          <w:rFonts w:ascii="Times" w:eastAsia="Times New Roman" w:hAnsi="Times"/>
          <w:sz w:val="24"/>
          <w:szCs w:val="24"/>
        </w:rPr>
        <w:t xml:space="preserve">- </w:t>
      </w:r>
      <w:r w:rsidR="00824E41">
        <w:rPr>
          <w:rFonts w:ascii="Times" w:eastAsia="Times New Roman" w:hAnsi="Times"/>
          <w:sz w:val="24"/>
          <w:szCs w:val="24"/>
        </w:rPr>
        <w:t>skriftlig informasjon, se vedlegg</w:t>
      </w:r>
    </w:p>
    <w:p w:rsidR="00FD7582" w:rsidRDefault="00824E41" w:rsidP="0012152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 xml:space="preserve">- </w:t>
      </w:r>
    </w:p>
    <w:p w:rsidR="0012152F" w:rsidRPr="002324B6" w:rsidRDefault="0012152F" w:rsidP="0012152F">
      <w:pPr>
        <w:pStyle w:val="Rentekst"/>
        <w:rPr>
          <w:rFonts w:ascii="Times" w:eastAsia="Times New Roman" w:hAnsi="Times"/>
          <w:sz w:val="24"/>
          <w:szCs w:val="24"/>
        </w:rPr>
      </w:pPr>
    </w:p>
    <w:p w:rsidR="00221C2C" w:rsidRPr="002324B6" w:rsidRDefault="004823B9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</w:t>
      </w:r>
      <w:r w:rsidR="00221C2C" w:rsidRPr="002324B6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4C27A7" w:rsidRPr="002324B6" w:rsidRDefault="004C27A7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-</w:t>
      </w:r>
    </w:p>
    <w:p w:rsidR="00EF4EA2" w:rsidRPr="00DB7D58" w:rsidRDefault="004823B9" w:rsidP="00221C2C">
      <w:pPr>
        <w:pStyle w:val="Rentekst"/>
        <w:ind w:left="720"/>
        <w:rPr>
          <w:b/>
        </w:rPr>
      </w:pPr>
      <w:r w:rsidRPr="00DB7D58">
        <w:rPr>
          <w:b/>
        </w:rPr>
        <w:t xml:space="preserve"> </w:t>
      </w:r>
    </w:p>
    <w:p w:rsidR="002324B6" w:rsidRDefault="00221C2C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2324B6">
        <w:rPr>
          <w:rFonts w:ascii="Times" w:eastAsia="Times New Roman" w:hAnsi="Times"/>
          <w:b/>
          <w:sz w:val="24"/>
          <w:szCs w:val="24"/>
        </w:rPr>
        <w:t xml:space="preserve">Arbeidsmiljøundersøkelsen 2014 (informasjon/drøfting) </w:t>
      </w:r>
    </w:p>
    <w:p w:rsidR="002324B6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Muntlig informasjon om arbeidet med oppfølging av arbeidsmiljøundersøkelsen som nå er i gang. </w:t>
      </w:r>
      <w:r>
        <w:rPr>
          <w:rFonts w:ascii="Times" w:eastAsia="Times New Roman" w:hAnsi="Times"/>
          <w:sz w:val="24"/>
          <w:szCs w:val="24"/>
        </w:rPr>
        <w:br/>
        <w:t xml:space="preserve">Vedlagt følger oversikt over resultatet samlet for </w:t>
      </w:r>
      <w:r w:rsidR="007049A2">
        <w:rPr>
          <w:rFonts w:ascii="Times" w:eastAsia="Times New Roman" w:hAnsi="Times"/>
          <w:sz w:val="24"/>
          <w:szCs w:val="24"/>
        </w:rPr>
        <w:t xml:space="preserve">hele </w:t>
      </w:r>
      <w:r>
        <w:rPr>
          <w:rFonts w:ascii="Times" w:eastAsia="Times New Roman" w:hAnsi="Times"/>
          <w:sz w:val="24"/>
          <w:szCs w:val="24"/>
        </w:rPr>
        <w:t xml:space="preserve">Økonomi og eiendomsområdet. </w:t>
      </w:r>
    </w:p>
    <w:p w:rsidR="002324B6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049A2" w:rsidRDefault="007049A2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324B6" w:rsidRPr="00EC47D5" w:rsidRDefault="002324B6" w:rsidP="002324B6">
      <w:pPr>
        <w:pStyle w:val="Rentekst"/>
        <w:ind w:left="5" w:hanging="5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5. </w:t>
      </w: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Avbyråkratisering og effektivisering (informasjon/drøfting)</w:t>
      </w:r>
    </w:p>
    <w:p w:rsidR="002324B6" w:rsidRPr="007049A2" w:rsidRDefault="007049A2" w:rsidP="007049A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7049A2">
        <w:rPr>
          <w:rFonts w:ascii="Times" w:eastAsia="Times New Roman" w:hAnsi="Times"/>
          <w:sz w:val="24"/>
          <w:szCs w:val="24"/>
        </w:rPr>
        <w:t>I regjeringens forslag til statsbudsjett for 2015 innføres en «avbyråkratiserings- og effektiviseringsreform» i hele statlig sektor. Reformen forventes å stimulere til avbyråkratisering og mer effektiv ressursbruk. Regjeringen legger til grunn at for å oppnå varig effekt må tiltakene være en del av en planlagt prosess, og de vil derfor la dette inngå som en fast del av budsjettarbeidet fremover.</w:t>
      </w:r>
      <w:r>
        <w:rPr>
          <w:rFonts w:ascii="Times" w:eastAsia="Times New Roman" w:hAnsi="Times"/>
          <w:sz w:val="24"/>
          <w:szCs w:val="24"/>
        </w:rPr>
        <w:t xml:space="preserve"> Muntlig informasjon til LOSAM om hvordan NTNU følger opp dette arbeidet. </w:t>
      </w:r>
    </w:p>
    <w:p w:rsidR="0027002A" w:rsidRDefault="0027002A" w:rsidP="008558E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824E41" w:rsidRDefault="00824E41" w:rsidP="008558E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2324B6" w:rsidRDefault="002324B6" w:rsidP="002324B6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="008558EB" w:rsidRPr="00EC47D5">
        <w:rPr>
          <w:rFonts w:ascii="Times" w:eastAsia="Times New Roman" w:hAnsi="Times"/>
          <w:b/>
          <w:sz w:val="24"/>
          <w:szCs w:val="24"/>
        </w:rPr>
        <w:t xml:space="preserve">. </w:t>
      </w:r>
      <w:r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Virksomhetsplan 2015 for Økonomi og eiendom (informasjon/drøfting)</w:t>
      </w:r>
    </w:p>
    <w:p w:rsidR="002324B6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Virksomhetsplan for 2015 legges frem for behandling</w:t>
      </w:r>
      <w:r w:rsidR="007049A2">
        <w:rPr>
          <w:rFonts w:ascii="Times" w:eastAsia="Times New Roman" w:hAnsi="Times"/>
          <w:sz w:val="24"/>
          <w:szCs w:val="24"/>
        </w:rPr>
        <w:t xml:space="preserve"> i LOSAM, </w:t>
      </w:r>
      <w:r>
        <w:rPr>
          <w:rFonts w:ascii="Times" w:eastAsia="Times New Roman" w:hAnsi="Times"/>
          <w:sz w:val="24"/>
          <w:szCs w:val="24"/>
        </w:rPr>
        <w:t xml:space="preserve">se vedlegg </w:t>
      </w:r>
    </w:p>
    <w:p w:rsidR="002324B6" w:rsidRPr="00DB7D58" w:rsidRDefault="002324B6" w:rsidP="002324B6">
      <w:pPr>
        <w:pStyle w:val="Rentekst"/>
        <w:ind w:left="720" w:hanging="720"/>
      </w:pPr>
    </w:p>
    <w:p w:rsidR="002324B6" w:rsidRPr="002324B6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845EC" w:rsidRDefault="007049A2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="00EC47D5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EC47D5"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Fordeling av velferdsmidler 2015 (forhandling)</w:t>
      </w:r>
    </w:p>
    <w:p w:rsidR="00824E41" w:rsidRDefault="007049A2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7049A2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Det antas at Økonomi og eie</w:t>
      </w:r>
      <w:r w:rsidR="00824E41">
        <w:rPr>
          <w:rFonts w:ascii="Times" w:eastAsia="Times New Roman" w:hAnsi="Times"/>
          <w:sz w:val="24"/>
          <w:szCs w:val="24"/>
        </w:rPr>
        <w:t>n</w:t>
      </w:r>
      <w:r>
        <w:rPr>
          <w:rFonts w:ascii="Times" w:eastAsia="Times New Roman" w:hAnsi="Times"/>
          <w:sz w:val="24"/>
          <w:szCs w:val="24"/>
        </w:rPr>
        <w:t>dom får tildelt i underkant av kr. 80.000</w:t>
      </w:r>
      <w:r w:rsidR="00824E41">
        <w:rPr>
          <w:rFonts w:ascii="Times" w:eastAsia="Times New Roman" w:hAnsi="Times"/>
          <w:sz w:val="24"/>
          <w:szCs w:val="24"/>
        </w:rPr>
        <w:t xml:space="preserve"> i velferdsmidler for 2015. Dette er </w:t>
      </w:r>
      <w:r>
        <w:rPr>
          <w:rFonts w:ascii="Times" w:eastAsia="Times New Roman" w:hAnsi="Times"/>
          <w:sz w:val="24"/>
          <w:szCs w:val="24"/>
        </w:rPr>
        <w:t xml:space="preserve">noe mindre enn i 2014 på grunn av </w:t>
      </w:r>
      <w:r w:rsidR="00824E41">
        <w:rPr>
          <w:rFonts w:ascii="Times" w:eastAsia="Times New Roman" w:hAnsi="Times"/>
          <w:sz w:val="24"/>
          <w:szCs w:val="24"/>
        </w:rPr>
        <w:t xml:space="preserve">det i år er planlagt </w:t>
      </w:r>
      <w:r>
        <w:rPr>
          <w:rFonts w:ascii="Times" w:eastAsia="Times New Roman" w:hAnsi="Times"/>
          <w:sz w:val="24"/>
          <w:szCs w:val="24"/>
        </w:rPr>
        <w:t>NTNU-fest</w:t>
      </w:r>
      <w:r w:rsidR="00824E41">
        <w:rPr>
          <w:rFonts w:ascii="Times" w:eastAsia="Times New Roman" w:hAnsi="Times"/>
          <w:sz w:val="24"/>
          <w:szCs w:val="24"/>
        </w:rPr>
        <w:t xml:space="preserve"> som også delfinansieres med velferdsmidler. 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="00824E41">
        <w:rPr>
          <w:rFonts w:ascii="Times" w:eastAsia="Times New Roman" w:hAnsi="Times"/>
          <w:sz w:val="24"/>
          <w:szCs w:val="24"/>
        </w:rPr>
        <w:t xml:space="preserve">LOSAM inviteres til å ta opp forhandling om prinsippet for fordeling av velferdsmidlene, slik at planlegging av aktiviteter kan startes. Vedlagt følger utkast til protokoll basert på ordningen som ble valgt i 2014. </w:t>
      </w:r>
      <w:r w:rsidR="00824E41">
        <w:rPr>
          <w:rFonts w:ascii="Times" w:eastAsia="Times New Roman" w:hAnsi="Times"/>
          <w:sz w:val="24"/>
          <w:szCs w:val="24"/>
        </w:rPr>
        <w:tab/>
      </w:r>
    </w:p>
    <w:p w:rsidR="00824E41" w:rsidRDefault="00824E41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E96B16" w:rsidRDefault="00E96B16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824E41" w:rsidRDefault="00824E41" w:rsidP="00824E41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8.</w:t>
      </w:r>
      <w:r>
        <w:rPr>
          <w:rFonts w:ascii="Times" w:eastAsia="Times New Roman" w:hAnsi="Times"/>
          <w:b/>
          <w:sz w:val="24"/>
          <w:szCs w:val="24"/>
        </w:rPr>
        <w:tab/>
        <w:t xml:space="preserve">Plan og budsjettprosessen </w:t>
      </w:r>
      <w:r w:rsidR="00E96B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824E41" w:rsidRPr="00824E41" w:rsidRDefault="00824E41" w:rsidP="00E96B16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Muntlig informasjon om </w:t>
      </w:r>
      <w:r w:rsidR="00E96B16">
        <w:rPr>
          <w:rFonts w:ascii="Times" w:eastAsia="Times New Roman" w:hAnsi="Times"/>
          <w:sz w:val="24"/>
          <w:szCs w:val="24"/>
        </w:rPr>
        <w:t xml:space="preserve">arbeidet med </w:t>
      </w:r>
      <w:r>
        <w:rPr>
          <w:rFonts w:ascii="Times" w:eastAsia="Times New Roman" w:hAnsi="Times"/>
          <w:sz w:val="24"/>
          <w:szCs w:val="24"/>
        </w:rPr>
        <w:t>plan og budsjett</w:t>
      </w:r>
      <w:r w:rsidR="00E96B16">
        <w:rPr>
          <w:rFonts w:ascii="Times" w:eastAsia="Times New Roman" w:hAnsi="Times"/>
          <w:sz w:val="24"/>
          <w:szCs w:val="24"/>
        </w:rPr>
        <w:t xml:space="preserve">. Drøfting om hvordan medbestemmelse og medvirkning kan ivaretas på en best mulig måte. </w:t>
      </w:r>
    </w:p>
    <w:p w:rsidR="007049A2" w:rsidRDefault="00824E41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E96B16" w:rsidRDefault="00E96B16" w:rsidP="00285CB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845EC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Default="00824E41" w:rsidP="00A845EC">
      <w:pPr>
        <w:pStyle w:val="Rentekst"/>
      </w:pPr>
    </w:p>
    <w:p w:rsidR="00267E99" w:rsidRDefault="008B2354" w:rsidP="00521491">
      <w:pPr>
        <w:spacing w:after="0"/>
        <w:ind w:left="0" w:right="0"/>
      </w:pPr>
      <w:bookmarkStart w:id="6" w:name="_GoBack"/>
      <w:bookmarkEnd w:id="6"/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6EA5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06EA5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A76A57E" wp14:editId="24B7A29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06EA5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06EA5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53C85" w:rsidP="00553C85">
          <w:pPr>
            <w:pStyle w:val="DatoRefFyllInn"/>
          </w:pPr>
          <w:bookmarkStart w:id="9" w:name="VarDato"/>
          <w:bookmarkEnd w:id="9"/>
          <w:r>
            <w:t>26.01.</w:t>
          </w:r>
          <w:r w:rsidR="001606C8">
            <w:t>201</w:t>
          </w:r>
          <w:r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152F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90A02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2015-01-27T10:45:00Z</dcterms:created>
  <dcterms:modified xsi:type="dcterms:W3CDTF">2015-01-27T11:54:00Z</dcterms:modified>
</cp:coreProperties>
</file>