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9C7" w:rsidRPr="00277EA7" w:rsidRDefault="00984B99" w:rsidP="004445F9">
      <w:pPr>
        <w:tabs>
          <w:tab w:val="left" w:pos="567"/>
          <w:tab w:val="right" w:pos="9720"/>
          <w:tab w:val="right" w:pos="10440"/>
        </w:tabs>
        <w:ind w:right="88"/>
        <w:rPr>
          <w:b/>
        </w:rPr>
      </w:pPr>
      <w:bookmarkStart w:id="0" w:name="_GoBack"/>
      <w:bookmarkEnd w:id="0"/>
      <w:r w:rsidRPr="00984B99">
        <w:rPr>
          <w:b/>
          <w:bCs/>
        </w:rPr>
        <w:t>Implementering av totalkostnadsmodell (TDI) og leiestedsmodell NTNU</w:t>
      </w:r>
    </w:p>
    <w:p w:rsidR="001249C7" w:rsidRPr="00277EA7" w:rsidRDefault="001249C7" w:rsidP="001249C7">
      <w:pPr>
        <w:pBdr>
          <w:bottom w:val="single" w:sz="6" w:space="1" w:color="auto"/>
        </w:pBdr>
        <w:tabs>
          <w:tab w:val="right" w:pos="9720"/>
          <w:tab w:val="right" w:pos="10440"/>
        </w:tabs>
        <w:ind w:left="-142" w:right="88"/>
        <w:rPr>
          <w:b/>
        </w:rPr>
      </w:pPr>
    </w:p>
    <w:p w:rsidR="00FA79B6" w:rsidRPr="00A81473" w:rsidRDefault="00DD528F" w:rsidP="00A81473">
      <w:pPr>
        <w:spacing w:before="100" w:beforeAutospacing="1"/>
        <w:rPr>
          <w:rFonts w:ascii="Arial" w:hAnsi="Arial" w:cs="Arial"/>
          <w:b/>
          <w:sz w:val="22"/>
        </w:rPr>
      </w:pPr>
      <w:r w:rsidRPr="00A81473">
        <w:rPr>
          <w:rFonts w:ascii="Arial" w:hAnsi="Arial" w:cs="Arial"/>
          <w:b/>
          <w:sz w:val="22"/>
        </w:rPr>
        <w:t>TDI modellen – utvikling og forankring</w:t>
      </w:r>
    </w:p>
    <w:p w:rsidR="003A417F" w:rsidRDefault="004445F9" w:rsidP="005E5BB6">
      <w:pPr>
        <w:spacing w:after="200" w:line="276" w:lineRule="auto"/>
        <w:rPr>
          <w:rFonts w:eastAsia="Calibri"/>
          <w:lang w:eastAsia="en-US"/>
        </w:rPr>
      </w:pPr>
      <w:r>
        <w:t>Universitets- og høgskolerådet (UHR)</w:t>
      </w:r>
      <w:r w:rsidRPr="004445F9">
        <w:t xml:space="preserve"> lanserte</w:t>
      </w:r>
      <w:r>
        <w:t xml:space="preserve"> </w:t>
      </w:r>
      <w:r w:rsidR="00DD528F">
        <w:t>våren</w:t>
      </w:r>
      <w:r>
        <w:t xml:space="preserve"> 2012</w:t>
      </w:r>
      <w:r w:rsidRPr="004445F9">
        <w:t xml:space="preserve"> </w:t>
      </w:r>
      <w:r w:rsidR="00DD528F">
        <w:t xml:space="preserve">TDI </w:t>
      </w:r>
      <w:r w:rsidRPr="004445F9">
        <w:t>modell</w:t>
      </w:r>
      <w:r w:rsidR="00DD528F">
        <w:t>en</w:t>
      </w:r>
      <w:r w:rsidR="00DD528F">
        <w:rPr>
          <w:rStyle w:val="Fotnotereferanse"/>
        </w:rPr>
        <w:footnoteReference w:id="1"/>
      </w:r>
      <w:r w:rsidRPr="004445F9">
        <w:t xml:space="preserve"> for beregning av </w:t>
      </w:r>
      <w:r w:rsidR="00B72E95">
        <w:t>t</w:t>
      </w:r>
      <w:r w:rsidRPr="004445F9">
        <w:t>otale kostnader i forskningsprosjekter</w:t>
      </w:r>
      <w:r w:rsidR="00DD528F">
        <w:t>. TDI modellen gjør</w:t>
      </w:r>
      <w:r w:rsidR="00283F26">
        <w:t xml:space="preserve"> det mulig </w:t>
      </w:r>
      <w:r w:rsidR="00DD528F">
        <w:t xml:space="preserve">for institusjonene i sektoren </w:t>
      </w:r>
      <w:r w:rsidR="00283F26">
        <w:t>å</w:t>
      </w:r>
      <w:r w:rsidR="00267CFC">
        <w:t xml:space="preserve"> tilfredsstille Kunnskapsdepartementets krav</w:t>
      </w:r>
      <w:r w:rsidR="00283F26">
        <w:t xml:space="preserve"> </w:t>
      </w:r>
      <w:r w:rsidR="00AC6AA7">
        <w:t>om</w:t>
      </w:r>
      <w:r w:rsidR="00267CFC">
        <w:t xml:space="preserve"> at alle bidrags- og oppdrags</w:t>
      </w:r>
      <w:r w:rsidR="00294D54">
        <w:t xml:space="preserve">finansierte </w:t>
      </w:r>
      <w:r w:rsidR="00C431CE">
        <w:t>forsknings</w:t>
      </w:r>
      <w:r w:rsidR="00AC6AA7">
        <w:t xml:space="preserve">prosjekter </w:t>
      </w:r>
      <w:r w:rsidR="00294D54">
        <w:t>(BOA)</w:t>
      </w:r>
      <w:r w:rsidR="00267CFC">
        <w:t xml:space="preserve"> skal budsjetteres og </w:t>
      </w:r>
      <w:proofErr w:type="spellStart"/>
      <w:r w:rsidR="00267CFC">
        <w:t>regnskapsføres</w:t>
      </w:r>
      <w:proofErr w:type="spellEnd"/>
      <w:r w:rsidR="00267CFC">
        <w:t xml:space="preserve"> med </w:t>
      </w:r>
      <w:r w:rsidR="00AE235D">
        <w:t xml:space="preserve">alle direkte og indirekte </w:t>
      </w:r>
      <w:r w:rsidR="00267CFC">
        <w:t>kostnader</w:t>
      </w:r>
      <w:r w:rsidR="00283F26">
        <w:rPr>
          <w:rStyle w:val="Fotnotereferanse"/>
        </w:rPr>
        <w:footnoteReference w:id="2"/>
      </w:r>
      <w:r w:rsidR="00267CFC">
        <w:t xml:space="preserve">. </w:t>
      </w:r>
      <w:r w:rsidR="00AE235D" w:rsidRPr="00AE235D">
        <w:rPr>
          <w:rFonts w:eastAsia="Calibri"/>
          <w:lang w:eastAsia="en-US"/>
        </w:rPr>
        <w:t>Hens</w:t>
      </w:r>
      <w:r w:rsidR="00DE616E">
        <w:rPr>
          <w:rFonts w:eastAsia="Calibri"/>
          <w:lang w:eastAsia="en-US"/>
        </w:rPr>
        <w:t xml:space="preserve">ikten med dette notatet er å gi en kortfattet innføring i </w:t>
      </w:r>
      <w:r w:rsidR="00AE235D" w:rsidRPr="00AE235D">
        <w:rPr>
          <w:rFonts w:eastAsia="Calibri"/>
          <w:lang w:eastAsia="en-US"/>
        </w:rPr>
        <w:t>TDI modellen</w:t>
      </w:r>
      <w:r w:rsidR="00AE235D">
        <w:rPr>
          <w:rFonts w:eastAsia="Calibri"/>
          <w:lang w:eastAsia="en-US"/>
        </w:rPr>
        <w:t xml:space="preserve"> og </w:t>
      </w:r>
      <w:r w:rsidR="00DE616E">
        <w:rPr>
          <w:rFonts w:eastAsia="Calibri"/>
          <w:lang w:eastAsia="en-US"/>
        </w:rPr>
        <w:t xml:space="preserve">gi </w:t>
      </w:r>
      <w:r w:rsidR="00AE235D">
        <w:rPr>
          <w:rFonts w:eastAsia="Calibri"/>
          <w:lang w:eastAsia="en-US"/>
        </w:rPr>
        <w:t xml:space="preserve">en status for implementeringen </w:t>
      </w:r>
      <w:r w:rsidR="00AE235D" w:rsidRPr="00AE235D">
        <w:rPr>
          <w:rFonts w:eastAsia="Calibri"/>
          <w:lang w:eastAsia="en-US"/>
        </w:rPr>
        <w:t>ved NTNU.</w:t>
      </w:r>
    </w:p>
    <w:p w:rsidR="003A417F" w:rsidRDefault="004445F9" w:rsidP="0051341D">
      <w:pPr>
        <w:spacing w:after="200" w:line="276" w:lineRule="auto"/>
      </w:pPr>
      <w:proofErr w:type="spellStart"/>
      <w:r w:rsidRPr="004445F9">
        <w:t>UHRs</w:t>
      </w:r>
      <w:proofErr w:type="spellEnd"/>
      <w:r w:rsidRPr="004445F9">
        <w:t xml:space="preserve"> styre godkjente </w:t>
      </w:r>
      <w:r w:rsidR="00DD528F">
        <w:t xml:space="preserve">TDI modellen </w:t>
      </w:r>
      <w:r w:rsidRPr="004445F9">
        <w:t>i oktober 2012 og anbefal</w:t>
      </w:r>
      <w:r w:rsidR="00AC6AA7">
        <w:t>te</w:t>
      </w:r>
      <w:r w:rsidRPr="004445F9">
        <w:t xml:space="preserve"> at institusjonene tar den i bruk. </w:t>
      </w:r>
      <w:r w:rsidR="00FA79B6">
        <w:t>I 2013 ble TDI modellen videreutviklet med en</w:t>
      </w:r>
      <w:r w:rsidR="00AC6AA7">
        <w:t xml:space="preserve"> nasjonal leiesteds</w:t>
      </w:r>
      <w:r w:rsidR="00FA79B6">
        <w:t>modell</w:t>
      </w:r>
      <w:r w:rsidR="005E5BB6">
        <w:rPr>
          <w:rStyle w:val="Fotnotereferanse"/>
        </w:rPr>
        <w:footnoteReference w:id="3"/>
      </w:r>
      <w:r w:rsidR="00FA79B6">
        <w:t xml:space="preserve"> for prising av laboratorieinfrastruktur</w:t>
      </w:r>
      <w:r w:rsidR="00283F26">
        <w:t>.</w:t>
      </w:r>
      <w:r w:rsidR="0051341D">
        <w:rPr>
          <w:rStyle w:val="Fotnotereferanse"/>
        </w:rPr>
        <w:footnoteReference w:id="4"/>
      </w:r>
      <w:r w:rsidR="00AE235D">
        <w:t xml:space="preserve"> </w:t>
      </w:r>
      <w:r w:rsidR="005E5BB6">
        <w:t xml:space="preserve">NTNU ledet dettet arbeidet og våre fagmiljøer </w:t>
      </w:r>
      <w:r w:rsidR="00DD528F">
        <w:t xml:space="preserve">(NT, DMF, IVT) </w:t>
      </w:r>
      <w:r w:rsidR="005E5BB6">
        <w:t xml:space="preserve">var aktivt med i utviklingen </w:t>
      </w:r>
      <w:r w:rsidR="00DD528F">
        <w:t xml:space="preserve">av leiestedsmodell </w:t>
      </w:r>
      <w:r w:rsidR="005E5BB6">
        <w:t>sammen med pilotmiljø fra U</w:t>
      </w:r>
      <w:r w:rsidR="00DD528F">
        <w:t>i</w:t>
      </w:r>
      <w:r w:rsidR="005E5BB6">
        <w:t xml:space="preserve">O og UiB. </w:t>
      </w:r>
    </w:p>
    <w:p w:rsidR="005E5BB6" w:rsidRDefault="00FA79B6" w:rsidP="0051341D">
      <w:pPr>
        <w:spacing w:after="200" w:line="276" w:lineRule="auto"/>
      </w:pPr>
      <w:r>
        <w:t>TDI modellen</w:t>
      </w:r>
      <w:r w:rsidR="00AE235D">
        <w:t>, inkludert leiestedsmodellen,</w:t>
      </w:r>
      <w:r>
        <w:t xml:space="preserve"> </w:t>
      </w:r>
      <w:r w:rsidR="004445F9" w:rsidRPr="004445F9">
        <w:t>er forankret i Forskningsrådet</w:t>
      </w:r>
      <w:r w:rsidR="005E5BB6">
        <w:t xml:space="preserve"> som</w:t>
      </w:r>
      <w:r w:rsidR="004445F9" w:rsidRPr="004445F9">
        <w:t xml:space="preserve"> </w:t>
      </w:r>
      <w:r>
        <w:t xml:space="preserve">har </w:t>
      </w:r>
      <w:r w:rsidR="004445F9" w:rsidRPr="004445F9">
        <w:t>tilpasse</w:t>
      </w:r>
      <w:r w:rsidR="004445F9">
        <w:t>t</w:t>
      </w:r>
      <w:r w:rsidR="004445F9" w:rsidRPr="004445F9">
        <w:t xml:space="preserve"> sine systemer til å ta imot søknader basert </w:t>
      </w:r>
      <w:r w:rsidR="004445F9" w:rsidRPr="001C623D">
        <w:rPr>
          <w:sz w:val="22"/>
          <w:szCs w:val="22"/>
        </w:rPr>
        <w:t>på</w:t>
      </w:r>
      <w:r w:rsidR="004445F9" w:rsidRPr="004445F9">
        <w:t xml:space="preserve"> totalkostnadsprinsippet</w:t>
      </w:r>
      <w:r w:rsidR="0051341D">
        <w:t>.</w:t>
      </w:r>
      <w:r w:rsidR="002B1BFE">
        <w:rPr>
          <w:rStyle w:val="Fotnotereferanse"/>
        </w:rPr>
        <w:footnoteReference w:id="5"/>
      </w:r>
      <w:r w:rsidR="0051341D">
        <w:t xml:space="preserve"> </w:t>
      </w:r>
      <w:r w:rsidR="005E5BB6" w:rsidRPr="005E5BB6">
        <w:t xml:space="preserve">Forskningsrådet har </w:t>
      </w:r>
      <w:r w:rsidR="00DD528F">
        <w:t xml:space="preserve">fra 2011 </w:t>
      </w:r>
      <w:r w:rsidR="005E5BB6" w:rsidRPr="005E5BB6">
        <w:t xml:space="preserve">signalisert at totale kostnader skal legges til grunn i søknadene om bidragsmidler, og </w:t>
      </w:r>
      <w:r w:rsidR="00DD528F">
        <w:t xml:space="preserve">at </w:t>
      </w:r>
      <w:r w:rsidR="005E5BB6" w:rsidRPr="005E5BB6">
        <w:t>Forskningsrådet tar sikte på å finansiere en større andel av de totale kostnadene i hvert prosjekt enn tilfellet har vært</w:t>
      </w:r>
      <w:r w:rsidR="00AB5D00">
        <w:t xml:space="preserve"> til nå</w:t>
      </w:r>
      <w:r w:rsidR="005E5BB6" w:rsidRPr="005E5BB6">
        <w:t xml:space="preserve">. </w:t>
      </w:r>
      <w:r w:rsidR="002B1BFE">
        <w:t>Forskningsrådet la i 2010</w:t>
      </w:r>
      <w:r w:rsidR="005E5BB6" w:rsidRPr="005E5BB6">
        <w:t xml:space="preserve"> om finansieringsordningene</w:t>
      </w:r>
      <w:r w:rsidR="005E5BB6">
        <w:t xml:space="preserve"> for vitenskapelig utstyr og bi</w:t>
      </w:r>
      <w:r w:rsidR="005E5BB6" w:rsidRPr="005E5BB6">
        <w:t xml:space="preserve">drar nå bare til kjøp av slikt utstyr i </w:t>
      </w:r>
      <w:r w:rsidR="00713BE6">
        <w:rPr>
          <w:i/>
        </w:rPr>
        <w:t>N</w:t>
      </w:r>
      <w:r w:rsidR="005E5BB6" w:rsidRPr="005E5BB6">
        <w:rPr>
          <w:i/>
        </w:rPr>
        <w:t xml:space="preserve">asjonale infrastrukturer. </w:t>
      </w:r>
      <w:r w:rsidR="005E5BB6" w:rsidRPr="005E5BB6">
        <w:t xml:space="preserve">Utstyr i det enkelte fagmiljø er fagmiljøenes eget ansvar, men Forskningsrådet vil akseptere å dekke </w:t>
      </w:r>
      <w:r w:rsidR="005E5BB6" w:rsidRPr="005E5BB6">
        <w:rPr>
          <w:i/>
        </w:rPr>
        <w:t>kostnadene for prosjektenes bruk av slikt utstyr</w:t>
      </w:r>
      <w:r w:rsidR="005E5BB6" w:rsidRPr="005E5BB6">
        <w:t xml:space="preserve">. </w:t>
      </w:r>
      <w:r w:rsidR="00191CE0" w:rsidRPr="00C431CE">
        <w:rPr>
          <w:rFonts w:eastAsia="Calibri"/>
          <w:lang w:eastAsia="en-US"/>
        </w:rPr>
        <w:t xml:space="preserve">Prising av leiested er derfor helt avgjørende for å hente finansiering til fornying av infrastruktur og </w:t>
      </w:r>
      <w:r w:rsidR="00191CE0">
        <w:rPr>
          <w:rFonts w:eastAsia="Calibri"/>
          <w:lang w:eastAsia="en-US"/>
        </w:rPr>
        <w:t xml:space="preserve">er </w:t>
      </w:r>
      <w:r w:rsidR="00191CE0" w:rsidRPr="00C431CE">
        <w:rPr>
          <w:rFonts w:eastAsia="Calibri"/>
          <w:lang w:eastAsia="en-US"/>
        </w:rPr>
        <w:t xml:space="preserve">en mulighet for å øke </w:t>
      </w:r>
      <w:r w:rsidR="00A81473">
        <w:rPr>
          <w:rFonts w:eastAsia="Calibri"/>
          <w:lang w:eastAsia="en-US"/>
        </w:rPr>
        <w:t>d</w:t>
      </w:r>
      <w:r w:rsidR="00191CE0" w:rsidRPr="00C431CE">
        <w:rPr>
          <w:rFonts w:eastAsia="Calibri"/>
          <w:lang w:eastAsia="en-US"/>
        </w:rPr>
        <w:t xml:space="preserve">ekningsbidraget i </w:t>
      </w:r>
      <w:r w:rsidR="00DD528F">
        <w:rPr>
          <w:rFonts w:eastAsia="Calibri"/>
          <w:lang w:eastAsia="en-US"/>
        </w:rPr>
        <w:t xml:space="preserve">nye </w:t>
      </w:r>
      <w:r w:rsidR="00191CE0" w:rsidRPr="00C431CE">
        <w:rPr>
          <w:rFonts w:eastAsia="Calibri"/>
          <w:lang w:eastAsia="en-US"/>
        </w:rPr>
        <w:t>prosjekte</w:t>
      </w:r>
      <w:r w:rsidR="00DD528F">
        <w:rPr>
          <w:rFonts w:eastAsia="Calibri"/>
          <w:lang w:eastAsia="en-US"/>
        </w:rPr>
        <w:t>r</w:t>
      </w:r>
      <w:r w:rsidR="00191CE0" w:rsidRPr="00C431CE">
        <w:rPr>
          <w:rFonts w:eastAsia="Calibri"/>
          <w:lang w:eastAsia="en-US"/>
        </w:rPr>
        <w:t xml:space="preserve"> for </w:t>
      </w:r>
      <w:r w:rsidR="00DD528F">
        <w:rPr>
          <w:rFonts w:eastAsia="Calibri"/>
          <w:lang w:eastAsia="en-US"/>
        </w:rPr>
        <w:t xml:space="preserve">fagmiljø </w:t>
      </w:r>
      <w:r w:rsidR="00191CE0" w:rsidRPr="00C431CE">
        <w:rPr>
          <w:rFonts w:eastAsia="Calibri"/>
          <w:lang w:eastAsia="en-US"/>
        </w:rPr>
        <w:t>som ikke tidligere har synliggjort slike kostnader</w:t>
      </w:r>
      <w:r w:rsidR="00191CE0" w:rsidRPr="00C431CE">
        <w:rPr>
          <w:rStyle w:val="Fotnotereferanse"/>
          <w:rFonts w:eastAsia="Calibri"/>
          <w:lang w:eastAsia="en-US"/>
        </w:rPr>
        <w:footnoteReference w:id="6"/>
      </w:r>
      <w:r w:rsidR="00191CE0" w:rsidRPr="00C431CE">
        <w:rPr>
          <w:rFonts w:eastAsia="Calibri"/>
          <w:lang w:eastAsia="en-US"/>
        </w:rPr>
        <w:t>.</w:t>
      </w:r>
    </w:p>
    <w:p w:rsidR="0051341D" w:rsidRPr="00DD528F" w:rsidRDefault="004445F9" w:rsidP="0044173B">
      <w:pPr>
        <w:spacing w:after="200" w:line="276" w:lineRule="auto"/>
        <w:rPr>
          <w:rFonts w:ascii="Arial" w:hAnsi="Arial" w:cs="Arial"/>
          <w:sz w:val="20"/>
        </w:rPr>
      </w:pPr>
      <w:r>
        <w:t xml:space="preserve">Kunnskapsdepartementet </w:t>
      </w:r>
      <w:r w:rsidR="0051341D">
        <w:t>skriver i tildelingsbrevet</w:t>
      </w:r>
      <w:r w:rsidR="00E46A62">
        <w:rPr>
          <w:rStyle w:val="Fotnotereferanse"/>
        </w:rPr>
        <w:footnoteReference w:id="7"/>
      </w:r>
      <w:r w:rsidR="0051341D">
        <w:t xml:space="preserve"> </w:t>
      </w:r>
      <w:r w:rsidR="00DD528F">
        <w:t xml:space="preserve">for 2014 </w:t>
      </w:r>
      <w:r w:rsidR="0051341D">
        <w:t>følgende om bidrags- og oppdragsfinansierte prosjekter:</w:t>
      </w:r>
      <w:r w:rsidR="005E5BB6">
        <w:t xml:space="preserve"> </w:t>
      </w:r>
      <w:r w:rsidR="0044173B" w:rsidRPr="00A81473">
        <w:rPr>
          <w:i/>
        </w:rPr>
        <w:t>«</w:t>
      </w:r>
      <w:r w:rsidR="0051341D" w:rsidRPr="00A81473">
        <w:rPr>
          <w:i/>
        </w:rPr>
        <w:t>Belastning av indirekte kostnader skal beregnes gjennom TDI-modellen med mindre prosjektets omfang eller kompleksitet er av en slik art at en enklere beregningsmodell kan legges til grunn. Kunnskapsdepartementet vil vurdere å gjøre TDI-modellen obligatorisk fra 2015.</w:t>
      </w:r>
      <w:r w:rsidR="005E5BB6" w:rsidRPr="00A81473">
        <w:rPr>
          <w:i/>
        </w:rPr>
        <w:t>»</w:t>
      </w:r>
    </w:p>
    <w:p w:rsidR="002B1BFE" w:rsidRDefault="002B1BFE" w:rsidP="002B1BFE">
      <w:pPr>
        <w:spacing w:after="200" w:line="276" w:lineRule="auto"/>
      </w:pPr>
      <w:r>
        <w:t>UHR har organisert opplæring i sektoren og de fleste institusjoner er nå i gang med implementering av TDI</w:t>
      </w:r>
      <w:r w:rsidR="00DD528F">
        <w:t>/leiested.</w:t>
      </w:r>
    </w:p>
    <w:p w:rsidR="002B1BFE" w:rsidRPr="00A81473" w:rsidRDefault="002B1BFE" w:rsidP="00A81473">
      <w:pPr>
        <w:spacing w:before="100" w:beforeAutospacing="1"/>
        <w:rPr>
          <w:rFonts w:ascii="Arial" w:hAnsi="Arial" w:cs="Arial"/>
          <w:b/>
          <w:sz w:val="22"/>
        </w:rPr>
      </w:pPr>
      <w:r w:rsidRPr="00A81473">
        <w:rPr>
          <w:rFonts w:ascii="Arial" w:hAnsi="Arial" w:cs="Arial"/>
          <w:b/>
          <w:sz w:val="22"/>
        </w:rPr>
        <w:lastRenderedPageBreak/>
        <w:t>Mål og hensikt</w:t>
      </w:r>
      <w:r w:rsidR="00DD528F" w:rsidRPr="00A81473">
        <w:rPr>
          <w:rFonts w:ascii="Arial" w:hAnsi="Arial" w:cs="Arial"/>
          <w:b/>
          <w:sz w:val="22"/>
        </w:rPr>
        <w:t xml:space="preserve"> med TDI modellen</w:t>
      </w:r>
    </w:p>
    <w:p w:rsidR="00B72E95" w:rsidRPr="0044173B" w:rsidRDefault="00B72E95" w:rsidP="00A81473">
      <w:pPr>
        <w:spacing w:after="200" w:line="276" w:lineRule="auto"/>
      </w:pPr>
      <w:r w:rsidRPr="00B72E95">
        <w:t>Ekstern finansiering av forskning gi</w:t>
      </w:r>
      <w:r w:rsidR="006F2559">
        <w:t>r</w:t>
      </w:r>
      <w:r w:rsidRPr="00B72E95">
        <w:t xml:space="preserve"> bedre vilkår for den beste forskningen ved at det kommer ekstra midler som er konkurranseutsatt og fordeles på grunnlag av forskningskvalitet. De eksterne midlene</w:t>
      </w:r>
      <w:r w:rsidR="006F2559">
        <w:t xml:space="preserve"> fra bidragsytere som Forskningsrådet</w:t>
      </w:r>
      <w:r w:rsidRPr="00B72E95">
        <w:t xml:space="preserve"> fullfinansierer sjelden alle typer kostnader i et forskningsprosjekt. Særlig har bidraget fra fast ansatte i gjennomføringen av prosjektene og store deler av den nødvendige </w:t>
      </w:r>
      <w:r>
        <w:t>forsknings</w:t>
      </w:r>
      <w:r w:rsidRPr="00B72E95">
        <w:t>infrastrukturen vært ansett som institusjonenes/fagmiljøenes egeninnsats. Størrelsen på egeninnsatsen har i mange tilfeller vært ukjent fordi kravet om budsjettering av totale prosjektkostnader ikke har vært fulgt opp i praksis. Handlingsromutvalget</w:t>
      </w:r>
      <w:r w:rsidRPr="00A81473">
        <w:rPr>
          <w:vertAlign w:val="superscript"/>
        </w:rPr>
        <w:footnoteReference w:id="8"/>
      </w:r>
      <w:r w:rsidRPr="00A81473">
        <w:rPr>
          <w:vertAlign w:val="superscript"/>
        </w:rPr>
        <w:t xml:space="preserve"> </w:t>
      </w:r>
      <w:r w:rsidRPr="00B72E95">
        <w:t>beskrev følgende paradoks:</w:t>
      </w:r>
      <w:r>
        <w:t xml:space="preserve"> </w:t>
      </w:r>
      <w:r w:rsidRPr="0044173B">
        <w:t xml:space="preserve">«Eksterne bidrag gir bedre vilkår for deler av forskningen, men krever egenandeler av de forskningsutførende institusjonene. Situasjonen de siste tiårene har vært at de eksterne bidragene til forskning vokser fortere enn institusjonenes grunnbevilgninger. Egenandelene må tas fra grunnbevilgningen. Økende egenandeler setter da eksisterende, andre aktiviteter under press, og det generelle handlingsrommet snevres inn.» </w:t>
      </w:r>
    </w:p>
    <w:p w:rsidR="004445F9" w:rsidRPr="004445F9" w:rsidRDefault="00AC6AA7" w:rsidP="00E54A30">
      <w:pPr>
        <w:spacing w:before="100" w:beforeAutospacing="1" w:after="100" w:afterAutospacing="1"/>
      </w:pPr>
      <w:r w:rsidRPr="00AC6AA7">
        <w:t>Totalkostmodellen</w:t>
      </w:r>
      <w:r w:rsidR="00713BE6">
        <w:t xml:space="preserve"> (TDI)</w:t>
      </w:r>
      <w:r w:rsidRPr="00AC6AA7">
        <w:t xml:space="preserve"> har ifølge UHR tre hovedmål</w:t>
      </w:r>
      <w:r>
        <w:t>:</w:t>
      </w:r>
    </w:p>
    <w:p w:rsidR="004445F9" w:rsidRPr="00E54A30" w:rsidRDefault="004445F9" w:rsidP="004445F9">
      <w:pPr>
        <w:numPr>
          <w:ilvl w:val="0"/>
          <w:numId w:val="19"/>
        </w:numPr>
        <w:spacing w:before="100" w:beforeAutospacing="1" w:after="100" w:afterAutospacing="1"/>
      </w:pPr>
      <w:r w:rsidRPr="00E54A30">
        <w:t xml:space="preserve">Synliggjøre de faktiske kostnadene slik at både de som finansierer og de som utfører prosjektet kan budsjettere og </w:t>
      </w:r>
      <w:proofErr w:type="spellStart"/>
      <w:r w:rsidRPr="00E54A30">
        <w:t>regnskapsføre</w:t>
      </w:r>
      <w:proofErr w:type="spellEnd"/>
      <w:r w:rsidRPr="00E54A30">
        <w:t xml:space="preserve"> reelt.</w:t>
      </w:r>
    </w:p>
    <w:p w:rsidR="004445F9" w:rsidRPr="00E54A30" w:rsidRDefault="004445F9" w:rsidP="004445F9">
      <w:pPr>
        <w:numPr>
          <w:ilvl w:val="0"/>
          <w:numId w:val="19"/>
        </w:numPr>
        <w:spacing w:before="100" w:beforeAutospacing="1" w:after="100" w:afterAutospacing="1"/>
      </w:pPr>
      <w:r w:rsidRPr="00E54A30">
        <w:t>Øke handlingsrommet for institusjonene ved at flere eksternt finansierte prosjekter blir fullfinansiert slik at disse ikke binder opp institusjonens øvrige midler.</w:t>
      </w:r>
    </w:p>
    <w:p w:rsidR="004445F9" w:rsidRPr="00E54A30" w:rsidRDefault="004445F9" w:rsidP="004445F9">
      <w:pPr>
        <w:numPr>
          <w:ilvl w:val="0"/>
          <w:numId w:val="19"/>
        </w:numPr>
        <w:spacing w:before="100" w:beforeAutospacing="1" w:after="100" w:afterAutospacing="1"/>
      </w:pPr>
      <w:r w:rsidRPr="00E54A30">
        <w:t>Ta i bruk prinsipper og rutiner for budsjett og regnskap som er mer i tråd med internasjonal forskningsfinansiering, særlig fra EU. </w:t>
      </w:r>
    </w:p>
    <w:p w:rsidR="00B72E95" w:rsidRDefault="00713BE6" w:rsidP="00B72E95">
      <w:pPr>
        <w:autoSpaceDE w:val="0"/>
        <w:autoSpaceDN w:val="0"/>
        <w:adjustRightInd w:val="0"/>
      </w:pPr>
      <w:r>
        <w:t xml:space="preserve">TDI modellen vil gi bedre styringsinformasjon </w:t>
      </w:r>
      <w:r w:rsidR="005E5BB6" w:rsidRPr="005E5BB6">
        <w:t>og grunnlag for å sikre økonomisk bærekraft, effektiv drift og prioriteringer</w:t>
      </w:r>
      <w:r w:rsidR="004E565C">
        <w:t xml:space="preserve">. </w:t>
      </w:r>
      <w:r w:rsidR="00B72E95">
        <w:t xml:space="preserve">Totaløkonomien vil bli mer transparent ved at sammenhengen og samhandlingen mellom bevilgningsfinansiert virksomhet (BFV) og BOA vil bli tydeligere. </w:t>
      </w:r>
    </w:p>
    <w:p w:rsidR="0044173B" w:rsidRDefault="0044173B" w:rsidP="00B72E95">
      <w:pPr>
        <w:autoSpaceDE w:val="0"/>
        <w:autoSpaceDN w:val="0"/>
        <w:adjustRightInd w:val="0"/>
      </w:pPr>
    </w:p>
    <w:p w:rsidR="00B72E95" w:rsidRDefault="00713BE6" w:rsidP="00B72E95">
      <w:pPr>
        <w:autoSpaceDE w:val="0"/>
        <w:autoSpaceDN w:val="0"/>
        <w:adjustRightInd w:val="0"/>
      </w:pPr>
      <w:r w:rsidRPr="00713BE6">
        <w:t xml:space="preserve">Langsiktig drift og utvikling av forskningsinfrastruktur </w:t>
      </w:r>
      <w:r>
        <w:t xml:space="preserve">forutsetter kunnskap om aktivitet, driftskostnader og investeringsbehov. </w:t>
      </w:r>
      <w:r w:rsidR="00B5059B">
        <w:t>I dag finansieres drift av forskningsinfrastruktur delvis over rammebevilgningen</w:t>
      </w:r>
      <w:r w:rsidR="006F2559">
        <w:t>, men en ukjent andel finansieres gjennom</w:t>
      </w:r>
      <w:r w:rsidR="0048446A">
        <w:t xml:space="preserve"> </w:t>
      </w:r>
      <w:r w:rsidR="00B5059B">
        <w:t>BOA prosjekter</w:t>
      </w:r>
      <w:r w:rsidR="006F2559">
        <w:t xml:space="preserve">. </w:t>
      </w:r>
      <w:r>
        <w:t xml:space="preserve">Leiestedsmodellen vil </w:t>
      </w:r>
      <w:r w:rsidR="0048446A">
        <w:t>bidra</w:t>
      </w:r>
      <w:r>
        <w:t xml:space="preserve"> til nødvendig </w:t>
      </w:r>
      <w:r w:rsidR="009727D4">
        <w:t>oversikt</w:t>
      </w:r>
      <w:r w:rsidR="006F2559">
        <w:t xml:space="preserve"> både</w:t>
      </w:r>
      <w:r w:rsidR="009727D4">
        <w:t xml:space="preserve"> </w:t>
      </w:r>
      <w:r w:rsidR="0048446A">
        <w:t>for NTNU selv og</w:t>
      </w:r>
      <w:r w:rsidR="006F2559">
        <w:t xml:space="preserve"> for</w:t>
      </w:r>
      <w:r w:rsidR="0048446A">
        <w:t xml:space="preserve"> bidragsytere, og gi muligheter for </w:t>
      </w:r>
      <w:r w:rsidR="00B72E95">
        <w:t>økte eksterne bidrag</w:t>
      </w:r>
      <w:r w:rsidR="006F2559">
        <w:t xml:space="preserve"> for dem som kan dokumentere kostnader</w:t>
      </w:r>
      <w:r w:rsidR="00B72E95">
        <w:t>.</w:t>
      </w:r>
    </w:p>
    <w:p w:rsidR="00713BE6" w:rsidRDefault="009727D4" w:rsidP="00713BE6">
      <w:pPr>
        <w:spacing w:before="100" w:beforeAutospacing="1" w:after="100" w:afterAutospacing="1"/>
      </w:pPr>
      <w:r w:rsidRPr="009727D4">
        <w:t xml:space="preserve">TDI modellen er </w:t>
      </w:r>
      <w:r>
        <w:t xml:space="preserve">altså </w:t>
      </w:r>
      <w:r w:rsidRPr="009727D4">
        <w:t xml:space="preserve">et verktøy for </w:t>
      </w:r>
      <w:proofErr w:type="spellStart"/>
      <w:r w:rsidRPr="009727D4">
        <w:t>UoH</w:t>
      </w:r>
      <w:proofErr w:type="spellEnd"/>
      <w:r w:rsidRPr="009727D4">
        <w:t xml:space="preserve"> sektoren for å </w:t>
      </w:r>
      <w:r w:rsidRPr="009727D4">
        <w:rPr>
          <w:i/>
        </w:rPr>
        <w:t>synliggjøre totale</w:t>
      </w:r>
      <w:r w:rsidR="00BC0B11">
        <w:rPr>
          <w:i/>
        </w:rPr>
        <w:t xml:space="preserve"> direkte og indirekte</w:t>
      </w:r>
      <w:r w:rsidRPr="009727D4">
        <w:rPr>
          <w:i/>
        </w:rPr>
        <w:t xml:space="preserve"> kostnader</w:t>
      </w:r>
      <w:r w:rsidRPr="009727D4">
        <w:t xml:space="preserve"> i BOA prosjektene. TDI modellen begrenser </w:t>
      </w:r>
      <w:r w:rsidR="00DD528F">
        <w:t xml:space="preserve">ikke </w:t>
      </w:r>
      <w:r w:rsidR="00BC0B11">
        <w:t xml:space="preserve">mulighetene for å legge inn ønsket </w:t>
      </w:r>
      <w:r w:rsidR="002B1BFE">
        <w:t>og/</w:t>
      </w:r>
      <w:r w:rsidR="00BC0B11">
        <w:t xml:space="preserve">eller nødvendig </w:t>
      </w:r>
      <w:r w:rsidR="00BC0B11" w:rsidRPr="009727D4">
        <w:t>egen</w:t>
      </w:r>
      <w:r w:rsidR="00BC0B11">
        <w:t xml:space="preserve">finansiering </w:t>
      </w:r>
      <w:r w:rsidRPr="009727D4">
        <w:t xml:space="preserve">i bidragsprosjekter. </w:t>
      </w:r>
      <w:r w:rsidR="002B1BFE">
        <w:t xml:space="preserve"> NTNUs </w:t>
      </w:r>
      <w:r w:rsidRPr="009727D4">
        <w:t xml:space="preserve">(eventuelle) egenfinansiering blir synliggjort som en inntekt i prosjektet sammen med eksterne bidrag. Oppdragsprosjekter skal </w:t>
      </w:r>
      <w:r w:rsidR="00BC0B11">
        <w:t xml:space="preserve">imidlertid </w:t>
      </w:r>
      <w:r w:rsidRPr="009727D4">
        <w:t>finansieres fullt ut av oppdragsgiver.</w:t>
      </w:r>
    </w:p>
    <w:p w:rsidR="00ED7440" w:rsidRDefault="00ED7440" w:rsidP="00E54A30">
      <w:pPr>
        <w:rPr>
          <w:rFonts w:ascii="Arial" w:hAnsi="Arial" w:cs="Arial"/>
          <w:b/>
        </w:rPr>
      </w:pPr>
      <w:r w:rsidRPr="00A81473">
        <w:rPr>
          <w:rFonts w:ascii="Arial" w:hAnsi="Arial" w:cs="Arial"/>
          <w:b/>
          <w:sz w:val="22"/>
        </w:rPr>
        <w:t>Kostnadstyper i TDI modellen</w:t>
      </w:r>
    </w:p>
    <w:p w:rsidR="00C431CE" w:rsidRPr="009727D4" w:rsidRDefault="00ED7440" w:rsidP="00E54A30">
      <w:pPr>
        <w:pStyle w:val="NormalWeb"/>
        <w:spacing w:before="0" w:beforeAutospacing="0"/>
        <w:rPr>
          <w:rFonts w:eastAsia="Calibri"/>
          <w:lang w:eastAsia="en-US"/>
        </w:rPr>
      </w:pPr>
      <w:r>
        <w:rPr>
          <w:rFonts w:eastAsia="Calibri"/>
          <w:lang w:eastAsia="en-US"/>
        </w:rPr>
        <w:t xml:space="preserve">TDI modellen skiller mellom </w:t>
      </w:r>
      <w:r w:rsidRPr="00DD528F">
        <w:rPr>
          <w:rFonts w:eastAsia="Calibri"/>
          <w:i/>
          <w:lang w:eastAsia="en-US"/>
        </w:rPr>
        <w:t xml:space="preserve">direkte </w:t>
      </w:r>
      <w:r>
        <w:rPr>
          <w:rFonts w:eastAsia="Calibri"/>
          <w:lang w:eastAsia="en-US"/>
        </w:rPr>
        <w:t xml:space="preserve">og </w:t>
      </w:r>
      <w:r w:rsidRPr="00DD528F">
        <w:rPr>
          <w:rFonts w:eastAsia="Calibri"/>
          <w:i/>
          <w:lang w:eastAsia="en-US"/>
        </w:rPr>
        <w:t>indirekte</w:t>
      </w:r>
      <w:r>
        <w:rPr>
          <w:rFonts w:eastAsia="Calibri"/>
          <w:lang w:eastAsia="en-US"/>
        </w:rPr>
        <w:t xml:space="preserve"> kostnader, se figur 1. </w:t>
      </w:r>
      <w:r w:rsidR="002B1BFE" w:rsidRPr="002B1BFE">
        <w:rPr>
          <w:rFonts w:eastAsia="Calibri"/>
          <w:lang w:eastAsia="en-US"/>
        </w:rPr>
        <w:t>Direkte kostnader er først og fremst lønn i vitenskapelige stillinger til gjennomføring av</w:t>
      </w:r>
      <w:r w:rsidR="002B1BFE">
        <w:rPr>
          <w:rFonts w:eastAsia="Calibri"/>
          <w:lang w:eastAsia="en-US"/>
        </w:rPr>
        <w:t xml:space="preserve"> </w:t>
      </w:r>
      <w:r w:rsidR="002B1BFE" w:rsidRPr="002B1BFE">
        <w:rPr>
          <w:rFonts w:eastAsia="Calibri"/>
          <w:lang w:eastAsia="en-US"/>
        </w:rPr>
        <w:t>forskningsprosjektet</w:t>
      </w:r>
      <w:r w:rsidR="002B1BFE">
        <w:rPr>
          <w:rFonts w:eastAsia="Calibri"/>
          <w:lang w:eastAsia="en-US"/>
        </w:rPr>
        <w:t xml:space="preserve">, leiestedskostnader (som bruk av utstyr, laboratorier og teknisk støttetjenester) og </w:t>
      </w:r>
      <w:r w:rsidR="002B1BFE" w:rsidRPr="002B1BFE">
        <w:rPr>
          <w:rFonts w:eastAsia="Calibri"/>
          <w:lang w:eastAsia="en-US"/>
        </w:rPr>
        <w:t>driftsmidler.</w:t>
      </w:r>
      <w:r w:rsidR="002B1BFE" w:rsidRPr="002B1BFE">
        <w:t xml:space="preserve"> </w:t>
      </w:r>
      <w:r w:rsidR="0044173B">
        <w:t>I</w:t>
      </w:r>
      <w:r w:rsidR="002B1BFE" w:rsidRPr="002B1BFE">
        <w:rPr>
          <w:rFonts w:eastAsia="Calibri"/>
          <w:lang w:eastAsia="en-US"/>
        </w:rPr>
        <w:t>ndirekte kostnader er kostnader til sentrale fellestjenester (bibliotek, IT, fellesadministrasjon) og lokal støtte (kontor og lokal ledelse og administrasjon på fakultet og institutt nivå).</w:t>
      </w:r>
      <w:r w:rsidR="00C431CE" w:rsidRPr="00C431CE">
        <w:rPr>
          <w:rFonts w:eastAsia="Calibri"/>
          <w:lang w:eastAsia="en-US"/>
        </w:rPr>
        <w:t xml:space="preserve"> </w:t>
      </w:r>
      <w:r w:rsidR="006F2559" w:rsidRPr="006F2559">
        <w:rPr>
          <w:rFonts w:eastAsia="Calibri"/>
          <w:lang w:eastAsia="en-US"/>
        </w:rPr>
        <w:t xml:space="preserve">TDI </w:t>
      </w:r>
      <w:r w:rsidR="006F2559" w:rsidRPr="006F2559">
        <w:rPr>
          <w:rFonts w:eastAsia="Calibri"/>
          <w:lang w:eastAsia="en-US"/>
        </w:rPr>
        <w:lastRenderedPageBreak/>
        <w:t>modellen beregner én institusjonsspesifikk sats for indirekte kostnader per ansatt ved å ta alle regnskapsførte kostnader til støttetjenester som bibliotek, IT, kontorarbeidsplass, fellesadministrasjon og lokal ledelse/administrasjon, og fordele på ansatte. Modellen skiller mellom vitenskapelig ansatte</w:t>
      </w:r>
      <w:r w:rsidR="00C431CE">
        <w:rPr>
          <w:rStyle w:val="Fotnotereferanse"/>
          <w:rFonts w:eastAsia="Calibri"/>
          <w:lang w:eastAsia="en-US"/>
        </w:rPr>
        <w:footnoteReference w:id="9"/>
      </w:r>
      <w:r w:rsidR="00C431CE" w:rsidRPr="009727D4">
        <w:rPr>
          <w:rFonts w:eastAsia="Calibri"/>
          <w:lang w:eastAsia="en-US"/>
        </w:rPr>
        <w:t xml:space="preserve"> </w:t>
      </w:r>
      <w:r w:rsidR="0049161F" w:rsidRPr="0049161F">
        <w:rPr>
          <w:rFonts w:eastAsia="Calibri"/>
          <w:lang w:eastAsia="en-US"/>
        </w:rPr>
        <w:t>og teknisk/adm</w:t>
      </w:r>
      <w:r w:rsidR="0049161F">
        <w:rPr>
          <w:rFonts w:eastAsia="Calibri"/>
          <w:lang w:eastAsia="en-US"/>
        </w:rPr>
        <w:t>inistrativt a</w:t>
      </w:r>
      <w:r w:rsidR="0049161F" w:rsidRPr="0049161F">
        <w:rPr>
          <w:rFonts w:eastAsia="Calibri"/>
          <w:lang w:eastAsia="en-US"/>
        </w:rPr>
        <w:t>nsatte</w:t>
      </w:r>
      <w:r w:rsidR="0049161F">
        <w:rPr>
          <w:rFonts w:eastAsia="Calibri"/>
          <w:lang w:eastAsia="en-US"/>
        </w:rPr>
        <w:t>.</w:t>
      </w:r>
      <w:r w:rsidR="0049161F">
        <w:rPr>
          <w:rStyle w:val="Fotnotereferanse"/>
          <w:rFonts w:eastAsia="Calibri"/>
          <w:lang w:eastAsia="en-US"/>
        </w:rPr>
        <w:footnoteReference w:id="10"/>
      </w:r>
    </w:p>
    <w:p w:rsidR="00ED7440" w:rsidRPr="002B1BFE" w:rsidRDefault="00ED7440" w:rsidP="00ED7440">
      <w:pPr>
        <w:pStyle w:val="NormalWeb"/>
        <w:rPr>
          <w:rFonts w:eastAsia="Calibri"/>
          <w:lang w:eastAsia="en-US"/>
        </w:rPr>
      </w:pPr>
      <w:r w:rsidRPr="002B1BFE">
        <w:rPr>
          <w:rFonts w:eastAsia="Calibri"/>
          <w:noProof/>
        </w:rPr>
        <w:drawing>
          <wp:inline distT="0" distB="0" distL="0" distR="0" wp14:anchorId="4DE2D821" wp14:editId="128A3F7C">
            <wp:extent cx="3175000" cy="1834232"/>
            <wp:effectExtent l="0" t="0" r="6350" b="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92929" cy="1902361"/>
                    </a:xfrm>
                    <a:prstGeom prst="rect">
                      <a:avLst/>
                    </a:prstGeom>
                  </pic:spPr>
                </pic:pic>
              </a:graphicData>
            </a:graphic>
          </wp:inline>
        </w:drawing>
      </w:r>
      <w:r w:rsidRPr="002B1BFE">
        <w:rPr>
          <w:rFonts w:eastAsia="Calibri"/>
          <w:lang w:eastAsia="en-US"/>
        </w:rPr>
        <w:t xml:space="preserve"> </w:t>
      </w:r>
    </w:p>
    <w:p w:rsidR="00ED7440" w:rsidRPr="002B1BFE" w:rsidRDefault="00ED7440" w:rsidP="00ED7440">
      <w:pPr>
        <w:pStyle w:val="NormalWeb"/>
        <w:spacing w:beforeAutospacing="0" w:after="0" w:afterAutospacing="0"/>
        <w:rPr>
          <w:rFonts w:eastAsia="Calibri"/>
          <w:lang w:eastAsia="en-US"/>
        </w:rPr>
      </w:pPr>
      <w:r w:rsidRPr="00C431CE">
        <w:rPr>
          <w:rFonts w:ascii="Arial" w:eastAsiaTheme="minorHAnsi" w:hAnsi="Arial" w:cs="Arial"/>
          <w:sz w:val="20"/>
          <w:lang w:eastAsia="en-US"/>
        </w:rPr>
        <w:t xml:space="preserve">Figur 1: </w:t>
      </w:r>
      <w:r w:rsidR="0049161F">
        <w:rPr>
          <w:rFonts w:ascii="Arial" w:eastAsiaTheme="minorHAnsi" w:hAnsi="Arial" w:cs="Arial"/>
          <w:sz w:val="20"/>
          <w:lang w:eastAsia="en-US"/>
        </w:rPr>
        <w:t xml:space="preserve">Skisse </w:t>
      </w:r>
      <w:r w:rsidRPr="00C431CE">
        <w:rPr>
          <w:rFonts w:ascii="Arial" w:eastAsiaTheme="minorHAnsi" w:hAnsi="Arial" w:cs="Arial"/>
          <w:sz w:val="20"/>
          <w:lang w:eastAsia="en-US"/>
        </w:rPr>
        <w:t>TDI modellen</w:t>
      </w:r>
    </w:p>
    <w:p w:rsidR="009727D4" w:rsidRPr="009727D4" w:rsidRDefault="009727D4" w:rsidP="009727D4">
      <w:pPr>
        <w:pStyle w:val="NormalWeb"/>
        <w:spacing w:before="96" w:beforeAutospacing="0" w:after="0" w:afterAutospacing="0"/>
        <w:rPr>
          <w:rFonts w:eastAsia="Calibri"/>
          <w:lang w:eastAsia="en-US"/>
        </w:rPr>
      </w:pPr>
    </w:p>
    <w:p w:rsidR="001A40D4" w:rsidRDefault="00191CE0" w:rsidP="009727D4">
      <w:pPr>
        <w:spacing w:after="200" w:line="276" w:lineRule="auto"/>
        <w:rPr>
          <w:rFonts w:eastAsia="Calibri"/>
          <w:lang w:eastAsia="en-US"/>
        </w:rPr>
      </w:pPr>
      <w:r>
        <w:rPr>
          <w:rFonts w:eastAsia="Calibri"/>
          <w:lang w:eastAsia="en-US"/>
        </w:rPr>
        <w:t xml:space="preserve">Satsene </w:t>
      </w:r>
      <w:r w:rsidR="0049161F">
        <w:rPr>
          <w:rFonts w:eastAsia="Calibri"/>
          <w:lang w:eastAsia="en-US"/>
        </w:rPr>
        <w:t xml:space="preserve">for indirekte kostnader </w:t>
      </w:r>
      <w:r>
        <w:rPr>
          <w:rFonts w:eastAsia="Calibri"/>
          <w:lang w:eastAsia="en-US"/>
        </w:rPr>
        <w:t xml:space="preserve">er et gjennomsnitt for alle fagmiljø og skal benyttes i alle nye prosjekter. </w:t>
      </w:r>
      <w:r w:rsidR="00DD528F">
        <w:rPr>
          <w:rFonts w:eastAsia="Calibri"/>
          <w:lang w:eastAsia="en-US"/>
        </w:rPr>
        <w:t>Merk at d</w:t>
      </w:r>
      <w:r w:rsidR="001A40D4" w:rsidRPr="001A40D4">
        <w:rPr>
          <w:rFonts w:eastAsia="Calibri"/>
          <w:lang w:eastAsia="en-US"/>
        </w:rPr>
        <w:t>e indirekte kostnadene er en sum av kostnader som i dag er fordelt på fakultet/institutt og fellesadministrasjonen.</w:t>
      </w:r>
      <w:r w:rsidR="003A417F">
        <w:rPr>
          <w:rFonts w:eastAsia="Calibri"/>
          <w:lang w:eastAsia="en-US"/>
        </w:rPr>
        <w:t xml:space="preserve"> </w:t>
      </w:r>
      <w:r w:rsidR="009727D4" w:rsidRPr="00C431CE">
        <w:rPr>
          <w:rFonts w:eastAsia="Calibri"/>
          <w:lang w:eastAsia="en-US"/>
        </w:rPr>
        <w:t>TDI modellen</w:t>
      </w:r>
      <w:r w:rsidR="00DD528F">
        <w:rPr>
          <w:rFonts w:eastAsia="Calibri"/>
          <w:lang w:eastAsia="en-US"/>
        </w:rPr>
        <w:t xml:space="preserve"> vil</w:t>
      </w:r>
      <w:r w:rsidR="009727D4" w:rsidRPr="00C431CE">
        <w:rPr>
          <w:rFonts w:eastAsia="Calibri"/>
          <w:lang w:eastAsia="en-US"/>
        </w:rPr>
        <w:t xml:space="preserve"> </w:t>
      </w:r>
      <w:r w:rsidR="001A40D4">
        <w:rPr>
          <w:rFonts w:eastAsia="Calibri"/>
          <w:lang w:eastAsia="en-US"/>
        </w:rPr>
        <w:t xml:space="preserve">i </w:t>
      </w:r>
      <w:r w:rsidR="009727D4" w:rsidRPr="00C431CE">
        <w:rPr>
          <w:rFonts w:eastAsia="Calibri"/>
          <w:lang w:eastAsia="en-US"/>
        </w:rPr>
        <w:t xml:space="preserve">de fleste prosjekter </w:t>
      </w:r>
      <w:r w:rsidR="001A40D4">
        <w:rPr>
          <w:rFonts w:eastAsia="Calibri"/>
          <w:lang w:eastAsia="en-US"/>
        </w:rPr>
        <w:t xml:space="preserve">gi </w:t>
      </w:r>
      <w:r w:rsidR="009727D4" w:rsidRPr="00C431CE">
        <w:rPr>
          <w:rFonts w:eastAsia="Calibri"/>
          <w:lang w:eastAsia="en-US"/>
        </w:rPr>
        <w:t>noe høyere indirekte kostnader i prosjektene sammenliknet med NTNUs tidligere praksis med 40 % påslag for indirekte kostnader.</w:t>
      </w:r>
      <w:r>
        <w:rPr>
          <w:rFonts w:eastAsia="Calibri"/>
          <w:lang w:eastAsia="en-US"/>
        </w:rPr>
        <w:t xml:space="preserve"> TDI modellen synliggjør </w:t>
      </w:r>
      <w:r w:rsidR="00DD528F">
        <w:rPr>
          <w:rFonts w:eastAsia="Calibri"/>
          <w:lang w:eastAsia="en-US"/>
        </w:rPr>
        <w:t xml:space="preserve">dermed </w:t>
      </w:r>
      <w:r>
        <w:rPr>
          <w:rFonts w:eastAsia="Calibri"/>
          <w:lang w:eastAsia="en-US"/>
        </w:rPr>
        <w:t>kostnader som tidligere har vært en skjult egeninnsats i prosjektene.</w:t>
      </w:r>
      <w:r w:rsidR="001A40D4">
        <w:rPr>
          <w:rFonts w:eastAsia="Calibri"/>
          <w:lang w:eastAsia="en-US"/>
        </w:rPr>
        <w:t xml:space="preserve"> </w:t>
      </w:r>
    </w:p>
    <w:p w:rsidR="00191CE0" w:rsidRDefault="00191CE0" w:rsidP="009727D4">
      <w:pPr>
        <w:spacing w:after="200" w:line="276" w:lineRule="auto"/>
        <w:rPr>
          <w:rFonts w:eastAsia="Calibri"/>
          <w:lang w:eastAsia="en-US"/>
        </w:rPr>
      </w:pPr>
      <w:r>
        <w:rPr>
          <w:rFonts w:eastAsia="Calibri"/>
          <w:lang w:eastAsia="en-US"/>
        </w:rPr>
        <w:t xml:space="preserve">Mens satser for indirekte kostnader kan beregnes for NTNU samlet, må priser for leiested beregnes </w:t>
      </w:r>
      <w:r w:rsidR="003A417F">
        <w:rPr>
          <w:rFonts w:eastAsia="Calibri"/>
          <w:lang w:eastAsia="en-US"/>
        </w:rPr>
        <w:t xml:space="preserve">av leiestedenes eier som er institutt eller </w:t>
      </w:r>
      <w:r>
        <w:rPr>
          <w:rFonts w:eastAsia="Calibri"/>
          <w:lang w:eastAsia="en-US"/>
        </w:rPr>
        <w:t>fakultet</w:t>
      </w:r>
      <w:r w:rsidR="00DD528F">
        <w:rPr>
          <w:rFonts w:eastAsia="Calibri"/>
          <w:lang w:eastAsia="en-US"/>
        </w:rPr>
        <w:t>. P</w:t>
      </w:r>
      <w:r>
        <w:rPr>
          <w:rFonts w:eastAsia="Calibri"/>
          <w:lang w:eastAsia="en-US"/>
        </w:rPr>
        <w:t>risberegning</w:t>
      </w:r>
      <w:r w:rsidR="00DD528F">
        <w:rPr>
          <w:rFonts w:eastAsia="Calibri"/>
          <w:lang w:eastAsia="en-US"/>
        </w:rPr>
        <w:t xml:space="preserve">en skal følge prinsippene i leiestedsmodellen, men </w:t>
      </w:r>
      <w:r>
        <w:rPr>
          <w:rFonts w:eastAsia="Calibri"/>
          <w:lang w:eastAsia="en-US"/>
        </w:rPr>
        <w:t xml:space="preserve">forutsetter lokal kjennskap til leiestedets </w:t>
      </w:r>
      <w:r w:rsidR="00DD528F">
        <w:rPr>
          <w:rFonts w:eastAsia="Calibri"/>
          <w:lang w:eastAsia="en-US"/>
        </w:rPr>
        <w:t xml:space="preserve">avgrensning, </w:t>
      </w:r>
      <w:r>
        <w:rPr>
          <w:rFonts w:eastAsia="Calibri"/>
          <w:lang w:eastAsia="en-US"/>
        </w:rPr>
        <w:t>kostnader og kapasitet.</w:t>
      </w:r>
      <w:r w:rsidR="009727D4" w:rsidRPr="00C431CE">
        <w:rPr>
          <w:rFonts w:eastAsia="Calibri"/>
          <w:lang w:eastAsia="en-US"/>
        </w:rPr>
        <w:t xml:space="preserve"> </w:t>
      </w:r>
      <w:r>
        <w:rPr>
          <w:rFonts w:eastAsia="Calibri"/>
          <w:lang w:eastAsia="en-US"/>
        </w:rPr>
        <w:t>Leiestedsmodellen vil gjelde for all forskningsinfrastruktur ved NTNU</w:t>
      </w:r>
      <w:r w:rsidR="00DD528F">
        <w:rPr>
          <w:rFonts w:eastAsia="Calibri"/>
          <w:lang w:eastAsia="en-US"/>
        </w:rPr>
        <w:t xml:space="preserve">. </w:t>
      </w:r>
      <w:r>
        <w:rPr>
          <w:rFonts w:eastAsia="Calibri"/>
          <w:lang w:eastAsia="en-US"/>
        </w:rPr>
        <w:t>Prising skal likevel ikke skal være barriere for bruk</w:t>
      </w:r>
      <w:r w:rsidR="00DD528F">
        <w:rPr>
          <w:rFonts w:eastAsia="Calibri"/>
          <w:lang w:eastAsia="en-US"/>
        </w:rPr>
        <w:t xml:space="preserve">. Internfinansierte forskningsprosjekter kan benytte leiesteder på eiers regning. </w:t>
      </w:r>
      <w:r>
        <w:rPr>
          <w:rFonts w:eastAsia="Calibri"/>
          <w:lang w:eastAsia="en-US"/>
        </w:rPr>
        <w:t xml:space="preserve">Leiestedskostnader kan </w:t>
      </w:r>
      <w:r w:rsidR="00DD528F">
        <w:rPr>
          <w:rFonts w:eastAsia="Calibri"/>
          <w:lang w:eastAsia="en-US"/>
        </w:rPr>
        <w:t>også (</w:t>
      </w:r>
      <w:r>
        <w:rPr>
          <w:rFonts w:eastAsia="Calibri"/>
          <w:lang w:eastAsia="en-US"/>
        </w:rPr>
        <w:t>om nødvendig</w:t>
      </w:r>
      <w:r w:rsidR="00DD528F">
        <w:rPr>
          <w:rFonts w:eastAsia="Calibri"/>
          <w:lang w:eastAsia="en-US"/>
        </w:rPr>
        <w:t>)</w:t>
      </w:r>
      <w:r>
        <w:rPr>
          <w:rFonts w:eastAsia="Calibri"/>
          <w:lang w:eastAsia="en-US"/>
        </w:rPr>
        <w:t xml:space="preserve"> dekkes av NTNU som egeninnsats i BOA prosjektene. </w:t>
      </w:r>
    </w:p>
    <w:p w:rsidR="00A81473" w:rsidRDefault="008D7C45" w:rsidP="00A81473">
      <w:pPr>
        <w:rPr>
          <w:rFonts w:ascii="Arial" w:hAnsi="Arial" w:cs="Arial"/>
          <w:b/>
          <w:sz w:val="22"/>
        </w:rPr>
      </w:pPr>
      <w:r w:rsidRPr="00A81473">
        <w:rPr>
          <w:rFonts w:ascii="Arial" w:hAnsi="Arial" w:cs="Arial"/>
          <w:b/>
          <w:sz w:val="22"/>
        </w:rPr>
        <w:t xml:space="preserve">Implementering </w:t>
      </w:r>
      <w:r w:rsidR="009727D4" w:rsidRPr="00A81473">
        <w:rPr>
          <w:rFonts w:ascii="Arial" w:hAnsi="Arial" w:cs="Arial"/>
          <w:b/>
          <w:sz w:val="22"/>
        </w:rPr>
        <w:t xml:space="preserve">av TDI/leiested </w:t>
      </w:r>
      <w:r w:rsidRPr="00A81473">
        <w:rPr>
          <w:rFonts w:ascii="Arial" w:hAnsi="Arial" w:cs="Arial"/>
          <w:b/>
          <w:sz w:val="22"/>
        </w:rPr>
        <w:t>NTNU</w:t>
      </w:r>
    </w:p>
    <w:p w:rsidR="00DD528F" w:rsidRPr="00A81473" w:rsidRDefault="00DD528F" w:rsidP="00A81473">
      <w:pPr>
        <w:rPr>
          <w:rFonts w:ascii="Arial" w:hAnsi="Arial" w:cs="Arial"/>
          <w:b/>
        </w:rPr>
      </w:pPr>
      <w:r w:rsidRPr="009727D4">
        <w:rPr>
          <w:i/>
        </w:rPr>
        <w:t xml:space="preserve">Målet for NTNU er at alle fakulteter og Vitenskapsmuseet skal være i stand til å ta i bruk TDI/leiestedsmodell fullt ut </w:t>
      </w:r>
      <w:r>
        <w:rPr>
          <w:i/>
        </w:rPr>
        <w:t xml:space="preserve">for nye BOA prosjekter </w:t>
      </w:r>
      <w:r w:rsidRPr="009727D4">
        <w:rPr>
          <w:i/>
        </w:rPr>
        <w:t>fra og med 1.1.2015</w:t>
      </w:r>
      <w:r>
        <w:rPr>
          <w:i/>
        </w:rPr>
        <w:t>.</w:t>
      </w:r>
    </w:p>
    <w:p w:rsidR="001A40D4" w:rsidRDefault="001C623D" w:rsidP="001C623D">
      <w:pPr>
        <w:spacing w:before="100" w:beforeAutospacing="1" w:after="100" w:afterAutospacing="1" w:line="276" w:lineRule="auto"/>
      </w:pPr>
      <w:r w:rsidRPr="001A40D4">
        <w:t xml:space="preserve">TDI modellen implementeres for </w:t>
      </w:r>
      <w:r w:rsidRPr="00211127">
        <w:rPr>
          <w:i/>
        </w:rPr>
        <w:t>nye prosjekter</w:t>
      </w:r>
      <w:r w:rsidRPr="001A40D4">
        <w:t xml:space="preserve"> så snart fakultetene er i stand til det</w:t>
      </w:r>
      <w:r>
        <w:t xml:space="preserve">. </w:t>
      </w:r>
      <w:r w:rsidR="00DD528F" w:rsidRPr="00DD528F">
        <w:t>Det store omfanget av forskningsinfrastruktur gjør at innføring av leiestedsmodellen og beregning av priser for leiesteder er spesielt tidkrevende for noen fakulteter.</w:t>
      </w:r>
      <w:r w:rsidR="0049161F">
        <w:t xml:space="preserve"> </w:t>
      </w:r>
      <w:r w:rsidR="008D7C45" w:rsidRPr="00984B99">
        <w:t>For å minimere utfordringene med implementering</w:t>
      </w:r>
      <w:r w:rsidR="009727D4">
        <w:t xml:space="preserve"> og unngå utilsiktede negative konsekvenser av TDI/leiested</w:t>
      </w:r>
      <w:r w:rsidR="008D7C45" w:rsidRPr="00984B99">
        <w:t>,</w:t>
      </w:r>
      <w:r w:rsidR="008D7C45" w:rsidRPr="00294D54">
        <w:t xml:space="preserve"> er det </w:t>
      </w:r>
      <w:r w:rsidR="008D7C45" w:rsidRPr="00294D54">
        <w:lastRenderedPageBreak/>
        <w:t xml:space="preserve">gjennomført en pilotfase frem til sommeren 2014. </w:t>
      </w:r>
      <w:r w:rsidR="00DD528F">
        <w:t>Tre</w:t>
      </w:r>
      <w:r w:rsidR="008D7C45" w:rsidRPr="00294D54">
        <w:t xml:space="preserve"> institutter </w:t>
      </w:r>
      <w:r w:rsidR="00D10652">
        <w:t xml:space="preserve">fra IME, IVT og DMF </w:t>
      </w:r>
      <w:r w:rsidR="008D7C45" w:rsidRPr="00294D54">
        <w:t>var piloter</w:t>
      </w:r>
      <w:r w:rsidR="00D10652">
        <w:t>. S</w:t>
      </w:r>
      <w:r w:rsidR="008D7C45" w:rsidRPr="00294D54">
        <w:t>ammen med en prosjektgruppe</w:t>
      </w:r>
      <w:r w:rsidR="008D7C45" w:rsidRPr="00984B99">
        <w:t xml:space="preserve"> i fellesadministrasjonen</w:t>
      </w:r>
      <w:r w:rsidR="008D7C45" w:rsidRPr="00294D54">
        <w:t xml:space="preserve"> og egen fakultetsadministrasjon, har pilot</w:t>
      </w:r>
      <w:r w:rsidR="009727D4">
        <w:t>instituttene</w:t>
      </w:r>
      <w:r w:rsidR="008D7C45" w:rsidRPr="00294D54">
        <w:t xml:space="preserve"> arbeidet med implementering og</w:t>
      </w:r>
      <w:r w:rsidR="008D7C45" w:rsidRPr="00984B99">
        <w:t xml:space="preserve"> identifisert og løst problemer løpende.</w:t>
      </w:r>
      <w:r w:rsidR="008D7C45">
        <w:t xml:space="preserve"> Erfaringene og systemendringene</w:t>
      </w:r>
      <w:r w:rsidR="008D7C45" w:rsidRPr="00294D54">
        <w:t xml:space="preserve"> </w:t>
      </w:r>
      <w:r w:rsidR="008D7C45">
        <w:t>er</w:t>
      </w:r>
      <w:r w:rsidR="008D7C45" w:rsidRPr="00294D54">
        <w:t xml:space="preserve"> formidlet til</w:t>
      </w:r>
      <w:r w:rsidR="008D7C45" w:rsidRPr="00984B99">
        <w:t xml:space="preserve"> fakulteter/institutter</w:t>
      </w:r>
      <w:r w:rsidR="008D7C45" w:rsidRPr="00294D54">
        <w:t xml:space="preserve"> gjennom opplæringsdager</w:t>
      </w:r>
      <w:r w:rsidR="008D7C45">
        <w:t xml:space="preserve"> med ledere og administrative medarbeidere</w:t>
      </w:r>
      <w:r w:rsidR="00DD528F">
        <w:t xml:space="preserve"> i mai</w:t>
      </w:r>
      <w:r w:rsidR="008D7C45">
        <w:t>, samt</w:t>
      </w:r>
      <w:r w:rsidR="008D7C45" w:rsidRPr="00294D54">
        <w:t xml:space="preserve"> informasjon på nettsider. </w:t>
      </w:r>
      <w:r w:rsidR="001A40D4" w:rsidRPr="001A40D4">
        <w:t xml:space="preserve">Det er </w:t>
      </w:r>
      <w:r w:rsidR="00DD528F">
        <w:t xml:space="preserve">blant annet </w:t>
      </w:r>
      <w:r w:rsidR="001A40D4" w:rsidRPr="001A40D4">
        <w:t xml:space="preserve">utviklet nye budsjetteringsmaler for BOA prosjekter som gjør det enkelt </w:t>
      </w:r>
      <w:r w:rsidR="0049161F">
        <w:t xml:space="preserve">for prosjektledere/forskere </w:t>
      </w:r>
      <w:r w:rsidR="001A40D4" w:rsidRPr="001A40D4">
        <w:t>å ta i bruk de nye satsene for indirekte kostnader</w:t>
      </w:r>
      <w:r w:rsidR="00DD528F">
        <w:t xml:space="preserve"> i nye prosjektsøknader</w:t>
      </w:r>
      <w:r w:rsidR="001A40D4" w:rsidRPr="001A40D4">
        <w:t>.</w:t>
      </w:r>
      <w:r w:rsidR="0049161F">
        <w:t xml:space="preserve"> </w:t>
      </w:r>
    </w:p>
    <w:p w:rsidR="00D10652" w:rsidRDefault="00DD528F" w:rsidP="008D7C45">
      <w:pPr>
        <w:spacing w:after="200" w:line="276" w:lineRule="auto"/>
      </w:pPr>
      <w:r>
        <w:t xml:space="preserve">Flere av </w:t>
      </w:r>
      <w:r w:rsidR="001A40D4" w:rsidRPr="001A40D4">
        <w:t>fakultete</w:t>
      </w:r>
      <w:r>
        <w:t>ne</w:t>
      </w:r>
      <w:r w:rsidR="001A40D4" w:rsidRPr="001A40D4">
        <w:t xml:space="preserve"> har kommet langt i impl</w:t>
      </w:r>
      <w:r w:rsidR="001A40D4">
        <w:t>ementering av leiestedsmodellen.</w:t>
      </w:r>
      <w:r w:rsidR="001A40D4" w:rsidRPr="001A40D4">
        <w:t xml:space="preserve"> Det planlegges workshops og andre opplæringstiltak i høstsemesteret for å sikre smidig implementering og utveksling av erfaringer</w:t>
      </w:r>
      <w:r w:rsidR="001A40D4">
        <w:t xml:space="preserve"> slik at alle kommer i mål til årsskiftet. </w:t>
      </w:r>
    </w:p>
    <w:p w:rsidR="008D7C45" w:rsidRDefault="008D7C45" w:rsidP="008D7C45">
      <w:pPr>
        <w:spacing w:after="200" w:line="276" w:lineRule="auto"/>
      </w:pPr>
      <w:r w:rsidRPr="00984B99">
        <w:t>Implementeringen av TDI</w:t>
      </w:r>
      <w:r>
        <w:t>/</w:t>
      </w:r>
      <w:r w:rsidRPr="00984B99">
        <w:t xml:space="preserve">leiestedsmodell </w:t>
      </w:r>
      <w:r>
        <w:t>vil</w:t>
      </w:r>
      <w:r w:rsidR="00DD528F">
        <w:t xml:space="preserve"> også</w:t>
      </w:r>
      <w:r>
        <w:t xml:space="preserve"> i 2014/2015 </w:t>
      </w:r>
      <w:r w:rsidRPr="00984B99">
        <w:t xml:space="preserve">kreve lederoppmerksomhet for å sikre hensiktsmessige og helhetlige løsninger som holder transaksjonskostnadene og administrativt merarbeid på et minimum. </w:t>
      </w:r>
      <w:r>
        <w:t xml:space="preserve">Fakultetene og instituttene har i dag ulike rutiner og systemer og det er </w:t>
      </w:r>
      <w:r w:rsidR="00DD528F">
        <w:t xml:space="preserve">i noen tilfeller </w:t>
      </w:r>
      <w:r>
        <w:t xml:space="preserve">en utfordring å finne felles løsninger. Innføring av TDI modellen er en god anledning til å samkjøre og forenkle </w:t>
      </w:r>
      <w:r w:rsidR="00DD528F">
        <w:t xml:space="preserve">noen rutiner og </w:t>
      </w:r>
      <w:r>
        <w:t>systemer slik at vi kan finne flere gode</w:t>
      </w:r>
      <w:r w:rsidR="001A40D4">
        <w:t>, effektive fellesløsninger for NTNU</w:t>
      </w:r>
      <w:r>
        <w:t>. God involvering av fakulteter og institutter</w:t>
      </w:r>
      <w:r w:rsidR="00DD528F">
        <w:t xml:space="preserve"> er sammen med</w:t>
      </w:r>
      <w:r>
        <w:t xml:space="preserve"> målrettet opplæring </w:t>
      </w:r>
      <w:r w:rsidR="00DD528F">
        <w:t>av medarbeidere</w:t>
      </w:r>
      <w:r>
        <w:t xml:space="preserve"> en forutsetning for at endringene skal implementeres</w:t>
      </w:r>
      <w:r w:rsidR="001A40D4">
        <w:t xml:space="preserve"> uten utilsiktede negative konsekvenser</w:t>
      </w:r>
      <w:r>
        <w:t>.</w:t>
      </w:r>
      <w:r w:rsidR="00474907">
        <w:t xml:space="preserve"> </w:t>
      </w:r>
    </w:p>
    <w:p w:rsidR="00DD528F" w:rsidRDefault="00191CE0" w:rsidP="00984B99">
      <w:pPr>
        <w:spacing w:after="200" w:line="276" w:lineRule="auto"/>
        <w:rPr>
          <w:rFonts w:eastAsia="Calibri"/>
          <w:lang w:eastAsia="en-US"/>
        </w:rPr>
      </w:pPr>
      <w:r w:rsidRPr="001A40D4">
        <w:rPr>
          <w:rFonts w:eastAsia="Calibri"/>
          <w:lang w:eastAsia="en-US"/>
        </w:rPr>
        <w:t>En betydelig del av kostnadene for drift av</w:t>
      </w:r>
      <w:r w:rsidR="001A40D4" w:rsidRPr="001A40D4">
        <w:rPr>
          <w:rFonts w:eastAsia="Calibri"/>
          <w:lang w:eastAsia="en-US"/>
        </w:rPr>
        <w:t xml:space="preserve"> leiested/</w:t>
      </w:r>
      <w:r w:rsidRPr="001A40D4">
        <w:rPr>
          <w:rFonts w:eastAsia="Calibri"/>
          <w:lang w:eastAsia="en-US"/>
        </w:rPr>
        <w:t>forskningsinfrastruktur finansieres fra rammebevilgningen</w:t>
      </w:r>
      <w:r w:rsidR="00DD528F">
        <w:rPr>
          <w:rFonts w:eastAsia="Calibri"/>
          <w:lang w:eastAsia="en-US"/>
        </w:rPr>
        <w:t xml:space="preserve"> (fordelt gjennom inntektsfordelingsmodellen)</w:t>
      </w:r>
      <w:r w:rsidR="001A40D4">
        <w:rPr>
          <w:rFonts w:eastAsia="Calibri"/>
          <w:lang w:eastAsia="en-US"/>
        </w:rPr>
        <w:t xml:space="preserve"> slik at</w:t>
      </w:r>
      <w:r w:rsidRPr="001A40D4">
        <w:rPr>
          <w:rFonts w:eastAsia="Calibri"/>
          <w:lang w:eastAsia="en-US"/>
        </w:rPr>
        <w:t xml:space="preserve"> forsknings</w:t>
      </w:r>
      <w:r w:rsidR="0049161F">
        <w:rPr>
          <w:rFonts w:eastAsia="Calibri"/>
          <w:lang w:eastAsia="en-US"/>
        </w:rPr>
        <w:t>-</w:t>
      </w:r>
      <w:r w:rsidRPr="001A40D4">
        <w:rPr>
          <w:rFonts w:eastAsia="Calibri"/>
          <w:lang w:eastAsia="en-US"/>
        </w:rPr>
        <w:t>infrastruktur</w:t>
      </w:r>
      <w:r w:rsidR="001A40D4">
        <w:rPr>
          <w:rFonts w:eastAsia="Calibri"/>
          <w:lang w:eastAsia="en-US"/>
        </w:rPr>
        <w:t xml:space="preserve"> skal være</w:t>
      </w:r>
      <w:r w:rsidRPr="001A40D4">
        <w:rPr>
          <w:rFonts w:eastAsia="Calibri"/>
          <w:lang w:eastAsia="en-US"/>
        </w:rPr>
        <w:t xml:space="preserve"> tilgjengelig for internfinansiert utdannings- og forskningsaktivitet. Ledere må stimulere til god utnyttelse av tilgjengelige forsknings</w:t>
      </w:r>
      <w:r w:rsidR="00E54A30">
        <w:rPr>
          <w:rFonts w:eastAsia="Calibri"/>
          <w:lang w:eastAsia="en-US"/>
        </w:rPr>
        <w:t>infrastrukturer</w:t>
      </w:r>
      <w:r w:rsidRPr="001A40D4">
        <w:rPr>
          <w:rFonts w:eastAsia="Calibri"/>
          <w:lang w:eastAsia="en-US"/>
        </w:rPr>
        <w:t>. Pilotene har laget anbefalinger for håndtering av pengestrømmer og fakturering i ulike prosjekter.</w:t>
      </w:r>
      <w:r w:rsidRPr="001A40D4">
        <w:rPr>
          <w:rStyle w:val="Fotnotereferanse"/>
          <w:rFonts w:eastAsia="Calibri"/>
          <w:lang w:eastAsia="en-US"/>
        </w:rPr>
        <w:footnoteReference w:id="11"/>
      </w:r>
    </w:p>
    <w:p w:rsidR="00984B99" w:rsidRPr="00267CFC" w:rsidRDefault="00DD528F" w:rsidP="00E54A30">
      <w:pPr>
        <w:spacing w:after="200" w:line="276" w:lineRule="auto"/>
        <w:rPr>
          <w:b/>
        </w:rPr>
      </w:pPr>
      <w:r>
        <w:rPr>
          <w:rFonts w:eastAsia="Calibri"/>
          <w:lang w:eastAsia="en-US"/>
        </w:rPr>
        <w:t>Det settes inn nødvendige ressurser i fellesadministrasjonen for å bistå fakultetene i arbeidet med implementering av leiestedsmodellen.</w:t>
      </w:r>
      <w:r w:rsidR="0049161F">
        <w:rPr>
          <w:rFonts w:eastAsia="Calibri"/>
          <w:lang w:eastAsia="en-US"/>
        </w:rPr>
        <w:t xml:space="preserve"> </w:t>
      </w:r>
    </w:p>
    <w:sectPr w:rsidR="00984B99" w:rsidRPr="00267CFC">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E59" w:rsidRDefault="00CD1E59" w:rsidP="00196C0C">
      <w:r>
        <w:separator/>
      </w:r>
    </w:p>
  </w:endnote>
  <w:endnote w:type="continuationSeparator" w:id="0">
    <w:p w:rsidR="00CD1E59" w:rsidRDefault="00CD1E59" w:rsidP="00196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E59" w:rsidRDefault="00CD1E59" w:rsidP="00196C0C">
      <w:r>
        <w:separator/>
      </w:r>
    </w:p>
  </w:footnote>
  <w:footnote w:type="continuationSeparator" w:id="0">
    <w:p w:rsidR="00CD1E59" w:rsidRDefault="00CD1E59" w:rsidP="00196C0C">
      <w:r>
        <w:continuationSeparator/>
      </w:r>
    </w:p>
  </w:footnote>
  <w:footnote w:id="1">
    <w:p w:rsidR="00DD528F" w:rsidRDefault="00DD528F" w:rsidP="00DD528F">
      <w:pPr>
        <w:pStyle w:val="Fotnotetekst"/>
      </w:pPr>
      <w:r>
        <w:rPr>
          <w:rStyle w:val="Fotnotereferanse"/>
        </w:rPr>
        <w:footnoteRef/>
      </w:r>
      <w:r>
        <w:t xml:space="preserve"> </w:t>
      </w:r>
      <w:r w:rsidRPr="004445F9">
        <w:t>TDI</w:t>
      </w:r>
      <w:r>
        <w:t xml:space="preserve"> står for t</w:t>
      </w:r>
      <w:r w:rsidRPr="004445F9">
        <w:t>id, direkte kostnader og indirekte kostnader</w:t>
      </w:r>
      <w:r>
        <w:t xml:space="preserve">. </w:t>
      </w:r>
      <w:r w:rsidRPr="00DA7067">
        <w:t>http://www.uhr.no/aktuelt_fra_uhr/totale_kostnader_i_forskningsprosjekter_beregningsmodell</w:t>
      </w:r>
    </w:p>
  </w:footnote>
  <w:footnote w:id="2">
    <w:p w:rsidR="00283F26" w:rsidRDefault="00283F26" w:rsidP="00283F26">
      <w:pPr>
        <w:pStyle w:val="Fotnotetekst"/>
      </w:pPr>
      <w:r>
        <w:rPr>
          <w:rStyle w:val="Fotnotereferanse"/>
        </w:rPr>
        <w:footnoteRef/>
      </w:r>
      <w:r>
        <w:t xml:space="preserve"> Kunnskapsdepartementets rundskriv F-20-07 og F-07-13</w:t>
      </w:r>
    </w:p>
  </w:footnote>
  <w:footnote w:id="3">
    <w:p w:rsidR="005E5BB6" w:rsidRDefault="005E5BB6" w:rsidP="005E5BB6">
      <w:pPr>
        <w:pStyle w:val="Fotnotetekst"/>
      </w:pPr>
      <w:r>
        <w:rPr>
          <w:rStyle w:val="Fotnotereferanse"/>
        </w:rPr>
        <w:footnoteRef/>
      </w:r>
      <w:r>
        <w:t xml:space="preserve"> Med «leiested» menes laboratorium eller annen felles infrastruktur hvis driftskostnader synliggjøres</w:t>
      </w:r>
    </w:p>
    <w:p w:rsidR="005E5BB6" w:rsidRDefault="005E5BB6" w:rsidP="005E5BB6">
      <w:pPr>
        <w:pStyle w:val="Fotnotetekst"/>
      </w:pPr>
      <w:proofErr w:type="gramStart"/>
      <w:r>
        <w:t>særskilt</w:t>
      </w:r>
      <w:proofErr w:type="gramEnd"/>
      <w:r>
        <w:t xml:space="preserve"> og fordeles forholdsmessig mellom de prosjekter og aktiviteter som anvender infrastrukturen.</w:t>
      </w:r>
    </w:p>
  </w:footnote>
  <w:footnote w:id="4">
    <w:p w:rsidR="0051341D" w:rsidRDefault="0051341D">
      <w:pPr>
        <w:pStyle w:val="Fotnotetekst"/>
      </w:pPr>
      <w:r>
        <w:rPr>
          <w:rStyle w:val="Fotnotereferanse"/>
        </w:rPr>
        <w:footnoteRef/>
      </w:r>
      <w:r>
        <w:t xml:space="preserve"> </w:t>
      </w:r>
      <w:r w:rsidRPr="0051341D">
        <w:t>http://www.uhr.no/aktuelt_fra_uhr/leiestedsrapporten</w:t>
      </w:r>
    </w:p>
  </w:footnote>
  <w:footnote w:id="5">
    <w:p w:rsidR="002B1BFE" w:rsidRDefault="002B1BFE">
      <w:pPr>
        <w:pStyle w:val="Fotnotetekst"/>
      </w:pPr>
      <w:r>
        <w:rPr>
          <w:rStyle w:val="Fotnotereferanse"/>
        </w:rPr>
        <w:footnoteRef/>
      </w:r>
      <w:r>
        <w:t xml:space="preserve"> </w:t>
      </w:r>
      <w:r w:rsidRPr="002B1BFE">
        <w:t>http://www.forskningsradet.no/no/Totalkostberegning_i_UoHsektor/1253995021289</w:t>
      </w:r>
    </w:p>
  </w:footnote>
  <w:footnote w:id="6">
    <w:p w:rsidR="00191CE0" w:rsidRDefault="00191CE0" w:rsidP="00191CE0">
      <w:pPr>
        <w:pStyle w:val="Fotnotetekst"/>
      </w:pPr>
      <w:r>
        <w:rPr>
          <w:rStyle w:val="Fotnotereferanse"/>
        </w:rPr>
        <w:footnoteRef/>
      </w:r>
      <w:r>
        <w:t xml:space="preserve"> En del fagmiljø har hatt leiesteder og dokumentert kostnader i prosjektene. Prisene har vært fastsatt på ulikt vis og i varierende grad vært dokumentert og etterprøvbar.</w:t>
      </w:r>
    </w:p>
  </w:footnote>
  <w:footnote w:id="7">
    <w:p w:rsidR="00E46A62" w:rsidRDefault="00E46A62">
      <w:pPr>
        <w:pStyle w:val="Fotnotetekst"/>
      </w:pPr>
      <w:r>
        <w:rPr>
          <w:rStyle w:val="Fotnotereferanse"/>
        </w:rPr>
        <w:footnoteRef/>
      </w:r>
      <w:r>
        <w:t xml:space="preserve"> </w:t>
      </w:r>
      <w:r w:rsidRPr="00E46A62">
        <w:t>http://www.regjeringen.no/upload/KD/Vedlegg/UH/Tildelingsbrev2014/Tildelingsbrev_2014_NTNU.pdf</w:t>
      </w:r>
    </w:p>
  </w:footnote>
  <w:footnote w:id="8">
    <w:p w:rsidR="00B72E95" w:rsidRDefault="00B72E95">
      <w:pPr>
        <w:pStyle w:val="Fotnotetekst"/>
      </w:pPr>
      <w:r>
        <w:rPr>
          <w:rStyle w:val="Fotnotereferanse"/>
        </w:rPr>
        <w:footnoteRef/>
      </w:r>
      <w:r>
        <w:t xml:space="preserve"> </w:t>
      </w:r>
      <w:r w:rsidRPr="00B72E95">
        <w:t>http://www.regjeringen.no/nb/dep/kd/dok/rapporter_planer/rapporter/2010/Handlingsrom-for-kvalitet.html?id=594052</w:t>
      </w:r>
    </w:p>
  </w:footnote>
  <w:footnote w:id="9">
    <w:p w:rsidR="00C431CE" w:rsidRDefault="00C431CE" w:rsidP="00C431CE">
      <w:pPr>
        <w:pStyle w:val="Fotnotetekst"/>
      </w:pPr>
      <w:r>
        <w:rPr>
          <w:rStyle w:val="Fotnotereferanse"/>
        </w:rPr>
        <w:footnoteRef/>
      </w:r>
      <w:r>
        <w:t xml:space="preserve"> Vitenskapelig ansatte er definert som </w:t>
      </w:r>
      <w:r w:rsidRPr="00C431CE">
        <w:t xml:space="preserve">fast vitenskapelig, </w:t>
      </w:r>
      <w:r>
        <w:t xml:space="preserve">forsker, </w:t>
      </w:r>
      <w:r w:rsidRPr="00C431CE">
        <w:t xml:space="preserve">stipendiat, post </w:t>
      </w:r>
      <w:proofErr w:type="spellStart"/>
      <w:r w:rsidRPr="00C431CE">
        <w:t>do</w:t>
      </w:r>
      <w:r>
        <w:t>k</w:t>
      </w:r>
      <w:proofErr w:type="spellEnd"/>
      <w:r>
        <w:t>.</w:t>
      </w:r>
    </w:p>
  </w:footnote>
  <w:footnote w:id="10">
    <w:p w:rsidR="0049161F" w:rsidRPr="0049161F" w:rsidRDefault="0049161F" w:rsidP="0049161F">
      <w:pPr>
        <w:pStyle w:val="NormalWeb"/>
        <w:spacing w:before="96" w:beforeAutospacing="0" w:after="0" w:afterAutospacing="0"/>
        <w:rPr>
          <w:rFonts w:asciiTheme="minorHAnsi" w:eastAsiaTheme="minorHAnsi" w:hAnsiTheme="minorHAnsi" w:cstheme="minorBidi"/>
          <w:sz w:val="20"/>
          <w:lang w:eastAsia="en-US"/>
        </w:rPr>
      </w:pPr>
      <w:r w:rsidRPr="0049161F">
        <w:rPr>
          <w:rFonts w:asciiTheme="minorHAnsi" w:eastAsiaTheme="minorHAnsi" w:hAnsiTheme="minorHAnsi" w:cstheme="minorBidi"/>
          <w:sz w:val="20"/>
          <w:szCs w:val="20"/>
          <w:vertAlign w:val="superscript"/>
          <w:lang w:eastAsia="en-US"/>
        </w:rPr>
        <w:footnoteRef/>
      </w:r>
      <w:r w:rsidRPr="0049161F">
        <w:rPr>
          <w:rFonts w:asciiTheme="minorHAnsi" w:eastAsiaTheme="minorHAnsi" w:hAnsiTheme="minorHAnsi" w:cstheme="minorBidi"/>
          <w:sz w:val="20"/>
          <w:szCs w:val="20"/>
          <w:lang w:eastAsia="en-US"/>
        </w:rPr>
        <w:t xml:space="preserve"> For 2014 er NTNUs satser</w:t>
      </w:r>
      <w:r w:rsidR="0044173B">
        <w:rPr>
          <w:rFonts w:asciiTheme="minorHAnsi" w:eastAsiaTheme="minorHAnsi" w:hAnsiTheme="minorHAnsi" w:cstheme="minorBidi"/>
          <w:sz w:val="20"/>
          <w:szCs w:val="20"/>
          <w:lang w:eastAsia="en-US"/>
        </w:rPr>
        <w:t xml:space="preserve"> for indirekte kostnader:</w:t>
      </w:r>
    </w:p>
    <w:tbl>
      <w:tblPr>
        <w:tblStyle w:val="Tabellrutenett"/>
        <w:tblW w:w="0" w:type="auto"/>
        <w:tblLook w:val="04A0" w:firstRow="1" w:lastRow="0" w:firstColumn="1" w:lastColumn="0" w:noHBand="0" w:noVBand="1"/>
      </w:tblPr>
      <w:tblGrid>
        <w:gridCol w:w="1812"/>
        <w:gridCol w:w="1781"/>
        <w:gridCol w:w="1967"/>
      </w:tblGrid>
      <w:tr w:rsidR="0049161F" w:rsidRPr="0049161F" w:rsidTr="00E54A30">
        <w:tc>
          <w:tcPr>
            <w:tcW w:w="1812" w:type="dxa"/>
          </w:tcPr>
          <w:p w:rsidR="0049161F" w:rsidRPr="00E54A30" w:rsidRDefault="0049161F" w:rsidP="0049161F">
            <w:pPr>
              <w:rPr>
                <w:rFonts w:ascii="Arial" w:eastAsiaTheme="minorEastAsia" w:hAnsi="Arial" w:cs="Arial"/>
                <w:b/>
                <w:kern w:val="24"/>
                <w:sz w:val="12"/>
                <w:szCs w:val="20"/>
              </w:rPr>
            </w:pPr>
            <w:r w:rsidRPr="00E54A30">
              <w:rPr>
                <w:rFonts w:ascii="Arial" w:eastAsiaTheme="minorEastAsia" w:hAnsi="Arial" w:cs="Arial"/>
                <w:b/>
                <w:kern w:val="24"/>
                <w:sz w:val="12"/>
                <w:szCs w:val="20"/>
              </w:rPr>
              <w:t>Satser</w:t>
            </w:r>
          </w:p>
        </w:tc>
        <w:tc>
          <w:tcPr>
            <w:tcW w:w="1781" w:type="dxa"/>
          </w:tcPr>
          <w:p w:rsidR="0049161F" w:rsidRPr="00E54A30" w:rsidRDefault="0049161F" w:rsidP="0049161F">
            <w:pPr>
              <w:rPr>
                <w:rFonts w:ascii="Arial" w:eastAsiaTheme="minorEastAsia" w:hAnsi="Arial" w:cs="Arial"/>
                <w:b/>
                <w:kern w:val="24"/>
                <w:sz w:val="12"/>
                <w:szCs w:val="20"/>
              </w:rPr>
            </w:pPr>
            <w:r w:rsidRPr="00E54A30">
              <w:rPr>
                <w:rFonts w:ascii="Arial" w:eastAsiaTheme="minorEastAsia" w:hAnsi="Arial" w:cs="Arial"/>
                <w:b/>
                <w:kern w:val="24"/>
                <w:sz w:val="12"/>
                <w:szCs w:val="20"/>
              </w:rPr>
              <w:t>Kostnader per årsverk</w:t>
            </w:r>
          </w:p>
        </w:tc>
        <w:tc>
          <w:tcPr>
            <w:tcW w:w="1967" w:type="dxa"/>
          </w:tcPr>
          <w:p w:rsidR="0049161F" w:rsidRPr="00E54A30" w:rsidRDefault="0049161F" w:rsidP="0049161F">
            <w:pPr>
              <w:rPr>
                <w:rFonts w:ascii="Arial" w:eastAsiaTheme="minorEastAsia" w:hAnsi="Arial" w:cs="Arial"/>
                <w:b/>
                <w:kern w:val="24"/>
                <w:sz w:val="12"/>
                <w:szCs w:val="20"/>
              </w:rPr>
            </w:pPr>
            <w:r w:rsidRPr="00E54A30">
              <w:rPr>
                <w:rFonts w:ascii="Arial" w:eastAsiaTheme="minorEastAsia" w:hAnsi="Arial" w:cs="Arial"/>
                <w:b/>
                <w:kern w:val="24"/>
                <w:sz w:val="12"/>
                <w:szCs w:val="20"/>
              </w:rPr>
              <w:t>Gjelder for</w:t>
            </w:r>
          </w:p>
        </w:tc>
      </w:tr>
      <w:tr w:rsidR="0049161F" w:rsidRPr="0049161F" w:rsidTr="00E54A30">
        <w:tc>
          <w:tcPr>
            <w:tcW w:w="1812" w:type="dxa"/>
          </w:tcPr>
          <w:p w:rsidR="0049161F" w:rsidRPr="00E54A30" w:rsidRDefault="0049161F" w:rsidP="0049161F">
            <w:pPr>
              <w:rPr>
                <w:rFonts w:ascii="Arial" w:eastAsiaTheme="minorEastAsia" w:hAnsi="Arial" w:cs="Arial"/>
                <w:kern w:val="24"/>
                <w:sz w:val="12"/>
                <w:szCs w:val="20"/>
              </w:rPr>
            </w:pPr>
            <w:proofErr w:type="spellStart"/>
            <w:r w:rsidRPr="00E54A30">
              <w:rPr>
                <w:rFonts w:ascii="Arial" w:eastAsiaTheme="minorEastAsia" w:hAnsi="Arial" w:cs="Arial"/>
                <w:kern w:val="24"/>
                <w:sz w:val="12"/>
                <w:szCs w:val="20"/>
              </w:rPr>
              <w:t>Arbeidsplassats</w:t>
            </w:r>
            <w:proofErr w:type="spellEnd"/>
          </w:p>
        </w:tc>
        <w:tc>
          <w:tcPr>
            <w:tcW w:w="1781" w:type="dxa"/>
          </w:tcPr>
          <w:p w:rsidR="0049161F" w:rsidRPr="00E54A30" w:rsidRDefault="0049161F" w:rsidP="0049161F">
            <w:pPr>
              <w:jc w:val="center"/>
              <w:rPr>
                <w:rFonts w:ascii="Arial" w:eastAsiaTheme="minorEastAsia" w:hAnsi="Arial" w:cs="Arial"/>
                <w:kern w:val="24"/>
                <w:sz w:val="12"/>
                <w:szCs w:val="20"/>
              </w:rPr>
            </w:pPr>
            <w:r w:rsidRPr="00E54A30">
              <w:rPr>
                <w:rFonts w:ascii="Arial" w:eastAsiaTheme="minorEastAsia" w:hAnsi="Arial" w:cs="Arial"/>
                <w:kern w:val="24"/>
                <w:sz w:val="12"/>
                <w:szCs w:val="20"/>
              </w:rPr>
              <w:t>137 000</w:t>
            </w:r>
          </w:p>
        </w:tc>
        <w:tc>
          <w:tcPr>
            <w:tcW w:w="1967" w:type="dxa"/>
          </w:tcPr>
          <w:p w:rsidR="0049161F" w:rsidRPr="00E54A30" w:rsidRDefault="0049161F" w:rsidP="0049161F">
            <w:pPr>
              <w:rPr>
                <w:rFonts w:ascii="Arial" w:eastAsiaTheme="minorEastAsia" w:hAnsi="Arial" w:cs="Arial"/>
                <w:kern w:val="24"/>
                <w:sz w:val="12"/>
                <w:szCs w:val="20"/>
              </w:rPr>
            </w:pPr>
            <w:r w:rsidRPr="00E54A30">
              <w:rPr>
                <w:rFonts w:ascii="Arial" w:eastAsiaTheme="minorEastAsia" w:hAnsi="Arial" w:cs="Arial"/>
                <w:kern w:val="24"/>
                <w:sz w:val="12"/>
                <w:szCs w:val="20"/>
              </w:rPr>
              <w:t xml:space="preserve">Alle årsverk </w:t>
            </w:r>
          </w:p>
        </w:tc>
      </w:tr>
      <w:tr w:rsidR="0049161F" w:rsidRPr="0049161F" w:rsidTr="00E54A30">
        <w:tc>
          <w:tcPr>
            <w:tcW w:w="1812" w:type="dxa"/>
          </w:tcPr>
          <w:p w:rsidR="0049161F" w:rsidRPr="00E54A30" w:rsidRDefault="0049161F" w:rsidP="0049161F">
            <w:pPr>
              <w:rPr>
                <w:rFonts w:ascii="Arial" w:eastAsiaTheme="minorEastAsia" w:hAnsi="Arial" w:cs="Arial"/>
                <w:kern w:val="24"/>
                <w:sz w:val="12"/>
                <w:szCs w:val="20"/>
              </w:rPr>
            </w:pPr>
            <w:r w:rsidRPr="00E54A30">
              <w:rPr>
                <w:rFonts w:ascii="Arial" w:eastAsiaTheme="minorEastAsia" w:hAnsi="Arial" w:cs="Arial"/>
                <w:kern w:val="24"/>
                <w:sz w:val="12"/>
                <w:szCs w:val="20"/>
              </w:rPr>
              <w:t>Forskningsspesifikk sats</w:t>
            </w:r>
          </w:p>
        </w:tc>
        <w:tc>
          <w:tcPr>
            <w:tcW w:w="1781" w:type="dxa"/>
          </w:tcPr>
          <w:p w:rsidR="0049161F" w:rsidRPr="00E54A30" w:rsidRDefault="0049161F" w:rsidP="0049161F">
            <w:pPr>
              <w:jc w:val="center"/>
              <w:rPr>
                <w:rFonts w:ascii="Arial" w:eastAsiaTheme="minorEastAsia" w:hAnsi="Arial" w:cs="Arial"/>
                <w:kern w:val="24"/>
                <w:sz w:val="12"/>
                <w:szCs w:val="20"/>
              </w:rPr>
            </w:pPr>
            <w:r w:rsidRPr="00E54A30">
              <w:rPr>
                <w:rFonts w:ascii="Arial" w:eastAsiaTheme="minorEastAsia" w:hAnsi="Arial" w:cs="Arial"/>
                <w:kern w:val="24"/>
                <w:sz w:val="12"/>
                <w:szCs w:val="20"/>
              </w:rPr>
              <w:t>263 000</w:t>
            </w:r>
          </w:p>
        </w:tc>
        <w:tc>
          <w:tcPr>
            <w:tcW w:w="1967" w:type="dxa"/>
          </w:tcPr>
          <w:p w:rsidR="0049161F" w:rsidRPr="00E54A30" w:rsidRDefault="0049161F" w:rsidP="0049161F">
            <w:pPr>
              <w:rPr>
                <w:rFonts w:ascii="Arial" w:eastAsiaTheme="minorEastAsia" w:hAnsi="Arial" w:cs="Arial"/>
                <w:kern w:val="24"/>
                <w:sz w:val="12"/>
                <w:szCs w:val="20"/>
              </w:rPr>
            </w:pPr>
            <w:r w:rsidRPr="00E54A30">
              <w:rPr>
                <w:rFonts w:ascii="Arial" w:eastAsiaTheme="minorEastAsia" w:hAnsi="Arial" w:cs="Arial"/>
                <w:kern w:val="24"/>
                <w:sz w:val="12"/>
                <w:szCs w:val="20"/>
              </w:rPr>
              <w:t>Kun vitenskapelige årsverk</w:t>
            </w:r>
          </w:p>
        </w:tc>
      </w:tr>
      <w:tr w:rsidR="0049161F" w:rsidRPr="0049161F" w:rsidTr="00E54A30">
        <w:tc>
          <w:tcPr>
            <w:tcW w:w="1812" w:type="dxa"/>
          </w:tcPr>
          <w:p w:rsidR="0049161F" w:rsidRPr="00561D55" w:rsidRDefault="0049161F" w:rsidP="0049161F">
            <w:pPr>
              <w:rPr>
                <w:rFonts w:ascii="Arial" w:eastAsiaTheme="minorEastAsia" w:hAnsi="Arial" w:cs="Arial"/>
                <w:b/>
                <w:kern w:val="24"/>
                <w:sz w:val="12"/>
                <w:szCs w:val="20"/>
                <w:lang w:val="nn-NO"/>
              </w:rPr>
            </w:pPr>
            <w:r w:rsidRPr="00561D55">
              <w:rPr>
                <w:rFonts w:ascii="Arial" w:eastAsiaTheme="minorEastAsia" w:hAnsi="Arial" w:cs="Arial"/>
                <w:b/>
                <w:kern w:val="24"/>
                <w:sz w:val="12"/>
                <w:szCs w:val="20"/>
                <w:lang w:val="nn-NO"/>
              </w:rPr>
              <w:t>Sum IK per vit årsverk</w:t>
            </w:r>
          </w:p>
        </w:tc>
        <w:tc>
          <w:tcPr>
            <w:tcW w:w="1781" w:type="dxa"/>
          </w:tcPr>
          <w:p w:rsidR="0049161F" w:rsidRPr="00E54A30" w:rsidRDefault="0049161F" w:rsidP="0049161F">
            <w:pPr>
              <w:jc w:val="center"/>
              <w:rPr>
                <w:rFonts w:ascii="Arial" w:eastAsiaTheme="minorEastAsia" w:hAnsi="Arial" w:cs="Arial"/>
                <w:b/>
                <w:kern w:val="24"/>
                <w:sz w:val="12"/>
                <w:szCs w:val="20"/>
              </w:rPr>
            </w:pPr>
            <w:r w:rsidRPr="00E54A30">
              <w:rPr>
                <w:rFonts w:ascii="Arial" w:eastAsiaTheme="minorEastAsia" w:hAnsi="Arial" w:cs="Arial"/>
                <w:b/>
                <w:kern w:val="24"/>
                <w:sz w:val="12"/>
                <w:szCs w:val="20"/>
              </w:rPr>
              <w:t>400 000</w:t>
            </w:r>
          </w:p>
        </w:tc>
        <w:tc>
          <w:tcPr>
            <w:tcW w:w="1967" w:type="dxa"/>
          </w:tcPr>
          <w:p w:rsidR="0049161F" w:rsidRPr="00E54A30" w:rsidRDefault="0049161F" w:rsidP="0049161F">
            <w:pPr>
              <w:rPr>
                <w:rFonts w:ascii="Arial" w:eastAsiaTheme="minorEastAsia" w:hAnsi="Arial" w:cs="Arial"/>
                <w:b/>
                <w:kern w:val="24"/>
                <w:sz w:val="12"/>
                <w:szCs w:val="20"/>
              </w:rPr>
            </w:pPr>
            <w:r w:rsidRPr="00E54A30">
              <w:rPr>
                <w:rFonts w:ascii="Arial" w:eastAsiaTheme="minorEastAsia" w:hAnsi="Arial" w:cs="Arial"/>
                <w:b/>
                <w:kern w:val="24"/>
                <w:sz w:val="12"/>
                <w:szCs w:val="20"/>
              </w:rPr>
              <w:t>Vitenskapelig årsverk</w:t>
            </w:r>
          </w:p>
        </w:tc>
      </w:tr>
    </w:tbl>
    <w:p w:rsidR="0049161F" w:rsidRDefault="0049161F">
      <w:pPr>
        <w:pStyle w:val="Fotnotetekst"/>
      </w:pPr>
    </w:p>
  </w:footnote>
  <w:footnote w:id="11">
    <w:p w:rsidR="00191CE0" w:rsidRDefault="00191CE0" w:rsidP="00191CE0">
      <w:pPr>
        <w:pStyle w:val="Fotnotetekst"/>
      </w:pPr>
      <w:r>
        <w:rPr>
          <w:rStyle w:val="Fotnotereferanse"/>
        </w:rPr>
        <w:footnoteRef/>
      </w:r>
      <w:r>
        <w:t xml:space="preserve"> </w:t>
      </w:r>
      <w:r>
        <w:rPr>
          <w:rFonts w:eastAsia="Calibri"/>
        </w:rPr>
        <w:t xml:space="preserve"> </w:t>
      </w:r>
      <w:hyperlink r:id="rId1" w:history="1">
        <w:r w:rsidRPr="00C01D73">
          <w:rPr>
            <w:rStyle w:val="Hyperkobling"/>
            <w:rFonts w:eastAsia="Calibri"/>
          </w:rPr>
          <w:t>https://innsida.ntnu.no/wiki/-/wiki/Norsk/Beregne+kostnader+i+forskningsprosjekt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9758786"/>
      <w:docPartObj>
        <w:docPartGallery w:val="Page Numbers (Top of Page)"/>
        <w:docPartUnique/>
      </w:docPartObj>
    </w:sdtPr>
    <w:sdtEndPr/>
    <w:sdtContent>
      <w:p w:rsidR="00196C0C" w:rsidRDefault="00196C0C">
        <w:pPr>
          <w:pStyle w:val="Topptekst"/>
          <w:jc w:val="right"/>
        </w:pPr>
        <w:r>
          <w:fldChar w:fldCharType="begin"/>
        </w:r>
        <w:r>
          <w:instrText>PAGE   \* MERGEFORMAT</w:instrText>
        </w:r>
        <w:r>
          <w:fldChar w:fldCharType="separate"/>
        </w:r>
        <w:r w:rsidR="00561D55">
          <w:rPr>
            <w:noProof/>
          </w:rPr>
          <w:t>4</w:t>
        </w:r>
        <w:r>
          <w:fldChar w:fldCharType="end"/>
        </w:r>
      </w:p>
    </w:sdtContent>
  </w:sdt>
  <w:p w:rsidR="00196C0C" w:rsidRDefault="00196C0C">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347DB"/>
    <w:multiLevelType w:val="hybridMultilevel"/>
    <w:tmpl w:val="9F9E0CB6"/>
    <w:lvl w:ilvl="0" w:tplc="0414000F">
      <w:start w:val="4"/>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nsid w:val="0D676042"/>
    <w:multiLevelType w:val="hybridMultilevel"/>
    <w:tmpl w:val="6DF82B3A"/>
    <w:lvl w:ilvl="0" w:tplc="F35A6126">
      <w:start w:val="1"/>
      <w:numFmt w:val="lowerLetter"/>
      <w:lvlText w:val="%1)"/>
      <w:lvlJc w:val="left"/>
      <w:pPr>
        <w:ind w:left="720" w:hanging="360"/>
      </w:pPr>
      <w:rPr>
        <w:rFonts w:eastAsiaTheme="minorHAnsi"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0ED40312"/>
    <w:multiLevelType w:val="hybridMultilevel"/>
    <w:tmpl w:val="0F6AC2B4"/>
    <w:lvl w:ilvl="0" w:tplc="F5C41708">
      <w:start w:val="1"/>
      <w:numFmt w:val="decimal"/>
      <w:lvlText w:val="%1)"/>
      <w:lvlJc w:val="left"/>
      <w:pPr>
        <w:ind w:left="720" w:hanging="360"/>
      </w:pPr>
      <w:rPr>
        <w:rFonts w:hint="default"/>
        <w:b/>
        <w:i/>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12910B0E"/>
    <w:multiLevelType w:val="multilevel"/>
    <w:tmpl w:val="4434F77C"/>
    <w:lvl w:ilvl="0">
      <w:start w:val="1"/>
      <w:numFmt w:val="decimal"/>
      <w:lvlText w:val="%1."/>
      <w:lvlJc w:val="left"/>
      <w:pPr>
        <w:ind w:left="445" w:hanging="360"/>
      </w:pPr>
      <w:rPr>
        <w:rFonts w:hint="default"/>
      </w:rPr>
    </w:lvl>
    <w:lvl w:ilvl="1">
      <w:start w:val="1"/>
      <w:numFmt w:val="decimal"/>
      <w:isLgl/>
      <w:lvlText w:val="%1.%2"/>
      <w:lvlJc w:val="left"/>
      <w:pPr>
        <w:ind w:left="445" w:hanging="360"/>
      </w:pPr>
      <w:rPr>
        <w:rFonts w:ascii="Times New Roman" w:hAnsi="Times New Roman" w:cs="Times New Roman" w:hint="default"/>
        <w:b/>
      </w:rPr>
    </w:lvl>
    <w:lvl w:ilvl="2">
      <w:start w:val="1"/>
      <w:numFmt w:val="decimal"/>
      <w:isLgl/>
      <w:lvlText w:val="%1.%2.%3"/>
      <w:lvlJc w:val="left"/>
      <w:pPr>
        <w:ind w:left="805" w:hanging="720"/>
      </w:pPr>
      <w:rPr>
        <w:rFonts w:ascii="Times New Roman" w:hAnsi="Times New Roman" w:cs="Times New Roman" w:hint="default"/>
        <w:b/>
      </w:rPr>
    </w:lvl>
    <w:lvl w:ilvl="3">
      <w:start w:val="1"/>
      <w:numFmt w:val="decimal"/>
      <w:isLgl/>
      <w:lvlText w:val="%1.%2.%3.%4"/>
      <w:lvlJc w:val="left"/>
      <w:pPr>
        <w:ind w:left="1165" w:hanging="1080"/>
      </w:pPr>
      <w:rPr>
        <w:rFonts w:ascii="Times New Roman" w:hAnsi="Times New Roman" w:cs="Times New Roman" w:hint="default"/>
        <w:b/>
      </w:rPr>
    </w:lvl>
    <w:lvl w:ilvl="4">
      <w:start w:val="1"/>
      <w:numFmt w:val="decimal"/>
      <w:isLgl/>
      <w:lvlText w:val="%1.%2.%3.%4.%5"/>
      <w:lvlJc w:val="left"/>
      <w:pPr>
        <w:ind w:left="1165" w:hanging="1080"/>
      </w:pPr>
      <w:rPr>
        <w:rFonts w:ascii="Times New Roman" w:hAnsi="Times New Roman" w:cs="Times New Roman" w:hint="default"/>
        <w:b/>
      </w:rPr>
    </w:lvl>
    <w:lvl w:ilvl="5">
      <w:start w:val="1"/>
      <w:numFmt w:val="decimal"/>
      <w:isLgl/>
      <w:lvlText w:val="%1.%2.%3.%4.%5.%6"/>
      <w:lvlJc w:val="left"/>
      <w:pPr>
        <w:ind w:left="1525" w:hanging="1440"/>
      </w:pPr>
      <w:rPr>
        <w:rFonts w:ascii="Times New Roman" w:hAnsi="Times New Roman" w:cs="Times New Roman" w:hint="default"/>
        <w:b/>
      </w:rPr>
    </w:lvl>
    <w:lvl w:ilvl="6">
      <w:start w:val="1"/>
      <w:numFmt w:val="decimal"/>
      <w:isLgl/>
      <w:lvlText w:val="%1.%2.%3.%4.%5.%6.%7"/>
      <w:lvlJc w:val="left"/>
      <w:pPr>
        <w:ind w:left="1525" w:hanging="1440"/>
      </w:pPr>
      <w:rPr>
        <w:rFonts w:ascii="Times New Roman" w:hAnsi="Times New Roman" w:cs="Times New Roman" w:hint="default"/>
        <w:b/>
      </w:rPr>
    </w:lvl>
    <w:lvl w:ilvl="7">
      <w:start w:val="1"/>
      <w:numFmt w:val="decimal"/>
      <w:isLgl/>
      <w:lvlText w:val="%1.%2.%3.%4.%5.%6.%7.%8"/>
      <w:lvlJc w:val="left"/>
      <w:pPr>
        <w:ind w:left="1885" w:hanging="1800"/>
      </w:pPr>
      <w:rPr>
        <w:rFonts w:ascii="Times New Roman" w:hAnsi="Times New Roman" w:cs="Times New Roman" w:hint="default"/>
        <w:b/>
      </w:rPr>
    </w:lvl>
    <w:lvl w:ilvl="8">
      <w:start w:val="1"/>
      <w:numFmt w:val="decimal"/>
      <w:isLgl/>
      <w:lvlText w:val="%1.%2.%3.%4.%5.%6.%7.%8.%9"/>
      <w:lvlJc w:val="left"/>
      <w:pPr>
        <w:ind w:left="1885" w:hanging="1800"/>
      </w:pPr>
      <w:rPr>
        <w:rFonts w:ascii="Times New Roman" w:hAnsi="Times New Roman" w:cs="Times New Roman" w:hint="default"/>
        <w:b/>
      </w:rPr>
    </w:lvl>
  </w:abstractNum>
  <w:abstractNum w:abstractNumId="4">
    <w:nsid w:val="13EA28EA"/>
    <w:multiLevelType w:val="hybridMultilevel"/>
    <w:tmpl w:val="2D0CAF66"/>
    <w:lvl w:ilvl="0" w:tplc="312496FE">
      <w:start w:val="1"/>
      <w:numFmt w:val="decimal"/>
      <w:lvlText w:val="%1)"/>
      <w:lvlJc w:val="left"/>
      <w:pPr>
        <w:ind w:left="720" w:hanging="360"/>
      </w:pPr>
      <w:rPr>
        <w:rFonts w:hint="default"/>
        <w:i/>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161A0B6D"/>
    <w:multiLevelType w:val="hybridMultilevel"/>
    <w:tmpl w:val="0CC65A0E"/>
    <w:lvl w:ilvl="0" w:tplc="04140017">
      <w:start w:val="1"/>
      <w:numFmt w:val="lowerLetter"/>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1A2950CC"/>
    <w:multiLevelType w:val="hybridMultilevel"/>
    <w:tmpl w:val="B6544844"/>
    <w:lvl w:ilvl="0" w:tplc="F96C3BC8">
      <w:numFmt w:val="bullet"/>
      <w:lvlText w:val="•"/>
      <w:lvlJc w:val="left"/>
      <w:pPr>
        <w:ind w:left="786" w:hanging="360"/>
      </w:pPr>
      <w:rPr>
        <w:rFonts w:ascii="Times New Roman" w:eastAsia="Times New Roman" w:hAnsi="Times New Roman" w:cs="Times New Roman" w:hint="default"/>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7">
    <w:nsid w:val="2FA34B3F"/>
    <w:multiLevelType w:val="hybridMultilevel"/>
    <w:tmpl w:val="0066A0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37A87331"/>
    <w:multiLevelType w:val="hybridMultilevel"/>
    <w:tmpl w:val="62C48CB4"/>
    <w:lvl w:ilvl="0" w:tplc="0CEAB35C">
      <w:start w:val="1"/>
      <w:numFmt w:val="decimal"/>
      <w:lvlText w:val="%1."/>
      <w:lvlJc w:val="left"/>
      <w:pPr>
        <w:ind w:left="218" w:hanging="360"/>
      </w:pPr>
      <w:rPr>
        <w:rFonts w:hint="default"/>
      </w:rPr>
    </w:lvl>
    <w:lvl w:ilvl="1" w:tplc="04140019" w:tentative="1">
      <w:start w:val="1"/>
      <w:numFmt w:val="lowerLetter"/>
      <w:lvlText w:val="%2."/>
      <w:lvlJc w:val="left"/>
      <w:pPr>
        <w:ind w:left="938" w:hanging="360"/>
      </w:pPr>
    </w:lvl>
    <w:lvl w:ilvl="2" w:tplc="0414001B" w:tentative="1">
      <w:start w:val="1"/>
      <w:numFmt w:val="lowerRoman"/>
      <w:lvlText w:val="%3."/>
      <w:lvlJc w:val="right"/>
      <w:pPr>
        <w:ind w:left="1658" w:hanging="180"/>
      </w:pPr>
    </w:lvl>
    <w:lvl w:ilvl="3" w:tplc="0414000F" w:tentative="1">
      <w:start w:val="1"/>
      <w:numFmt w:val="decimal"/>
      <w:lvlText w:val="%4."/>
      <w:lvlJc w:val="left"/>
      <w:pPr>
        <w:ind w:left="2378" w:hanging="360"/>
      </w:pPr>
    </w:lvl>
    <w:lvl w:ilvl="4" w:tplc="04140019" w:tentative="1">
      <w:start w:val="1"/>
      <w:numFmt w:val="lowerLetter"/>
      <w:lvlText w:val="%5."/>
      <w:lvlJc w:val="left"/>
      <w:pPr>
        <w:ind w:left="3098" w:hanging="360"/>
      </w:pPr>
    </w:lvl>
    <w:lvl w:ilvl="5" w:tplc="0414001B" w:tentative="1">
      <w:start w:val="1"/>
      <w:numFmt w:val="lowerRoman"/>
      <w:lvlText w:val="%6."/>
      <w:lvlJc w:val="right"/>
      <w:pPr>
        <w:ind w:left="3818" w:hanging="180"/>
      </w:pPr>
    </w:lvl>
    <w:lvl w:ilvl="6" w:tplc="0414000F" w:tentative="1">
      <w:start w:val="1"/>
      <w:numFmt w:val="decimal"/>
      <w:lvlText w:val="%7."/>
      <w:lvlJc w:val="left"/>
      <w:pPr>
        <w:ind w:left="4538" w:hanging="360"/>
      </w:pPr>
    </w:lvl>
    <w:lvl w:ilvl="7" w:tplc="04140019" w:tentative="1">
      <w:start w:val="1"/>
      <w:numFmt w:val="lowerLetter"/>
      <w:lvlText w:val="%8."/>
      <w:lvlJc w:val="left"/>
      <w:pPr>
        <w:ind w:left="5258" w:hanging="360"/>
      </w:pPr>
    </w:lvl>
    <w:lvl w:ilvl="8" w:tplc="0414001B" w:tentative="1">
      <w:start w:val="1"/>
      <w:numFmt w:val="lowerRoman"/>
      <w:lvlText w:val="%9."/>
      <w:lvlJc w:val="right"/>
      <w:pPr>
        <w:ind w:left="5978" w:hanging="180"/>
      </w:pPr>
    </w:lvl>
  </w:abstractNum>
  <w:abstractNum w:abstractNumId="9">
    <w:nsid w:val="3EAA2FA9"/>
    <w:multiLevelType w:val="multilevel"/>
    <w:tmpl w:val="4FBC3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EE359C3"/>
    <w:multiLevelType w:val="hybridMultilevel"/>
    <w:tmpl w:val="AF7CC338"/>
    <w:lvl w:ilvl="0" w:tplc="04140001">
      <w:start w:val="1"/>
      <w:numFmt w:val="bullet"/>
      <w:lvlText w:val=""/>
      <w:lvlJc w:val="left"/>
      <w:pPr>
        <w:ind w:left="1146" w:hanging="360"/>
      </w:pPr>
      <w:rPr>
        <w:rFonts w:ascii="Symbol" w:hAnsi="Symbol" w:hint="default"/>
      </w:rPr>
    </w:lvl>
    <w:lvl w:ilvl="1" w:tplc="04140003" w:tentative="1">
      <w:start w:val="1"/>
      <w:numFmt w:val="bullet"/>
      <w:lvlText w:val="o"/>
      <w:lvlJc w:val="left"/>
      <w:pPr>
        <w:ind w:left="1866" w:hanging="360"/>
      </w:pPr>
      <w:rPr>
        <w:rFonts w:ascii="Courier New" w:hAnsi="Courier New" w:cs="Courier New" w:hint="default"/>
      </w:rPr>
    </w:lvl>
    <w:lvl w:ilvl="2" w:tplc="04140005" w:tentative="1">
      <w:start w:val="1"/>
      <w:numFmt w:val="bullet"/>
      <w:lvlText w:val=""/>
      <w:lvlJc w:val="left"/>
      <w:pPr>
        <w:ind w:left="2586" w:hanging="360"/>
      </w:pPr>
      <w:rPr>
        <w:rFonts w:ascii="Wingdings" w:hAnsi="Wingdings" w:hint="default"/>
      </w:rPr>
    </w:lvl>
    <w:lvl w:ilvl="3" w:tplc="04140001" w:tentative="1">
      <w:start w:val="1"/>
      <w:numFmt w:val="bullet"/>
      <w:lvlText w:val=""/>
      <w:lvlJc w:val="left"/>
      <w:pPr>
        <w:ind w:left="3306" w:hanging="360"/>
      </w:pPr>
      <w:rPr>
        <w:rFonts w:ascii="Symbol" w:hAnsi="Symbol" w:hint="default"/>
      </w:rPr>
    </w:lvl>
    <w:lvl w:ilvl="4" w:tplc="04140003" w:tentative="1">
      <w:start w:val="1"/>
      <w:numFmt w:val="bullet"/>
      <w:lvlText w:val="o"/>
      <w:lvlJc w:val="left"/>
      <w:pPr>
        <w:ind w:left="4026" w:hanging="360"/>
      </w:pPr>
      <w:rPr>
        <w:rFonts w:ascii="Courier New" w:hAnsi="Courier New" w:cs="Courier New" w:hint="default"/>
      </w:rPr>
    </w:lvl>
    <w:lvl w:ilvl="5" w:tplc="04140005" w:tentative="1">
      <w:start w:val="1"/>
      <w:numFmt w:val="bullet"/>
      <w:lvlText w:val=""/>
      <w:lvlJc w:val="left"/>
      <w:pPr>
        <w:ind w:left="4746" w:hanging="360"/>
      </w:pPr>
      <w:rPr>
        <w:rFonts w:ascii="Wingdings" w:hAnsi="Wingdings" w:hint="default"/>
      </w:rPr>
    </w:lvl>
    <w:lvl w:ilvl="6" w:tplc="04140001" w:tentative="1">
      <w:start w:val="1"/>
      <w:numFmt w:val="bullet"/>
      <w:lvlText w:val=""/>
      <w:lvlJc w:val="left"/>
      <w:pPr>
        <w:ind w:left="5466" w:hanging="360"/>
      </w:pPr>
      <w:rPr>
        <w:rFonts w:ascii="Symbol" w:hAnsi="Symbol" w:hint="default"/>
      </w:rPr>
    </w:lvl>
    <w:lvl w:ilvl="7" w:tplc="04140003" w:tentative="1">
      <w:start w:val="1"/>
      <w:numFmt w:val="bullet"/>
      <w:lvlText w:val="o"/>
      <w:lvlJc w:val="left"/>
      <w:pPr>
        <w:ind w:left="6186" w:hanging="360"/>
      </w:pPr>
      <w:rPr>
        <w:rFonts w:ascii="Courier New" w:hAnsi="Courier New" w:cs="Courier New" w:hint="default"/>
      </w:rPr>
    </w:lvl>
    <w:lvl w:ilvl="8" w:tplc="04140005" w:tentative="1">
      <w:start w:val="1"/>
      <w:numFmt w:val="bullet"/>
      <w:lvlText w:val=""/>
      <w:lvlJc w:val="left"/>
      <w:pPr>
        <w:ind w:left="6906" w:hanging="360"/>
      </w:pPr>
      <w:rPr>
        <w:rFonts w:ascii="Wingdings" w:hAnsi="Wingdings" w:hint="default"/>
      </w:rPr>
    </w:lvl>
  </w:abstractNum>
  <w:abstractNum w:abstractNumId="11">
    <w:nsid w:val="4F0E0463"/>
    <w:multiLevelType w:val="hybridMultilevel"/>
    <w:tmpl w:val="E97C02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50145D8D"/>
    <w:multiLevelType w:val="hybridMultilevel"/>
    <w:tmpl w:val="E9E6C4D0"/>
    <w:lvl w:ilvl="0" w:tplc="8E6C3C4E">
      <w:start w:val="1"/>
      <w:numFmt w:val="decimal"/>
      <w:lvlText w:val="%1)"/>
      <w:lvlJc w:val="left"/>
      <w:pPr>
        <w:ind w:left="720" w:hanging="360"/>
      </w:pPr>
      <w:rPr>
        <w:rFonts w:hint="default"/>
        <w:b w:val="0"/>
        <w:sz w:val="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nsid w:val="529314E7"/>
    <w:multiLevelType w:val="hybridMultilevel"/>
    <w:tmpl w:val="3B825682"/>
    <w:lvl w:ilvl="0" w:tplc="3B4C5F1E">
      <w:start w:val="1"/>
      <w:numFmt w:val="bullet"/>
      <w:lvlText w:val="•"/>
      <w:lvlJc w:val="left"/>
      <w:pPr>
        <w:tabs>
          <w:tab w:val="num" w:pos="720"/>
        </w:tabs>
        <w:ind w:left="720" w:hanging="360"/>
      </w:pPr>
      <w:rPr>
        <w:rFonts w:ascii="Arial" w:hAnsi="Arial" w:hint="default"/>
      </w:rPr>
    </w:lvl>
    <w:lvl w:ilvl="1" w:tplc="6EE6D330">
      <w:start w:val="206"/>
      <w:numFmt w:val="bullet"/>
      <w:lvlText w:val="–"/>
      <w:lvlJc w:val="left"/>
      <w:pPr>
        <w:tabs>
          <w:tab w:val="num" w:pos="1440"/>
        </w:tabs>
        <w:ind w:left="1440" w:hanging="360"/>
      </w:pPr>
      <w:rPr>
        <w:rFonts w:ascii="Arial" w:hAnsi="Arial" w:hint="default"/>
      </w:rPr>
    </w:lvl>
    <w:lvl w:ilvl="2" w:tplc="7610B978" w:tentative="1">
      <w:start w:val="1"/>
      <w:numFmt w:val="bullet"/>
      <w:lvlText w:val="•"/>
      <w:lvlJc w:val="left"/>
      <w:pPr>
        <w:tabs>
          <w:tab w:val="num" w:pos="2160"/>
        </w:tabs>
        <w:ind w:left="2160" w:hanging="360"/>
      </w:pPr>
      <w:rPr>
        <w:rFonts w:ascii="Arial" w:hAnsi="Arial" w:hint="default"/>
      </w:rPr>
    </w:lvl>
    <w:lvl w:ilvl="3" w:tplc="BE787DFE" w:tentative="1">
      <w:start w:val="1"/>
      <w:numFmt w:val="bullet"/>
      <w:lvlText w:val="•"/>
      <w:lvlJc w:val="left"/>
      <w:pPr>
        <w:tabs>
          <w:tab w:val="num" w:pos="2880"/>
        </w:tabs>
        <w:ind w:left="2880" w:hanging="360"/>
      </w:pPr>
      <w:rPr>
        <w:rFonts w:ascii="Arial" w:hAnsi="Arial" w:hint="default"/>
      </w:rPr>
    </w:lvl>
    <w:lvl w:ilvl="4" w:tplc="16DEB47E" w:tentative="1">
      <w:start w:val="1"/>
      <w:numFmt w:val="bullet"/>
      <w:lvlText w:val="•"/>
      <w:lvlJc w:val="left"/>
      <w:pPr>
        <w:tabs>
          <w:tab w:val="num" w:pos="3600"/>
        </w:tabs>
        <w:ind w:left="3600" w:hanging="360"/>
      </w:pPr>
      <w:rPr>
        <w:rFonts w:ascii="Arial" w:hAnsi="Arial" w:hint="default"/>
      </w:rPr>
    </w:lvl>
    <w:lvl w:ilvl="5" w:tplc="F9365130" w:tentative="1">
      <w:start w:val="1"/>
      <w:numFmt w:val="bullet"/>
      <w:lvlText w:val="•"/>
      <w:lvlJc w:val="left"/>
      <w:pPr>
        <w:tabs>
          <w:tab w:val="num" w:pos="4320"/>
        </w:tabs>
        <w:ind w:left="4320" w:hanging="360"/>
      </w:pPr>
      <w:rPr>
        <w:rFonts w:ascii="Arial" w:hAnsi="Arial" w:hint="default"/>
      </w:rPr>
    </w:lvl>
    <w:lvl w:ilvl="6" w:tplc="05A4D4D2" w:tentative="1">
      <w:start w:val="1"/>
      <w:numFmt w:val="bullet"/>
      <w:lvlText w:val="•"/>
      <w:lvlJc w:val="left"/>
      <w:pPr>
        <w:tabs>
          <w:tab w:val="num" w:pos="5040"/>
        </w:tabs>
        <w:ind w:left="5040" w:hanging="360"/>
      </w:pPr>
      <w:rPr>
        <w:rFonts w:ascii="Arial" w:hAnsi="Arial" w:hint="default"/>
      </w:rPr>
    </w:lvl>
    <w:lvl w:ilvl="7" w:tplc="1FA8ECEA" w:tentative="1">
      <w:start w:val="1"/>
      <w:numFmt w:val="bullet"/>
      <w:lvlText w:val="•"/>
      <w:lvlJc w:val="left"/>
      <w:pPr>
        <w:tabs>
          <w:tab w:val="num" w:pos="5760"/>
        </w:tabs>
        <w:ind w:left="5760" w:hanging="360"/>
      </w:pPr>
      <w:rPr>
        <w:rFonts w:ascii="Arial" w:hAnsi="Arial" w:hint="default"/>
      </w:rPr>
    </w:lvl>
    <w:lvl w:ilvl="8" w:tplc="56B8641C" w:tentative="1">
      <w:start w:val="1"/>
      <w:numFmt w:val="bullet"/>
      <w:lvlText w:val="•"/>
      <w:lvlJc w:val="left"/>
      <w:pPr>
        <w:tabs>
          <w:tab w:val="num" w:pos="6480"/>
        </w:tabs>
        <w:ind w:left="6480" w:hanging="360"/>
      </w:pPr>
      <w:rPr>
        <w:rFonts w:ascii="Arial" w:hAnsi="Arial" w:hint="default"/>
      </w:rPr>
    </w:lvl>
  </w:abstractNum>
  <w:abstractNum w:abstractNumId="14">
    <w:nsid w:val="575D55EC"/>
    <w:multiLevelType w:val="hybridMultilevel"/>
    <w:tmpl w:val="A1886E4A"/>
    <w:lvl w:ilvl="0" w:tplc="FA7C2ADC">
      <w:start w:val="2003"/>
      <w:numFmt w:val="bullet"/>
      <w:lvlText w:val=""/>
      <w:lvlJc w:val="left"/>
      <w:pPr>
        <w:ind w:left="720" w:hanging="360"/>
      </w:pPr>
      <w:rPr>
        <w:rFonts w:ascii="Symbol" w:eastAsiaTheme="minorHAns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610B2082"/>
    <w:multiLevelType w:val="multilevel"/>
    <w:tmpl w:val="083C6004"/>
    <w:lvl w:ilvl="0">
      <w:start w:val="1"/>
      <w:numFmt w:val="decimal"/>
      <w:lvlText w:val="%1."/>
      <w:lvlJc w:val="left"/>
      <w:pPr>
        <w:ind w:left="360" w:hanging="360"/>
      </w:pPr>
      <w:rPr>
        <w:rFonts w:hint="default"/>
        <w:b/>
        <w:sz w:val="24"/>
        <w:szCs w:val="24"/>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689450D9"/>
    <w:multiLevelType w:val="multilevel"/>
    <w:tmpl w:val="7656253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73AD7FCD"/>
    <w:multiLevelType w:val="hybridMultilevel"/>
    <w:tmpl w:val="4610279E"/>
    <w:lvl w:ilvl="0" w:tplc="626A1B66">
      <w:start w:val="1"/>
      <w:numFmt w:val="decimal"/>
      <w:lvlText w:val="%1."/>
      <w:lvlJc w:val="left"/>
      <w:pPr>
        <w:ind w:left="218" w:hanging="360"/>
      </w:pPr>
      <w:rPr>
        <w:rFonts w:ascii="Times New Roman" w:hAnsi="Times New Roman" w:cs="Times New Roman" w:hint="default"/>
        <w:b w:val="0"/>
        <w:i/>
      </w:rPr>
    </w:lvl>
    <w:lvl w:ilvl="1" w:tplc="04140019" w:tentative="1">
      <w:start w:val="1"/>
      <w:numFmt w:val="lowerLetter"/>
      <w:lvlText w:val="%2."/>
      <w:lvlJc w:val="left"/>
      <w:pPr>
        <w:ind w:left="938" w:hanging="360"/>
      </w:pPr>
    </w:lvl>
    <w:lvl w:ilvl="2" w:tplc="0414001B" w:tentative="1">
      <w:start w:val="1"/>
      <w:numFmt w:val="lowerRoman"/>
      <w:lvlText w:val="%3."/>
      <w:lvlJc w:val="right"/>
      <w:pPr>
        <w:ind w:left="1658" w:hanging="180"/>
      </w:pPr>
    </w:lvl>
    <w:lvl w:ilvl="3" w:tplc="0414000F" w:tentative="1">
      <w:start w:val="1"/>
      <w:numFmt w:val="decimal"/>
      <w:lvlText w:val="%4."/>
      <w:lvlJc w:val="left"/>
      <w:pPr>
        <w:ind w:left="2378" w:hanging="360"/>
      </w:pPr>
    </w:lvl>
    <w:lvl w:ilvl="4" w:tplc="04140019" w:tentative="1">
      <w:start w:val="1"/>
      <w:numFmt w:val="lowerLetter"/>
      <w:lvlText w:val="%5."/>
      <w:lvlJc w:val="left"/>
      <w:pPr>
        <w:ind w:left="3098" w:hanging="360"/>
      </w:pPr>
    </w:lvl>
    <w:lvl w:ilvl="5" w:tplc="0414001B" w:tentative="1">
      <w:start w:val="1"/>
      <w:numFmt w:val="lowerRoman"/>
      <w:lvlText w:val="%6."/>
      <w:lvlJc w:val="right"/>
      <w:pPr>
        <w:ind w:left="3818" w:hanging="180"/>
      </w:pPr>
    </w:lvl>
    <w:lvl w:ilvl="6" w:tplc="0414000F" w:tentative="1">
      <w:start w:val="1"/>
      <w:numFmt w:val="decimal"/>
      <w:lvlText w:val="%7."/>
      <w:lvlJc w:val="left"/>
      <w:pPr>
        <w:ind w:left="4538" w:hanging="360"/>
      </w:pPr>
    </w:lvl>
    <w:lvl w:ilvl="7" w:tplc="04140019" w:tentative="1">
      <w:start w:val="1"/>
      <w:numFmt w:val="lowerLetter"/>
      <w:lvlText w:val="%8."/>
      <w:lvlJc w:val="left"/>
      <w:pPr>
        <w:ind w:left="5258" w:hanging="360"/>
      </w:pPr>
    </w:lvl>
    <w:lvl w:ilvl="8" w:tplc="0414001B" w:tentative="1">
      <w:start w:val="1"/>
      <w:numFmt w:val="lowerRoman"/>
      <w:lvlText w:val="%9."/>
      <w:lvlJc w:val="right"/>
      <w:pPr>
        <w:ind w:left="5978" w:hanging="180"/>
      </w:pPr>
    </w:lvl>
  </w:abstractNum>
  <w:abstractNum w:abstractNumId="18">
    <w:nsid w:val="78A22ADE"/>
    <w:multiLevelType w:val="hybridMultilevel"/>
    <w:tmpl w:val="491664AE"/>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9">
    <w:nsid w:val="7AD05FE6"/>
    <w:multiLevelType w:val="multilevel"/>
    <w:tmpl w:val="8ECCB910"/>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7C633F73"/>
    <w:multiLevelType w:val="multilevel"/>
    <w:tmpl w:val="E7867F1A"/>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eastAsia="Times New Roman" w:hint="default"/>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720" w:hanging="72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080" w:hanging="1080"/>
      </w:pPr>
      <w:rPr>
        <w:rFonts w:eastAsia="Times New Roman" w:hint="default"/>
      </w:rPr>
    </w:lvl>
    <w:lvl w:ilvl="6">
      <w:start w:val="1"/>
      <w:numFmt w:val="decimal"/>
      <w:isLgl/>
      <w:lvlText w:val="%1.%2.%3.%4.%5.%6.%7"/>
      <w:lvlJc w:val="left"/>
      <w:pPr>
        <w:ind w:left="1440" w:hanging="1440"/>
      </w:pPr>
      <w:rPr>
        <w:rFonts w:eastAsia="Times New Roman" w:hint="default"/>
      </w:rPr>
    </w:lvl>
    <w:lvl w:ilvl="7">
      <w:start w:val="1"/>
      <w:numFmt w:val="decimal"/>
      <w:isLgl/>
      <w:lvlText w:val="%1.%2.%3.%4.%5.%6.%7.%8"/>
      <w:lvlJc w:val="left"/>
      <w:pPr>
        <w:ind w:left="1440" w:hanging="1440"/>
      </w:pPr>
      <w:rPr>
        <w:rFonts w:eastAsia="Times New Roman" w:hint="default"/>
      </w:rPr>
    </w:lvl>
    <w:lvl w:ilvl="8">
      <w:start w:val="1"/>
      <w:numFmt w:val="decimal"/>
      <w:isLgl/>
      <w:lvlText w:val="%1.%2.%3.%4.%5.%6.%7.%8.%9"/>
      <w:lvlJc w:val="left"/>
      <w:pPr>
        <w:ind w:left="1800" w:hanging="1800"/>
      </w:pPr>
      <w:rPr>
        <w:rFonts w:eastAsia="Times New Roman" w:hint="default"/>
      </w:rPr>
    </w:lvl>
  </w:abstractNum>
  <w:num w:numId="1">
    <w:abstractNumId w:val="3"/>
  </w:num>
  <w:num w:numId="2">
    <w:abstractNumId w:val="10"/>
  </w:num>
  <w:num w:numId="3">
    <w:abstractNumId w:val="6"/>
  </w:num>
  <w:num w:numId="4">
    <w:abstractNumId w:val="2"/>
  </w:num>
  <w:num w:numId="5">
    <w:abstractNumId w:val="5"/>
  </w:num>
  <w:num w:numId="6">
    <w:abstractNumId w:val="12"/>
  </w:num>
  <w:num w:numId="7">
    <w:abstractNumId w:val="15"/>
  </w:num>
  <w:num w:numId="8">
    <w:abstractNumId w:val="0"/>
  </w:num>
  <w:num w:numId="9">
    <w:abstractNumId w:val="4"/>
  </w:num>
  <w:num w:numId="10">
    <w:abstractNumId w:val="17"/>
  </w:num>
  <w:num w:numId="11">
    <w:abstractNumId w:val="1"/>
  </w:num>
  <w:num w:numId="12">
    <w:abstractNumId w:val="14"/>
  </w:num>
  <w:num w:numId="13">
    <w:abstractNumId w:val="20"/>
  </w:num>
  <w:num w:numId="14">
    <w:abstractNumId w:val="8"/>
  </w:num>
  <w:num w:numId="15">
    <w:abstractNumId w:val="16"/>
  </w:num>
  <w:num w:numId="16">
    <w:abstractNumId w:val="7"/>
  </w:num>
  <w:num w:numId="17">
    <w:abstractNumId w:val="11"/>
  </w:num>
  <w:num w:numId="18">
    <w:abstractNumId w:val="19"/>
  </w:num>
  <w:num w:numId="19">
    <w:abstractNumId w:val="9"/>
  </w:num>
  <w:num w:numId="20">
    <w:abstractNumId w:val="1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9C7"/>
    <w:rsid w:val="00032464"/>
    <w:rsid w:val="00041A55"/>
    <w:rsid w:val="00044690"/>
    <w:rsid w:val="00062F83"/>
    <w:rsid w:val="000747EC"/>
    <w:rsid w:val="0007789D"/>
    <w:rsid w:val="000B1562"/>
    <w:rsid w:val="000C1AC5"/>
    <w:rsid w:val="000D726E"/>
    <w:rsid w:val="000E1133"/>
    <w:rsid w:val="00101A2C"/>
    <w:rsid w:val="001055B1"/>
    <w:rsid w:val="001249C7"/>
    <w:rsid w:val="00175BD6"/>
    <w:rsid w:val="0018768F"/>
    <w:rsid w:val="00191CE0"/>
    <w:rsid w:val="00196C0C"/>
    <w:rsid w:val="001A40D4"/>
    <w:rsid w:val="001A4AAA"/>
    <w:rsid w:val="001C5D8F"/>
    <w:rsid w:val="001C623D"/>
    <w:rsid w:val="001C7E9F"/>
    <w:rsid w:val="001E5873"/>
    <w:rsid w:val="00211127"/>
    <w:rsid w:val="00226EE0"/>
    <w:rsid w:val="00237181"/>
    <w:rsid w:val="002625FB"/>
    <w:rsid w:val="00265BC9"/>
    <w:rsid w:val="00267CFC"/>
    <w:rsid w:val="00277EA7"/>
    <w:rsid w:val="00283F26"/>
    <w:rsid w:val="00294D54"/>
    <w:rsid w:val="002A7F58"/>
    <w:rsid w:val="002B1BFE"/>
    <w:rsid w:val="0030498C"/>
    <w:rsid w:val="003113BA"/>
    <w:rsid w:val="00316E85"/>
    <w:rsid w:val="00322D59"/>
    <w:rsid w:val="00342FEE"/>
    <w:rsid w:val="00362D31"/>
    <w:rsid w:val="0038527B"/>
    <w:rsid w:val="003A4075"/>
    <w:rsid w:val="003A417F"/>
    <w:rsid w:val="003C1797"/>
    <w:rsid w:val="003E61A3"/>
    <w:rsid w:val="00401EAE"/>
    <w:rsid w:val="0040229A"/>
    <w:rsid w:val="0040448B"/>
    <w:rsid w:val="004226B3"/>
    <w:rsid w:val="0044173B"/>
    <w:rsid w:val="004445F9"/>
    <w:rsid w:val="00474907"/>
    <w:rsid w:val="004763FF"/>
    <w:rsid w:val="00483BDB"/>
    <w:rsid w:val="0048446A"/>
    <w:rsid w:val="0049161F"/>
    <w:rsid w:val="004A262B"/>
    <w:rsid w:val="004D1980"/>
    <w:rsid w:val="004D19A0"/>
    <w:rsid w:val="004E2C21"/>
    <w:rsid w:val="004E565C"/>
    <w:rsid w:val="004F6359"/>
    <w:rsid w:val="005012C5"/>
    <w:rsid w:val="00501470"/>
    <w:rsid w:val="0051341D"/>
    <w:rsid w:val="00515DBB"/>
    <w:rsid w:val="00516C62"/>
    <w:rsid w:val="005405E1"/>
    <w:rsid w:val="005413EE"/>
    <w:rsid w:val="00555D02"/>
    <w:rsid w:val="00561D55"/>
    <w:rsid w:val="0058296C"/>
    <w:rsid w:val="00582FD6"/>
    <w:rsid w:val="00583749"/>
    <w:rsid w:val="005A637C"/>
    <w:rsid w:val="005B7F38"/>
    <w:rsid w:val="005E5BB6"/>
    <w:rsid w:val="00602144"/>
    <w:rsid w:val="00605043"/>
    <w:rsid w:val="00611835"/>
    <w:rsid w:val="006366A5"/>
    <w:rsid w:val="00654469"/>
    <w:rsid w:val="006615B5"/>
    <w:rsid w:val="006724A2"/>
    <w:rsid w:val="0069051D"/>
    <w:rsid w:val="006B55D2"/>
    <w:rsid w:val="006B6E10"/>
    <w:rsid w:val="006E29DF"/>
    <w:rsid w:val="006F2559"/>
    <w:rsid w:val="00713BE6"/>
    <w:rsid w:val="007B2024"/>
    <w:rsid w:val="007C17BC"/>
    <w:rsid w:val="00806E82"/>
    <w:rsid w:val="008260D4"/>
    <w:rsid w:val="00834BB9"/>
    <w:rsid w:val="00837B92"/>
    <w:rsid w:val="00845E5F"/>
    <w:rsid w:val="0087427F"/>
    <w:rsid w:val="00893B34"/>
    <w:rsid w:val="008B1E5E"/>
    <w:rsid w:val="008C5E69"/>
    <w:rsid w:val="008D6066"/>
    <w:rsid w:val="008D7C45"/>
    <w:rsid w:val="008D7CBA"/>
    <w:rsid w:val="009125F1"/>
    <w:rsid w:val="00920BAF"/>
    <w:rsid w:val="00922FEB"/>
    <w:rsid w:val="009275B3"/>
    <w:rsid w:val="00930689"/>
    <w:rsid w:val="00930FEB"/>
    <w:rsid w:val="00946632"/>
    <w:rsid w:val="009606BF"/>
    <w:rsid w:val="00962382"/>
    <w:rsid w:val="009727D4"/>
    <w:rsid w:val="00984B99"/>
    <w:rsid w:val="00987B2B"/>
    <w:rsid w:val="009B3A4D"/>
    <w:rsid w:val="009C4221"/>
    <w:rsid w:val="009C4CB1"/>
    <w:rsid w:val="009E0B93"/>
    <w:rsid w:val="009E2B42"/>
    <w:rsid w:val="009E3DCC"/>
    <w:rsid w:val="009E5106"/>
    <w:rsid w:val="009E77ED"/>
    <w:rsid w:val="009F6077"/>
    <w:rsid w:val="00A00946"/>
    <w:rsid w:val="00A10E89"/>
    <w:rsid w:val="00A503AD"/>
    <w:rsid w:val="00A72401"/>
    <w:rsid w:val="00A81473"/>
    <w:rsid w:val="00A92906"/>
    <w:rsid w:val="00AB3CF8"/>
    <w:rsid w:val="00AB5D00"/>
    <w:rsid w:val="00AC6AA7"/>
    <w:rsid w:val="00AE235D"/>
    <w:rsid w:val="00AF7878"/>
    <w:rsid w:val="00B01AB6"/>
    <w:rsid w:val="00B20530"/>
    <w:rsid w:val="00B22F18"/>
    <w:rsid w:val="00B359F7"/>
    <w:rsid w:val="00B5059B"/>
    <w:rsid w:val="00B72E95"/>
    <w:rsid w:val="00BC0B11"/>
    <w:rsid w:val="00C20697"/>
    <w:rsid w:val="00C431CE"/>
    <w:rsid w:val="00C67A18"/>
    <w:rsid w:val="00C70173"/>
    <w:rsid w:val="00C9121E"/>
    <w:rsid w:val="00CD1E59"/>
    <w:rsid w:val="00CD6766"/>
    <w:rsid w:val="00CF3B19"/>
    <w:rsid w:val="00D10652"/>
    <w:rsid w:val="00D30376"/>
    <w:rsid w:val="00D465D6"/>
    <w:rsid w:val="00D6328B"/>
    <w:rsid w:val="00D67E97"/>
    <w:rsid w:val="00D702EF"/>
    <w:rsid w:val="00D77139"/>
    <w:rsid w:val="00D850C6"/>
    <w:rsid w:val="00DA7067"/>
    <w:rsid w:val="00DC4DF3"/>
    <w:rsid w:val="00DC5ECC"/>
    <w:rsid w:val="00DD224F"/>
    <w:rsid w:val="00DD528F"/>
    <w:rsid w:val="00DD751D"/>
    <w:rsid w:val="00DE616E"/>
    <w:rsid w:val="00DF0BA6"/>
    <w:rsid w:val="00DF414D"/>
    <w:rsid w:val="00E15E30"/>
    <w:rsid w:val="00E46A62"/>
    <w:rsid w:val="00E53032"/>
    <w:rsid w:val="00E54A30"/>
    <w:rsid w:val="00E642C8"/>
    <w:rsid w:val="00E875F1"/>
    <w:rsid w:val="00E96C05"/>
    <w:rsid w:val="00EA129D"/>
    <w:rsid w:val="00EB129E"/>
    <w:rsid w:val="00EB3D44"/>
    <w:rsid w:val="00EB6824"/>
    <w:rsid w:val="00EC1F2D"/>
    <w:rsid w:val="00ED7440"/>
    <w:rsid w:val="00EE5C76"/>
    <w:rsid w:val="00EE726D"/>
    <w:rsid w:val="00F005D1"/>
    <w:rsid w:val="00F027E9"/>
    <w:rsid w:val="00F11AED"/>
    <w:rsid w:val="00F137E8"/>
    <w:rsid w:val="00F15CD3"/>
    <w:rsid w:val="00F24CEA"/>
    <w:rsid w:val="00F669CC"/>
    <w:rsid w:val="00F674AF"/>
    <w:rsid w:val="00FA14F0"/>
    <w:rsid w:val="00FA79B6"/>
    <w:rsid w:val="00FC3D59"/>
    <w:rsid w:val="00FC4F9C"/>
    <w:rsid w:val="00FC5FF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D4CF1E-FF6C-41D2-80FD-6F15D67D0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9C7"/>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Hode">
    <w:name w:val="Hode"/>
    <w:rsid w:val="001249C7"/>
    <w:pPr>
      <w:spacing w:after="0" w:line="240" w:lineRule="auto"/>
    </w:pPr>
    <w:rPr>
      <w:rFonts w:ascii="Times New Roman" w:eastAsia="Times New Roman" w:hAnsi="Times New Roman" w:cs="Times New Roman"/>
      <w:noProof/>
      <w:sz w:val="24"/>
      <w:szCs w:val="20"/>
      <w:lang w:eastAsia="nb-NO"/>
    </w:rPr>
  </w:style>
  <w:style w:type="paragraph" w:styleId="Listeavsnitt">
    <w:name w:val="List Paragraph"/>
    <w:basedOn w:val="Normal"/>
    <w:uiPriority w:val="34"/>
    <w:qFormat/>
    <w:rsid w:val="001249C7"/>
    <w:pPr>
      <w:ind w:left="720"/>
      <w:contextualSpacing/>
    </w:pPr>
  </w:style>
  <w:style w:type="paragraph" w:customStyle="1" w:styleId="Default">
    <w:name w:val="Default"/>
    <w:rsid w:val="00922FEB"/>
    <w:pPr>
      <w:autoSpaceDE w:val="0"/>
      <w:autoSpaceDN w:val="0"/>
      <w:adjustRightInd w:val="0"/>
      <w:spacing w:after="0" w:line="240" w:lineRule="auto"/>
    </w:pPr>
    <w:rPr>
      <w:rFonts w:ascii="Times New Roman" w:hAnsi="Times New Roman" w:cs="Times New Roman"/>
      <w:color w:val="000000"/>
      <w:sz w:val="24"/>
      <w:szCs w:val="24"/>
    </w:rPr>
  </w:style>
  <w:style w:type="paragraph" w:styleId="Bobletekst">
    <w:name w:val="Balloon Text"/>
    <w:basedOn w:val="Normal"/>
    <w:link w:val="BobletekstTegn"/>
    <w:uiPriority w:val="99"/>
    <w:semiHidden/>
    <w:unhideWhenUsed/>
    <w:rsid w:val="00922FEB"/>
    <w:rPr>
      <w:rFonts w:ascii="Tahoma" w:hAnsi="Tahoma" w:cs="Tahoma"/>
      <w:sz w:val="16"/>
      <w:szCs w:val="16"/>
    </w:rPr>
  </w:style>
  <w:style w:type="character" w:customStyle="1" w:styleId="BobletekstTegn">
    <w:name w:val="Bobletekst Tegn"/>
    <w:basedOn w:val="Standardskriftforavsnitt"/>
    <w:link w:val="Bobletekst"/>
    <w:uiPriority w:val="99"/>
    <w:semiHidden/>
    <w:rsid w:val="00922FEB"/>
    <w:rPr>
      <w:rFonts w:ascii="Tahoma" w:eastAsia="Times New Roman" w:hAnsi="Tahoma" w:cs="Tahoma"/>
      <w:sz w:val="16"/>
      <w:szCs w:val="16"/>
      <w:lang w:eastAsia="nb-NO"/>
    </w:rPr>
  </w:style>
  <w:style w:type="character" w:styleId="Merknadsreferanse">
    <w:name w:val="annotation reference"/>
    <w:basedOn w:val="Standardskriftforavsnitt"/>
    <w:uiPriority w:val="99"/>
    <w:semiHidden/>
    <w:unhideWhenUsed/>
    <w:rsid w:val="00342FEE"/>
    <w:rPr>
      <w:sz w:val="16"/>
      <w:szCs w:val="16"/>
    </w:rPr>
  </w:style>
  <w:style w:type="paragraph" w:styleId="Merknadstekst">
    <w:name w:val="annotation text"/>
    <w:basedOn w:val="Normal"/>
    <w:link w:val="MerknadstekstTegn"/>
    <w:uiPriority w:val="99"/>
    <w:unhideWhenUsed/>
    <w:rsid w:val="00342FEE"/>
    <w:rPr>
      <w:sz w:val="20"/>
      <w:szCs w:val="20"/>
    </w:rPr>
  </w:style>
  <w:style w:type="character" w:customStyle="1" w:styleId="MerknadstekstTegn">
    <w:name w:val="Merknadstekst Tegn"/>
    <w:basedOn w:val="Standardskriftforavsnitt"/>
    <w:link w:val="Merknadstekst"/>
    <w:uiPriority w:val="99"/>
    <w:rsid w:val="00342FEE"/>
    <w:rPr>
      <w:rFonts w:ascii="Times New Roman" w:eastAsia="Times New Roman" w:hAnsi="Times New Roman" w:cs="Times New Roman"/>
      <w:sz w:val="20"/>
      <w:szCs w:val="20"/>
      <w:lang w:eastAsia="nb-NO"/>
    </w:rPr>
  </w:style>
  <w:style w:type="paragraph" w:styleId="Kommentaremne">
    <w:name w:val="annotation subject"/>
    <w:basedOn w:val="Merknadstekst"/>
    <w:next w:val="Merknadstekst"/>
    <w:link w:val="KommentaremneTegn"/>
    <w:uiPriority w:val="99"/>
    <w:semiHidden/>
    <w:unhideWhenUsed/>
    <w:rsid w:val="00342FEE"/>
    <w:rPr>
      <w:b/>
      <w:bCs/>
    </w:rPr>
  </w:style>
  <w:style w:type="character" w:customStyle="1" w:styleId="KommentaremneTegn">
    <w:name w:val="Kommentaremne Tegn"/>
    <w:basedOn w:val="MerknadstekstTegn"/>
    <w:link w:val="Kommentaremne"/>
    <w:uiPriority w:val="99"/>
    <w:semiHidden/>
    <w:rsid w:val="00342FEE"/>
    <w:rPr>
      <w:rFonts w:ascii="Times New Roman" w:eastAsia="Times New Roman" w:hAnsi="Times New Roman" w:cs="Times New Roman"/>
      <w:b/>
      <w:bCs/>
      <w:sz w:val="20"/>
      <w:szCs w:val="20"/>
      <w:lang w:eastAsia="nb-NO"/>
    </w:rPr>
  </w:style>
  <w:style w:type="paragraph" w:styleId="Topptekst">
    <w:name w:val="header"/>
    <w:basedOn w:val="Normal"/>
    <w:link w:val="TopptekstTegn"/>
    <w:uiPriority w:val="99"/>
    <w:unhideWhenUsed/>
    <w:rsid w:val="00196C0C"/>
    <w:pPr>
      <w:tabs>
        <w:tab w:val="center" w:pos="4536"/>
        <w:tab w:val="right" w:pos="9072"/>
      </w:tabs>
    </w:pPr>
  </w:style>
  <w:style w:type="character" w:customStyle="1" w:styleId="TopptekstTegn">
    <w:name w:val="Topptekst Tegn"/>
    <w:basedOn w:val="Standardskriftforavsnitt"/>
    <w:link w:val="Topptekst"/>
    <w:uiPriority w:val="99"/>
    <w:rsid w:val="00196C0C"/>
    <w:rPr>
      <w:rFonts w:ascii="Times New Roman" w:eastAsia="Times New Roman" w:hAnsi="Times New Roman" w:cs="Times New Roman"/>
      <w:sz w:val="24"/>
      <w:szCs w:val="24"/>
      <w:lang w:eastAsia="nb-NO"/>
    </w:rPr>
  </w:style>
  <w:style w:type="paragraph" w:styleId="Bunntekst">
    <w:name w:val="footer"/>
    <w:basedOn w:val="Normal"/>
    <w:link w:val="BunntekstTegn"/>
    <w:uiPriority w:val="99"/>
    <w:unhideWhenUsed/>
    <w:rsid w:val="00196C0C"/>
    <w:pPr>
      <w:tabs>
        <w:tab w:val="center" w:pos="4536"/>
        <w:tab w:val="right" w:pos="9072"/>
      </w:tabs>
    </w:pPr>
  </w:style>
  <w:style w:type="character" w:customStyle="1" w:styleId="BunntekstTegn">
    <w:name w:val="Bunntekst Tegn"/>
    <w:basedOn w:val="Standardskriftforavsnitt"/>
    <w:link w:val="Bunntekst"/>
    <w:uiPriority w:val="99"/>
    <w:rsid w:val="00196C0C"/>
    <w:rPr>
      <w:rFonts w:ascii="Times New Roman" w:eastAsia="Times New Roman" w:hAnsi="Times New Roman" w:cs="Times New Roman"/>
      <w:sz w:val="24"/>
      <w:szCs w:val="24"/>
      <w:lang w:eastAsia="nb-NO"/>
    </w:rPr>
  </w:style>
  <w:style w:type="paragraph" w:styleId="Fotnotetekst">
    <w:name w:val="footnote text"/>
    <w:basedOn w:val="Normal"/>
    <w:link w:val="FotnotetekstTegn"/>
    <w:uiPriority w:val="99"/>
    <w:semiHidden/>
    <w:unhideWhenUsed/>
    <w:rsid w:val="00984B99"/>
    <w:rPr>
      <w:rFonts w:asciiTheme="minorHAnsi" w:eastAsiaTheme="minorHAnsi" w:hAnsiTheme="minorHAnsi" w:cstheme="minorBidi"/>
      <w:sz w:val="20"/>
      <w:szCs w:val="20"/>
      <w:lang w:eastAsia="en-US"/>
    </w:rPr>
  </w:style>
  <w:style w:type="character" w:customStyle="1" w:styleId="FotnotetekstTegn">
    <w:name w:val="Fotnotetekst Tegn"/>
    <w:basedOn w:val="Standardskriftforavsnitt"/>
    <w:link w:val="Fotnotetekst"/>
    <w:uiPriority w:val="99"/>
    <w:semiHidden/>
    <w:rsid w:val="00984B99"/>
    <w:rPr>
      <w:sz w:val="20"/>
      <w:szCs w:val="20"/>
    </w:rPr>
  </w:style>
  <w:style w:type="character" w:styleId="Fotnotereferanse">
    <w:name w:val="footnote reference"/>
    <w:uiPriority w:val="99"/>
    <w:unhideWhenUsed/>
    <w:rsid w:val="00984B99"/>
    <w:rPr>
      <w:vertAlign w:val="superscript"/>
    </w:rPr>
  </w:style>
  <w:style w:type="character" w:styleId="Hyperkobling">
    <w:name w:val="Hyperlink"/>
    <w:basedOn w:val="Standardskriftforavsnitt"/>
    <w:uiPriority w:val="99"/>
    <w:unhideWhenUsed/>
    <w:rsid w:val="00F137E8"/>
    <w:rPr>
      <w:color w:val="0000FF" w:themeColor="hyperlink"/>
      <w:u w:val="single"/>
    </w:rPr>
  </w:style>
  <w:style w:type="paragraph" w:styleId="NormalWeb">
    <w:name w:val="Normal (Web)"/>
    <w:basedOn w:val="Normal"/>
    <w:uiPriority w:val="99"/>
    <w:unhideWhenUsed/>
    <w:rsid w:val="00474907"/>
    <w:pPr>
      <w:spacing w:before="100" w:beforeAutospacing="1" w:after="100" w:afterAutospacing="1"/>
    </w:pPr>
  </w:style>
  <w:style w:type="table" w:styleId="Tabellrutenett">
    <w:name w:val="Table Grid"/>
    <w:basedOn w:val="Vanligtabell"/>
    <w:uiPriority w:val="39"/>
    <w:rsid w:val="00A929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716960">
      <w:bodyDiv w:val="1"/>
      <w:marLeft w:val="0"/>
      <w:marRight w:val="0"/>
      <w:marTop w:val="0"/>
      <w:marBottom w:val="0"/>
      <w:divBdr>
        <w:top w:val="none" w:sz="0" w:space="0" w:color="auto"/>
        <w:left w:val="none" w:sz="0" w:space="0" w:color="auto"/>
        <w:bottom w:val="none" w:sz="0" w:space="0" w:color="auto"/>
        <w:right w:val="none" w:sz="0" w:space="0" w:color="auto"/>
      </w:divBdr>
      <w:divsChild>
        <w:div w:id="648242386">
          <w:marLeft w:val="547"/>
          <w:marRight w:val="0"/>
          <w:marTop w:val="96"/>
          <w:marBottom w:val="0"/>
          <w:divBdr>
            <w:top w:val="none" w:sz="0" w:space="0" w:color="auto"/>
            <w:left w:val="none" w:sz="0" w:space="0" w:color="auto"/>
            <w:bottom w:val="none" w:sz="0" w:space="0" w:color="auto"/>
            <w:right w:val="none" w:sz="0" w:space="0" w:color="auto"/>
          </w:divBdr>
        </w:div>
        <w:div w:id="350496741">
          <w:marLeft w:val="1166"/>
          <w:marRight w:val="0"/>
          <w:marTop w:val="96"/>
          <w:marBottom w:val="0"/>
          <w:divBdr>
            <w:top w:val="none" w:sz="0" w:space="0" w:color="auto"/>
            <w:left w:val="none" w:sz="0" w:space="0" w:color="auto"/>
            <w:bottom w:val="none" w:sz="0" w:space="0" w:color="auto"/>
            <w:right w:val="none" w:sz="0" w:space="0" w:color="auto"/>
          </w:divBdr>
        </w:div>
        <w:div w:id="1255439343">
          <w:marLeft w:val="547"/>
          <w:marRight w:val="0"/>
          <w:marTop w:val="96"/>
          <w:marBottom w:val="0"/>
          <w:divBdr>
            <w:top w:val="none" w:sz="0" w:space="0" w:color="auto"/>
            <w:left w:val="none" w:sz="0" w:space="0" w:color="auto"/>
            <w:bottom w:val="none" w:sz="0" w:space="0" w:color="auto"/>
            <w:right w:val="none" w:sz="0" w:space="0" w:color="auto"/>
          </w:divBdr>
        </w:div>
        <w:div w:id="1394112760">
          <w:marLeft w:val="1166"/>
          <w:marRight w:val="0"/>
          <w:marTop w:val="96"/>
          <w:marBottom w:val="0"/>
          <w:divBdr>
            <w:top w:val="none" w:sz="0" w:space="0" w:color="auto"/>
            <w:left w:val="none" w:sz="0" w:space="0" w:color="auto"/>
            <w:bottom w:val="none" w:sz="0" w:space="0" w:color="auto"/>
            <w:right w:val="none" w:sz="0" w:space="0" w:color="auto"/>
          </w:divBdr>
        </w:div>
        <w:div w:id="1967350257">
          <w:marLeft w:val="547"/>
          <w:marRight w:val="0"/>
          <w:marTop w:val="96"/>
          <w:marBottom w:val="0"/>
          <w:divBdr>
            <w:top w:val="none" w:sz="0" w:space="0" w:color="auto"/>
            <w:left w:val="none" w:sz="0" w:space="0" w:color="auto"/>
            <w:bottom w:val="none" w:sz="0" w:space="0" w:color="auto"/>
            <w:right w:val="none" w:sz="0" w:space="0" w:color="auto"/>
          </w:divBdr>
        </w:div>
        <w:div w:id="1493794390">
          <w:marLeft w:val="1166"/>
          <w:marRight w:val="0"/>
          <w:marTop w:val="96"/>
          <w:marBottom w:val="0"/>
          <w:divBdr>
            <w:top w:val="none" w:sz="0" w:space="0" w:color="auto"/>
            <w:left w:val="none" w:sz="0" w:space="0" w:color="auto"/>
            <w:bottom w:val="none" w:sz="0" w:space="0" w:color="auto"/>
            <w:right w:val="none" w:sz="0" w:space="0" w:color="auto"/>
          </w:divBdr>
        </w:div>
        <w:div w:id="538862669">
          <w:marLeft w:val="547"/>
          <w:marRight w:val="0"/>
          <w:marTop w:val="96"/>
          <w:marBottom w:val="0"/>
          <w:divBdr>
            <w:top w:val="none" w:sz="0" w:space="0" w:color="auto"/>
            <w:left w:val="none" w:sz="0" w:space="0" w:color="auto"/>
            <w:bottom w:val="none" w:sz="0" w:space="0" w:color="auto"/>
            <w:right w:val="none" w:sz="0" w:space="0" w:color="auto"/>
          </w:divBdr>
        </w:div>
        <w:div w:id="1811894966">
          <w:marLeft w:val="1166"/>
          <w:marRight w:val="0"/>
          <w:marTop w:val="96"/>
          <w:marBottom w:val="0"/>
          <w:divBdr>
            <w:top w:val="none" w:sz="0" w:space="0" w:color="auto"/>
            <w:left w:val="none" w:sz="0" w:space="0" w:color="auto"/>
            <w:bottom w:val="none" w:sz="0" w:space="0" w:color="auto"/>
            <w:right w:val="none" w:sz="0" w:space="0" w:color="auto"/>
          </w:divBdr>
        </w:div>
      </w:divsChild>
    </w:div>
    <w:div w:id="1255362815">
      <w:bodyDiv w:val="1"/>
      <w:marLeft w:val="0"/>
      <w:marRight w:val="0"/>
      <w:marTop w:val="0"/>
      <w:marBottom w:val="0"/>
      <w:divBdr>
        <w:top w:val="none" w:sz="0" w:space="0" w:color="auto"/>
        <w:left w:val="none" w:sz="0" w:space="0" w:color="auto"/>
        <w:bottom w:val="none" w:sz="0" w:space="0" w:color="auto"/>
        <w:right w:val="none" w:sz="0" w:space="0" w:color="auto"/>
      </w:divBdr>
      <w:divsChild>
        <w:div w:id="1132869812">
          <w:marLeft w:val="547"/>
          <w:marRight w:val="0"/>
          <w:marTop w:val="96"/>
          <w:marBottom w:val="0"/>
          <w:divBdr>
            <w:top w:val="none" w:sz="0" w:space="0" w:color="auto"/>
            <w:left w:val="none" w:sz="0" w:space="0" w:color="auto"/>
            <w:bottom w:val="none" w:sz="0" w:space="0" w:color="auto"/>
            <w:right w:val="none" w:sz="0" w:space="0" w:color="auto"/>
          </w:divBdr>
        </w:div>
        <w:div w:id="1227180668">
          <w:marLeft w:val="1166"/>
          <w:marRight w:val="0"/>
          <w:marTop w:val="96"/>
          <w:marBottom w:val="0"/>
          <w:divBdr>
            <w:top w:val="none" w:sz="0" w:space="0" w:color="auto"/>
            <w:left w:val="none" w:sz="0" w:space="0" w:color="auto"/>
            <w:bottom w:val="none" w:sz="0" w:space="0" w:color="auto"/>
            <w:right w:val="none" w:sz="0" w:space="0" w:color="auto"/>
          </w:divBdr>
        </w:div>
        <w:div w:id="177081558">
          <w:marLeft w:val="547"/>
          <w:marRight w:val="0"/>
          <w:marTop w:val="96"/>
          <w:marBottom w:val="0"/>
          <w:divBdr>
            <w:top w:val="none" w:sz="0" w:space="0" w:color="auto"/>
            <w:left w:val="none" w:sz="0" w:space="0" w:color="auto"/>
            <w:bottom w:val="none" w:sz="0" w:space="0" w:color="auto"/>
            <w:right w:val="none" w:sz="0" w:space="0" w:color="auto"/>
          </w:divBdr>
        </w:div>
        <w:div w:id="2085255401">
          <w:marLeft w:val="1166"/>
          <w:marRight w:val="0"/>
          <w:marTop w:val="96"/>
          <w:marBottom w:val="0"/>
          <w:divBdr>
            <w:top w:val="none" w:sz="0" w:space="0" w:color="auto"/>
            <w:left w:val="none" w:sz="0" w:space="0" w:color="auto"/>
            <w:bottom w:val="none" w:sz="0" w:space="0" w:color="auto"/>
            <w:right w:val="none" w:sz="0" w:space="0" w:color="auto"/>
          </w:divBdr>
        </w:div>
        <w:div w:id="1739673676">
          <w:marLeft w:val="547"/>
          <w:marRight w:val="0"/>
          <w:marTop w:val="96"/>
          <w:marBottom w:val="0"/>
          <w:divBdr>
            <w:top w:val="none" w:sz="0" w:space="0" w:color="auto"/>
            <w:left w:val="none" w:sz="0" w:space="0" w:color="auto"/>
            <w:bottom w:val="none" w:sz="0" w:space="0" w:color="auto"/>
            <w:right w:val="none" w:sz="0" w:space="0" w:color="auto"/>
          </w:divBdr>
        </w:div>
        <w:div w:id="896402478">
          <w:marLeft w:val="1166"/>
          <w:marRight w:val="0"/>
          <w:marTop w:val="96"/>
          <w:marBottom w:val="0"/>
          <w:divBdr>
            <w:top w:val="none" w:sz="0" w:space="0" w:color="auto"/>
            <w:left w:val="none" w:sz="0" w:space="0" w:color="auto"/>
            <w:bottom w:val="none" w:sz="0" w:space="0" w:color="auto"/>
            <w:right w:val="none" w:sz="0" w:space="0" w:color="auto"/>
          </w:divBdr>
        </w:div>
        <w:div w:id="697776240">
          <w:marLeft w:val="547"/>
          <w:marRight w:val="0"/>
          <w:marTop w:val="96"/>
          <w:marBottom w:val="0"/>
          <w:divBdr>
            <w:top w:val="none" w:sz="0" w:space="0" w:color="auto"/>
            <w:left w:val="none" w:sz="0" w:space="0" w:color="auto"/>
            <w:bottom w:val="none" w:sz="0" w:space="0" w:color="auto"/>
            <w:right w:val="none" w:sz="0" w:space="0" w:color="auto"/>
          </w:divBdr>
        </w:div>
        <w:div w:id="1135948358">
          <w:marLeft w:val="1166"/>
          <w:marRight w:val="0"/>
          <w:marTop w:val="96"/>
          <w:marBottom w:val="0"/>
          <w:divBdr>
            <w:top w:val="none" w:sz="0" w:space="0" w:color="auto"/>
            <w:left w:val="none" w:sz="0" w:space="0" w:color="auto"/>
            <w:bottom w:val="none" w:sz="0" w:space="0" w:color="auto"/>
            <w:right w:val="none" w:sz="0" w:space="0" w:color="auto"/>
          </w:divBdr>
        </w:div>
      </w:divsChild>
    </w:div>
    <w:div w:id="1548490076">
      <w:bodyDiv w:val="1"/>
      <w:marLeft w:val="0"/>
      <w:marRight w:val="0"/>
      <w:marTop w:val="0"/>
      <w:marBottom w:val="0"/>
      <w:divBdr>
        <w:top w:val="none" w:sz="0" w:space="0" w:color="auto"/>
        <w:left w:val="none" w:sz="0" w:space="0" w:color="auto"/>
        <w:bottom w:val="none" w:sz="0" w:space="0" w:color="auto"/>
        <w:right w:val="none" w:sz="0" w:space="0" w:color="auto"/>
      </w:divBdr>
      <w:divsChild>
        <w:div w:id="573902097">
          <w:marLeft w:val="0"/>
          <w:marRight w:val="0"/>
          <w:marTop w:val="0"/>
          <w:marBottom w:val="0"/>
          <w:divBdr>
            <w:top w:val="none" w:sz="0" w:space="0" w:color="auto"/>
            <w:left w:val="none" w:sz="0" w:space="0" w:color="auto"/>
            <w:bottom w:val="none" w:sz="0" w:space="0" w:color="auto"/>
            <w:right w:val="none" w:sz="0" w:space="0" w:color="auto"/>
          </w:divBdr>
          <w:divsChild>
            <w:div w:id="485635570">
              <w:marLeft w:val="0"/>
              <w:marRight w:val="0"/>
              <w:marTop w:val="0"/>
              <w:marBottom w:val="0"/>
              <w:divBdr>
                <w:top w:val="none" w:sz="0" w:space="0" w:color="auto"/>
                <w:left w:val="none" w:sz="0" w:space="0" w:color="auto"/>
                <w:bottom w:val="none" w:sz="0" w:space="0" w:color="auto"/>
                <w:right w:val="none" w:sz="0" w:space="0" w:color="auto"/>
              </w:divBdr>
              <w:divsChild>
                <w:div w:id="1829055602">
                  <w:marLeft w:val="0"/>
                  <w:marRight w:val="0"/>
                  <w:marTop w:val="0"/>
                  <w:marBottom w:val="0"/>
                  <w:divBdr>
                    <w:top w:val="none" w:sz="0" w:space="0" w:color="auto"/>
                    <w:left w:val="none" w:sz="0" w:space="0" w:color="auto"/>
                    <w:bottom w:val="none" w:sz="0" w:space="0" w:color="auto"/>
                    <w:right w:val="none" w:sz="0" w:space="0" w:color="auto"/>
                  </w:divBdr>
                  <w:divsChild>
                    <w:div w:id="1728526866">
                      <w:marLeft w:val="0"/>
                      <w:marRight w:val="0"/>
                      <w:marTop w:val="0"/>
                      <w:marBottom w:val="0"/>
                      <w:divBdr>
                        <w:top w:val="none" w:sz="0" w:space="0" w:color="auto"/>
                        <w:left w:val="none" w:sz="0" w:space="0" w:color="auto"/>
                        <w:bottom w:val="none" w:sz="0" w:space="0" w:color="auto"/>
                        <w:right w:val="none" w:sz="0" w:space="0" w:color="auto"/>
                      </w:divBdr>
                      <w:divsChild>
                        <w:div w:id="1514413204">
                          <w:marLeft w:val="0"/>
                          <w:marRight w:val="0"/>
                          <w:marTop w:val="0"/>
                          <w:marBottom w:val="0"/>
                          <w:divBdr>
                            <w:top w:val="none" w:sz="0" w:space="0" w:color="auto"/>
                            <w:left w:val="none" w:sz="0" w:space="0" w:color="auto"/>
                            <w:bottom w:val="none" w:sz="0" w:space="0" w:color="auto"/>
                            <w:right w:val="none" w:sz="0" w:space="0" w:color="auto"/>
                          </w:divBdr>
                          <w:divsChild>
                            <w:div w:id="1503159389">
                              <w:marLeft w:val="0"/>
                              <w:marRight w:val="0"/>
                              <w:marTop w:val="0"/>
                              <w:marBottom w:val="0"/>
                              <w:divBdr>
                                <w:top w:val="none" w:sz="0" w:space="0" w:color="auto"/>
                                <w:left w:val="none" w:sz="0" w:space="0" w:color="auto"/>
                                <w:bottom w:val="none" w:sz="0" w:space="0" w:color="auto"/>
                                <w:right w:val="none" w:sz="0" w:space="0" w:color="auto"/>
                              </w:divBdr>
                              <w:divsChild>
                                <w:div w:id="1878811887">
                                  <w:marLeft w:val="0"/>
                                  <w:marRight w:val="0"/>
                                  <w:marTop w:val="0"/>
                                  <w:marBottom w:val="0"/>
                                  <w:divBdr>
                                    <w:top w:val="none" w:sz="0" w:space="0" w:color="auto"/>
                                    <w:left w:val="none" w:sz="0" w:space="0" w:color="auto"/>
                                    <w:bottom w:val="none" w:sz="0" w:space="0" w:color="auto"/>
                                    <w:right w:val="none" w:sz="0" w:space="0" w:color="auto"/>
                                  </w:divBdr>
                                  <w:divsChild>
                                    <w:div w:id="1701666035">
                                      <w:marLeft w:val="0"/>
                                      <w:marRight w:val="0"/>
                                      <w:marTop w:val="0"/>
                                      <w:marBottom w:val="0"/>
                                      <w:divBdr>
                                        <w:top w:val="none" w:sz="0" w:space="0" w:color="auto"/>
                                        <w:left w:val="none" w:sz="0" w:space="0" w:color="auto"/>
                                        <w:bottom w:val="none" w:sz="0" w:space="0" w:color="auto"/>
                                        <w:right w:val="none" w:sz="0" w:space="0" w:color="auto"/>
                                      </w:divBdr>
                                      <w:divsChild>
                                        <w:div w:id="1611278738">
                                          <w:marLeft w:val="0"/>
                                          <w:marRight w:val="0"/>
                                          <w:marTop w:val="0"/>
                                          <w:marBottom w:val="0"/>
                                          <w:divBdr>
                                            <w:top w:val="none" w:sz="0" w:space="0" w:color="auto"/>
                                            <w:left w:val="none" w:sz="0" w:space="0" w:color="auto"/>
                                            <w:bottom w:val="none" w:sz="0" w:space="0" w:color="auto"/>
                                            <w:right w:val="none" w:sz="0" w:space="0" w:color="auto"/>
                                          </w:divBdr>
                                          <w:divsChild>
                                            <w:div w:id="41190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64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innsida.ntnu.no/wiki/-/wiki/Norsk/Beregne+kostnader+i+forskningsprosjek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04861-2263-429F-80C1-9B1792229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1578</Words>
  <Characters>8365</Characters>
  <Application>Microsoft Office Word</Application>
  <DocSecurity>0</DocSecurity>
  <Lines>69</Lines>
  <Paragraphs>19</Paragraphs>
  <ScaleCrop>false</ScaleCrop>
  <HeadingPairs>
    <vt:vector size="2" baseType="variant">
      <vt:variant>
        <vt:lpstr>Tittel</vt:lpstr>
      </vt:variant>
      <vt:variant>
        <vt:i4>1</vt:i4>
      </vt:variant>
    </vt:vector>
  </HeadingPairs>
  <TitlesOfParts>
    <vt:vector size="1" baseType="lpstr">
      <vt:lpstr>TDI og leiested</vt:lpstr>
    </vt:vector>
  </TitlesOfParts>
  <Company>NTNU</Company>
  <LinksUpToDate>false</LinksUpToDate>
  <CharactersWithSpaces>9924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TDI og leiested</dc:title>
  <dc:creator>Lise Trondsen Sagdahl</dc:creator>
  <cp:lastModifiedBy>Tone Kvenild</cp:lastModifiedBy>
  <cp:revision>4</cp:revision>
  <cp:lastPrinted>2014-07-31T08:11:00Z</cp:lastPrinted>
  <dcterms:created xsi:type="dcterms:W3CDTF">2014-09-23T10:13:00Z</dcterms:created>
  <dcterms:modified xsi:type="dcterms:W3CDTF">2014-09-24T07:21:00Z</dcterms:modified>
</cp:coreProperties>
</file>