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5516" w14:textId="1207CB51" w:rsidR="006318AA" w:rsidRDefault="006318AA" w:rsidP="1EF9CB93">
      <w:pPr>
        <w:spacing w:after="0" w:line="360" w:lineRule="auto"/>
        <w:rPr>
          <w:rFonts w:ascii="Arial" w:hAnsi="Arial" w:cs="Arial"/>
          <w:b/>
          <w:bCs/>
          <w:sz w:val="24"/>
          <w:szCs w:val="24"/>
        </w:rPr>
      </w:pPr>
      <w:r w:rsidRPr="006318AA">
        <w:rPr>
          <w:rFonts w:ascii="Arial" w:hAnsi="Arial" w:cs="Arial"/>
          <w:b/>
          <w:bCs/>
          <w:sz w:val="24"/>
          <w:szCs w:val="24"/>
        </w:rPr>
        <w:t xml:space="preserve">Employment Agreement for </w:t>
      </w:r>
      <w:bookmarkStart w:id="1" w:name="_Hlk135825962"/>
      <w:r w:rsidR="00DE6ED7">
        <w:rPr>
          <w:rFonts w:ascii="Arial" w:hAnsi="Arial" w:cs="Arial"/>
          <w:b/>
          <w:bCs/>
          <w:sz w:val="24"/>
          <w:szCs w:val="24"/>
        </w:rPr>
        <w:t>employees working for</w:t>
      </w:r>
      <w:r w:rsidRPr="006318AA">
        <w:rPr>
          <w:rFonts w:ascii="Arial" w:hAnsi="Arial" w:cs="Arial"/>
          <w:b/>
          <w:bCs/>
          <w:sz w:val="24"/>
          <w:szCs w:val="24"/>
        </w:rPr>
        <w:t xml:space="preserve"> NTNU Internationally</w:t>
      </w:r>
    </w:p>
    <w:bookmarkEnd w:id="1"/>
    <w:p w14:paraId="2F5FA61A" w14:textId="239F3019" w:rsidR="00EE307B" w:rsidRPr="00F61D4D" w:rsidRDefault="006318AA" w:rsidP="1EF9CB93">
      <w:pPr>
        <w:spacing w:after="0" w:line="360" w:lineRule="auto"/>
        <w:rPr>
          <w:rFonts w:ascii="Arial" w:eastAsia="Arial" w:hAnsi="Arial" w:cs="Arial"/>
          <w:b/>
          <w:bCs/>
          <w:sz w:val="20"/>
          <w:szCs w:val="20"/>
        </w:rPr>
      </w:pPr>
      <w:r w:rsidRPr="006318AA">
        <w:rPr>
          <w:rFonts w:ascii="Arial" w:hAnsi="Arial" w:cs="Arial"/>
          <w:sz w:val="20"/>
          <w:szCs w:val="20"/>
        </w:rPr>
        <w:t xml:space="preserve">The employment agreement, coupled with any pertinent notifications, encapsulates the employment terms </w:t>
      </w:r>
      <w:proofErr w:type="gramStart"/>
      <w:r w:rsidRPr="006318AA">
        <w:rPr>
          <w:rFonts w:ascii="Arial" w:hAnsi="Arial" w:cs="Arial"/>
          <w:sz w:val="20"/>
          <w:szCs w:val="20"/>
        </w:rPr>
        <w:t>at the moment</w:t>
      </w:r>
      <w:proofErr w:type="gramEnd"/>
      <w:r w:rsidRPr="006318AA">
        <w:rPr>
          <w:rFonts w:ascii="Arial" w:hAnsi="Arial" w:cs="Arial"/>
          <w:sz w:val="20"/>
          <w:szCs w:val="20"/>
        </w:rPr>
        <w:t xml:space="preserve"> of hire. The appointment imposes a duty to adhere to the provisions relevant to the position, as they may evolve over time.</w:t>
      </w:r>
      <w:r w:rsidR="007A5818">
        <w:br/>
      </w:r>
    </w:p>
    <w:p w14:paraId="0374045F" w14:textId="77777777" w:rsidR="00EE307B" w:rsidRPr="00F61D4D" w:rsidRDefault="001C45B7" w:rsidP="1EF9CB93">
      <w:pPr>
        <w:rPr>
          <w:rFonts w:ascii="Arial" w:eastAsia="Arial" w:hAnsi="Arial" w:cs="Arial"/>
          <w:b/>
          <w:bCs/>
          <w:sz w:val="24"/>
          <w:szCs w:val="24"/>
        </w:rPr>
      </w:pPr>
      <w:r w:rsidRPr="1EF9CB93">
        <w:rPr>
          <w:rFonts w:ascii="Arial" w:eastAsia="Arial" w:hAnsi="Arial" w:cs="Arial"/>
          <w:b/>
          <w:bCs/>
          <w:sz w:val="24"/>
          <w:szCs w:val="24"/>
        </w:rPr>
        <w:t>1</w:t>
      </w:r>
      <w:r>
        <w:tab/>
      </w:r>
      <w:r w:rsidR="00EE307B" w:rsidRPr="1EF9CB93">
        <w:rPr>
          <w:rFonts w:ascii="Arial" w:eastAsia="Arial" w:hAnsi="Arial" w:cs="Arial"/>
          <w:b/>
          <w:bCs/>
          <w:sz w:val="24"/>
          <w:szCs w:val="24"/>
        </w:rPr>
        <w:t>Parties</w:t>
      </w:r>
      <w:r w:rsidR="00F61D4D" w:rsidRPr="1EF9CB93">
        <w:rPr>
          <w:rFonts w:ascii="Arial" w:eastAsia="Arial" w:hAnsi="Arial" w:cs="Arial"/>
          <w:b/>
          <w:bCs/>
          <w:sz w:val="24"/>
          <w:szCs w:val="24"/>
        </w:rPr>
        <w:t xml:space="preserve"> to the agreement </w:t>
      </w:r>
    </w:p>
    <w:tbl>
      <w:tblPr>
        <w:tblStyle w:val="Tabellrutenett"/>
        <w:tblW w:w="0" w:type="auto"/>
        <w:tblLook w:val="04A0" w:firstRow="1" w:lastRow="0" w:firstColumn="1" w:lastColumn="0" w:noHBand="0" w:noVBand="1"/>
      </w:tblPr>
      <w:tblGrid>
        <w:gridCol w:w="4248"/>
        <w:gridCol w:w="5148"/>
      </w:tblGrid>
      <w:tr w:rsidR="00F61D4D" w14:paraId="68843DE5" w14:textId="77777777" w:rsidTr="1EF9CB93">
        <w:tc>
          <w:tcPr>
            <w:tcW w:w="4248" w:type="dxa"/>
            <w:shd w:val="clear" w:color="auto" w:fill="D0CECE" w:themeFill="background2" w:themeFillShade="E6"/>
          </w:tcPr>
          <w:p w14:paraId="5B19DD26" w14:textId="77777777" w:rsidR="002C1726" w:rsidRDefault="00F61D4D" w:rsidP="00EE307B">
            <w:pPr>
              <w:rPr>
                <w:rFonts w:ascii="Arial" w:hAnsi="Arial" w:cs="Arial"/>
                <w:b/>
              </w:rPr>
            </w:pPr>
            <w:r w:rsidRPr="00F61D4D">
              <w:rPr>
                <w:rFonts w:ascii="Arial" w:hAnsi="Arial" w:cs="Arial"/>
                <w:b/>
              </w:rPr>
              <w:t>Name of Employee</w:t>
            </w:r>
            <w:r w:rsidR="002C1726">
              <w:rPr>
                <w:rFonts w:ascii="Arial" w:hAnsi="Arial" w:cs="Arial"/>
                <w:b/>
              </w:rPr>
              <w:t xml:space="preserve"> </w:t>
            </w:r>
          </w:p>
          <w:p w14:paraId="14D86A96" w14:textId="7F75891B" w:rsidR="00F61D4D" w:rsidRPr="002C1726" w:rsidRDefault="002C1726" w:rsidP="00EE307B">
            <w:pPr>
              <w:rPr>
                <w:rFonts w:ascii="Arial" w:hAnsi="Arial" w:cs="Arial"/>
                <w:b/>
              </w:rPr>
            </w:pPr>
            <w:r w:rsidRPr="002C1726">
              <w:rPr>
                <w:rFonts w:ascii="Arial" w:hAnsi="Arial" w:cs="Arial"/>
                <w:bCs/>
                <w:sz w:val="20"/>
                <w:szCs w:val="20"/>
              </w:rPr>
              <w:t>(as written in passport)</w:t>
            </w:r>
          </w:p>
        </w:tc>
        <w:tc>
          <w:tcPr>
            <w:tcW w:w="5148" w:type="dxa"/>
            <w:shd w:val="clear" w:color="auto" w:fill="D0CECE" w:themeFill="background2" w:themeFillShade="E6"/>
          </w:tcPr>
          <w:p w14:paraId="4D7DA733" w14:textId="77777777" w:rsidR="00F61D4D" w:rsidRPr="00F61D4D" w:rsidRDefault="00F61D4D" w:rsidP="00EE307B">
            <w:pPr>
              <w:rPr>
                <w:rFonts w:ascii="Arial" w:hAnsi="Arial" w:cs="Arial"/>
                <w:b/>
              </w:rPr>
            </w:pPr>
            <w:r w:rsidRPr="00F61D4D">
              <w:rPr>
                <w:rFonts w:ascii="Arial" w:hAnsi="Arial" w:cs="Arial"/>
                <w:b/>
              </w:rPr>
              <w:t>Name of Employer</w:t>
            </w:r>
          </w:p>
        </w:tc>
      </w:tr>
      <w:tr w:rsidR="00F61D4D" w14:paraId="293B51FF" w14:textId="77777777" w:rsidTr="1EF9CB93">
        <w:tc>
          <w:tcPr>
            <w:tcW w:w="4248" w:type="dxa"/>
          </w:tcPr>
          <w:p w14:paraId="34476963" w14:textId="77777777" w:rsidR="00F61D4D" w:rsidRDefault="00F61D4D" w:rsidP="00EE307B">
            <w:pPr>
              <w:rPr>
                <w:b/>
              </w:rPr>
            </w:pPr>
          </w:p>
        </w:tc>
        <w:tc>
          <w:tcPr>
            <w:tcW w:w="5148" w:type="dxa"/>
          </w:tcPr>
          <w:p w14:paraId="32A2C3B9" w14:textId="2FCCC9FC" w:rsidR="00F61D4D" w:rsidRPr="00717F34" w:rsidRDefault="00F61D4D" w:rsidP="00EE307B">
            <w:pPr>
              <w:rPr>
                <w:rFonts w:ascii="Arial" w:hAnsi="Arial" w:cs="Arial"/>
                <w:sz w:val="16"/>
                <w:szCs w:val="16"/>
              </w:rPr>
            </w:pPr>
            <w:r w:rsidRPr="00717F34">
              <w:rPr>
                <w:rFonts w:ascii="Arial" w:hAnsi="Arial" w:cs="Arial"/>
                <w:sz w:val="16"/>
                <w:szCs w:val="16"/>
              </w:rPr>
              <w:br/>
            </w:r>
          </w:p>
        </w:tc>
      </w:tr>
      <w:tr w:rsidR="00F61D4D" w14:paraId="64631CBF" w14:textId="77777777" w:rsidTr="1EF9CB93">
        <w:tc>
          <w:tcPr>
            <w:tcW w:w="4248" w:type="dxa"/>
            <w:shd w:val="clear" w:color="auto" w:fill="D0CECE" w:themeFill="background2" w:themeFillShade="E6"/>
          </w:tcPr>
          <w:p w14:paraId="63C5698B" w14:textId="4D3FEF53" w:rsidR="00F61D4D" w:rsidRPr="00855633" w:rsidRDefault="004F40AE" w:rsidP="00EE307B">
            <w:pPr>
              <w:rPr>
                <w:rFonts w:ascii="Arial" w:hAnsi="Arial" w:cs="Arial"/>
                <w:b/>
              </w:rPr>
            </w:pPr>
            <w:r>
              <w:rPr>
                <w:rFonts w:ascii="Arial" w:hAnsi="Arial" w:cs="Arial"/>
                <w:b/>
              </w:rPr>
              <w:t>Date of Birth</w:t>
            </w:r>
          </w:p>
        </w:tc>
        <w:tc>
          <w:tcPr>
            <w:tcW w:w="5148" w:type="dxa"/>
            <w:shd w:val="clear" w:color="auto" w:fill="D0CECE" w:themeFill="background2" w:themeFillShade="E6"/>
          </w:tcPr>
          <w:p w14:paraId="276EE565" w14:textId="77777777" w:rsidR="00F61D4D" w:rsidRPr="00F61D4D" w:rsidRDefault="00F61D4D" w:rsidP="00EE307B">
            <w:pPr>
              <w:rPr>
                <w:rFonts w:ascii="Arial" w:hAnsi="Arial" w:cs="Arial"/>
                <w:b/>
              </w:rPr>
            </w:pPr>
            <w:r w:rsidRPr="00F61D4D">
              <w:rPr>
                <w:rFonts w:ascii="Arial" w:hAnsi="Arial" w:cs="Arial"/>
                <w:b/>
              </w:rPr>
              <w:t>Norwegian organizational number</w:t>
            </w:r>
          </w:p>
        </w:tc>
      </w:tr>
      <w:tr w:rsidR="00F61D4D" w14:paraId="64E1C013" w14:textId="77777777" w:rsidTr="1EF9CB93">
        <w:tc>
          <w:tcPr>
            <w:tcW w:w="4248" w:type="dxa"/>
          </w:tcPr>
          <w:p w14:paraId="4952A90C" w14:textId="77777777" w:rsidR="00F61D4D" w:rsidRDefault="00F61D4D" w:rsidP="00EE307B">
            <w:pPr>
              <w:rPr>
                <w:b/>
              </w:rPr>
            </w:pPr>
          </w:p>
        </w:tc>
        <w:tc>
          <w:tcPr>
            <w:tcW w:w="5148" w:type="dxa"/>
          </w:tcPr>
          <w:p w14:paraId="032C0D27" w14:textId="06C286CC" w:rsidR="00F61D4D" w:rsidRPr="00717F34" w:rsidRDefault="00F61D4D" w:rsidP="00EE307B">
            <w:pPr>
              <w:rPr>
                <w:rFonts w:ascii="Arial" w:hAnsi="Arial" w:cs="Arial"/>
                <w:sz w:val="16"/>
                <w:szCs w:val="16"/>
              </w:rPr>
            </w:pPr>
          </w:p>
          <w:p w14:paraId="4C0131D6" w14:textId="77777777" w:rsidR="00F61D4D" w:rsidRPr="00F61D4D" w:rsidRDefault="00F61D4D" w:rsidP="00EE307B"/>
        </w:tc>
      </w:tr>
      <w:tr w:rsidR="00F61D4D" w14:paraId="4DD98F38" w14:textId="77777777" w:rsidTr="1EF9CB93">
        <w:tc>
          <w:tcPr>
            <w:tcW w:w="4248" w:type="dxa"/>
            <w:shd w:val="clear" w:color="auto" w:fill="D0CECE" w:themeFill="background2" w:themeFillShade="E6"/>
          </w:tcPr>
          <w:p w14:paraId="439287DF" w14:textId="352C3631" w:rsidR="00F964B4" w:rsidRPr="00F61D4D" w:rsidRDefault="00F61D4D" w:rsidP="1EF9CB93">
            <w:pPr>
              <w:rPr>
                <w:rFonts w:ascii="Arial" w:eastAsia="Arial" w:hAnsi="Arial" w:cs="Arial"/>
                <w:b/>
                <w:bCs/>
              </w:rPr>
            </w:pPr>
            <w:r w:rsidRPr="1EF9CB93">
              <w:rPr>
                <w:rFonts w:ascii="Arial" w:eastAsia="Arial" w:hAnsi="Arial" w:cs="Arial"/>
                <w:b/>
                <w:bCs/>
              </w:rPr>
              <w:t>Passport ID</w:t>
            </w:r>
          </w:p>
        </w:tc>
        <w:tc>
          <w:tcPr>
            <w:tcW w:w="5148" w:type="dxa"/>
            <w:shd w:val="clear" w:color="auto" w:fill="D0CECE" w:themeFill="background2" w:themeFillShade="E6"/>
          </w:tcPr>
          <w:p w14:paraId="67735039" w14:textId="77777777" w:rsidR="00F61D4D" w:rsidRPr="00F61D4D" w:rsidRDefault="00F61D4D" w:rsidP="1EF9CB93">
            <w:pPr>
              <w:rPr>
                <w:rFonts w:ascii="Arial" w:eastAsia="Arial" w:hAnsi="Arial" w:cs="Arial"/>
                <w:b/>
                <w:bCs/>
              </w:rPr>
            </w:pPr>
            <w:r w:rsidRPr="1EF9CB93">
              <w:rPr>
                <w:rFonts w:ascii="Arial" w:eastAsia="Arial" w:hAnsi="Arial" w:cs="Arial"/>
                <w:b/>
                <w:bCs/>
              </w:rPr>
              <w:t xml:space="preserve">Faculty </w:t>
            </w:r>
          </w:p>
        </w:tc>
      </w:tr>
      <w:tr w:rsidR="00F964B4" w14:paraId="070DB7B9" w14:textId="77777777" w:rsidTr="1EF9CB93">
        <w:tc>
          <w:tcPr>
            <w:tcW w:w="4248" w:type="dxa"/>
            <w:shd w:val="clear" w:color="auto" w:fill="auto"/>
          </w:tcPr>
          <w:p w14:paraId="3C48A5FA" w14:textId="77777777" w:rsidR="00F964B4" w:rsidRPr="00F61D4D" w:rsidRDefault="00F964B4" w:rsidP="00EE307B">
            <w:pPr>
              <w:rPr>
                <w:b/>
              </w:rPr>
            </w:pPr>
          </w:p>
        </w:tc>
        <w:tc>
          <w:tcPr>
            <w:tcW w:w="5148" w:type="dxa"/>
            <w:shd w:val="clear" w:color="auto" w:fill="auto"/>
          </w:tcPr>
          <w:p w14:paraId="4A1447A7" w14:textId="77777777" w:rsidR="00F964B4" w:rsidRPr="00F61D4D" w:rsidRDefault="00F964B4" w:rsidP="00EE307B">
            <w:pPr>
              <w:rPr>
                <w:b/>
              </w:rPr>
            </w:pPr>
          </w:p>
        </w:tc>
      </w:tr>
      <w:tr w:rsidR="00F61D4D" w14:paraId="5BEC485B" w14:textId="77777777" w:rsidTr="1EF9CB93">
        <w:tc>
          <w:tcPr>
            <w:tcW w:w="4248" w:type="dxa"/>
            <w:shd w:val="clear" w:color="auto" w:fill="D0CECE" w:themeFill="background2" w:themeFillShade="E6"/>
          </w:tcPr>
          <w:p w14:paraId="2E58427E" w14:textId="5B2D3DD4" w:rsidR="00F61D4D" w:rsidRPr="00E0115E" w:rsidRDefault="00F964B4" w:rsidP="1EF9CB93">
            <w:pPr>
              <w:rPr>
                <w:rFonts w:ascii="Arial" w:eastAsia="Arial" w:hAnsi="Arial" w:cs="Arial"/>
                <w:b/>
                <w:bCs/>
              </w:rPr>
            </w:pPr>
            <w:r w:rsidRPr="1EF9CB93">
              <w:rPr>
                <w:rFonts w:ascii="Arial" w:eastAsia="Arial" w:hAnsi="Arial" w:cs="Arial"/>
                <w:b/>
                <w:bCs/>
              </w:rPr>
              <w:t xml:space="preserve">Citizenship </w:t>
            </w:r>
          </w:p>
        </w:tc>
        <w:tc>
          <w:tcPr>
            <w:tcW w:w="5148" w:type="dxa"/>
            <w:shd w:val="clear" w:color="auto" w:fill="D0CECE" w:themeFill="background2" w:themeFillShade="E6"/>
          </w:tcPr>
          <w:p w14:paraId="73FD6A84" w14:textId="3D7F8B0E" w:rsidR="00F61D4D" w:rsidRPr="00F964B4" w:rsidRDefault="00F964B4" w:rsidP="1EF9CB93">
            <w:pPr>
              <w:rPr>
                <w:rFonts w:ascii="Arial" w:eastAsia="Arial" w:hAnsi="Arial" w:cs="Arial"/>
                <w:b/>
                <w:bCs/>
              </w:rPr>
            </w:pPr>
            <w:r w:rsidRPr="1EF9CB93">
              <w:rPr>
                <w:rFonts w:ascii="Arial" w:eastAsia="Arial" w:hAnsi="Arial" w:cs="Arial"/>
                <w:b/>
                <w:bCs/>
              </w:rPr>
              <w:t>Department</w:t>
            </w:r>
          </w:p>
        </w:tc>
      </w:tr>
      <w:tr w:rsidR="00F964B4" w14:paraId="747EEEC3" w14:textId="77777777" w:rsidTr="1EF9CB93">
        <w:tc>
          <w:tcPr>
            <w:tcW w:w="4248" w:type="dxa"/>
            <w:shd w:val="clear" w:color="auto" w:fill="auto"/>
          </w:tcPr>
          <w:p w14:paraId="77455D7F" w14:textId="77777777" w:rsidR="00F964B4" w:rsidRDefault="00F964B4" w:rsidP="00EE307B">
            <w:pPr>
              <w:rPr>
                <w:b/>
              </w:rPr>
            </w:pPr>
          </w:p>
        </w:tc>
        <w:tc>
          <w:tcPr>
            <w:tcW w:w="5148" w:type="dxa"/>
            <w:shd w:val="clear" w:color="auto" w:fill="auto"/>
          </w:tcPr>
          <w:p w14:paraId="3B20CDAB" w14:textId="77777777" w:rsidR="00F964B4" w:rsidRPr="00F964B4" w:rsidRDefault="00F964B4" w:rsidP="008B162D">
            <w:pPr>
              <w:rPr>
                <w:b/>
                <w:bCs/>
              </w:rPr>
            </w:pPr>
          </w:p>
        </w:tc>
      </w:tr>
      <w:tr w:rsidR="00F61D4D" w14:paraId="59D0D368" w14:textId="77777777" w:rsidTr="1EF9CB93">
        <w:tc>
          <w:tcPr>
            <w:tcW w:w="4248" w:type="dxa"/>
            <w:shd w:val="clear" w:color="auto" w:fill="D0CECE" w:themeFill="background2" w:themeFillShade="E6"/>
          </w:tcPr>
          <w:p w14:paraId="12A0B563" w14:textId="362E227B" w:rsidR="00F61D4D" w:rsidRPr="00F61D4D" w:rsidRDefault="006318AA" w:rsidP="1EF9CB93">
            <w:pPr>
              <w:rPr>
                <w:rFonts w:ascii="Arial" w:hAnsi="Arial" w:cs="Arial"/>
                <w:b/>
                <w:bCs/>
              </w:rPr>
            </w:pPr>
            <w:r>
              <w:rPr>
                <w:rFonts w:ascii="Arial" w:hAnsi="Arial" w:cs="Arial"/>
                <w:b/>
                <w:bCs/>
              </w:rPr>
              <w:t>Residential a</w:t>
            </w:r>
            <w:r w:rsidR="00F61D4D" w:rsidRPr="1EF9CB93">
              <w:rPr>
                <w:rFonts w:ascii="Arial" w:hAnsi="Arial" w:cs="Arial"/>
                <w:b/>
                <w:bCs/>
              </w:rPr>
              <w:t>ddress</w:t>
            </w:r>
          </w:p>
        </w:tc>
        <w:tc>
          <w:tcPr>
            <w:tcW w:w="5148" w:type="dxa"/>
            <w:shd w:val="clear" w:color="auto" w:fill="D0CECE" w:themeFill="background2" w:themeFillShade="E6"/>
          </w:tcPr>
          <w:p w14:paraId="3A5B40C7" w14:textId="77777777" w:rsidR="00F61D4D" w:rsidRPr="00F61D4D" w:rsidRDefault="00F61D4D" w:rsidP="1EF9CB93">
            <w:pPr>
              <w:rPr>
                <w:rFonts w:ascii="Arial" w:hAnsi="Arial" w:cs="Arial"/>
                <w:b/>
                <w:bCs/>
              </w:rPr>
            </w:pPr>
            <w:r w:rsidRPr="1EF9CB93">
              <w:rPr>
                <w:rFonts w:ascii="Arial" w:hAnsi="Arial" w:cs="Arial"/>
                <w:b/>
                <w:bCs/>
              </w:rPr>
              <w:t>Address</w:t>
            </w:r>
          </w:p>
        </w:tc>
      </w:tr>
      <w:tr w:rsidR="00F61D4D" w14:paraId="3E79495B" w14:textId="77777777" w:rsidTr="1EF9CB93">
        <w:tc>
          <w:tcPr>
            <w:tcW w:w="4248" w:type="dxa"/>
          </w:tcPr>
          <w:p w14:paraId="2B07DEA5" w14:textId="77777777" w:rsidR="00F61D4D" w:rsidRDefault="00F61D4D" w:rsidP="00EE307B">
            <w:pPr>
              <w:rPr>
                <w:b/>
              </w:rPr>
            </w:pPr>
          </w:p>
          <w:p w14:paraId="42F63F03" w14:textId="77777777" w:rsidR="00F964B4" w:rsidRDefault="00F964B4" w:rsidP="00EE307B">
            <w:pPr>
              <w:rPr>
                <w:b/>
              </w:rPr>
            </w:pPr>
          </w:p>
          <w:p w14:paraId="4AEADAD4" w14:textId="77777777" w:rsidR="00F964B4" w:rsidRDefault="00F964B4" w:rsidP="00EE307B">
            <w:pPr>
              <w:rPr>
                <w:b/>
              </w:rPr>
            </w:pPr>
          </w:p>
          <w:p w14:paraId="75E62AF3" w14:textId="77777777" w:rsidR="00F964B4" w:rsidRDefault="00F964B4" w:rsidP="00EE307B">
            <w:pPr>
              <w:rPr>
                <w:b/>
              </w:rPr>
            </w:pPr>
          </w:p>
          <w:p w14:paraId="3B4B10B4" w14:textId="2ED9D5A7" w:rsidR="00F964B4" w:rsidRDefault="00F964B4" w:rsidP="00EE307B">
            <w:pPr>
              <w:rPr>
                <w:b/>
              </w:rPr>
            </w:pPr>
          </w:p>
        </w:tc>
        <w:tc>
          <w:tcPr>
            <w:tcW w:w="5148" w:type="dxa"/>
          </w:tcPr>
          <w:p w14:paraId="3CD124B0" w14:textId="77777777" w:rsidR="00F61D4D" w:rsidRDefault="00F61D4D" w:rsidP="00E0115E">
            <w:pPr>
              <w:rPr>
                <w:b/>
              </w:rPr>
            </w:pPr>
          </w:p>
        </w:tc>
      </w:tr>
      <w:tr w:rsidR="00B403D4" w14:paraId="6C56FCD3" w14:textId="77777777" w:rsidTr="1EF9CB93">
        <w:tc>
          <w:tcPr>
            <w:tcW w:w="4248" w:type="dxa"/>
            <w:shd w:val="clear" w:color="auto" w:fill="D0CECE" w:themeFill="background2" w:themeFillShade="E6"/>
          </w:tcPr>
          <w:p w14:paraId="61322B8C" w14:textId="7E1AFC5C" w:rsidR="00B403D4" w:rsidRPr="00B403D4" w:rsidRDefault="00B403D4" w:rsidP="1EF9CB93">
            <w:pPr>
              <w:rPr>
                <w:rFonts w:ascii="Arial" w:eastAsia="Arial" w:hAnsi="Arial" w:cs="Arial"/>
                <w:b/>
                <w:bCs/>
              </w:rPr>
            </w:pPr>
            <w:r w:rsidRPr="1EF9CB93">
              <w:rPr>
                <w:rFonts w:ascii="Arial" w:eastAsia="Arial" w:hAnsi="Arial" w:cs="Arial"/>
                <w:b/>
                <w:bCs/>
              </w:rPr>
              <w:t>Contact information</w:t>
            </w:r>
          </w:p>
        </w:tc>
        <w:tc>
          <w:tcPr>
            <w:tcW w:w="5148" w:type="dxa"/>
            <w:shd w:val="clear" w:color="auto" w:fill="D0CECE" w:themeFill="background2" w:themeFillShade="E6"/>
          </w:tcPr>
          <w:p w14:paraId="5CBD7C50" w14:textId="4D7175BB" w:rsidR="00B403D4" w:rsidRPr="00B403D4" w:rsidRDefault="00B403D4" w:rsidP="1EF9CB93">
            <w:pPr>
              <w:rPr>
                <w:rFonts w:ascii="Arial" w:eastAsia="Arial" w:hAnsi="Arial" w:cs="Arial"/>
                <w:b/>
                <w:bCs/>
              </w:rPr>
            </w:pPr>
            <w:r w:rsidRPr="1EF9CB93">
              <w:rPr>
                <w:rFonts w:ascii="Arial" w:eastAsia="Arial" w:hAnsi="Arial" w:cs="Arial"/>
                <w:b/>
                <w:bCs/>
              </w:rPr>
              <w:t>Contact information</w:t>
            </w:r>
          </w:p>
        </w:tc>
      </w:tr>
      <w:tr w:rsidR="00B403D4" w14:paraId="3E852068" w14:textId="77777777" w:rsidTr="1EF9CB93">
        <w:tc>
          <w:tcPr>
            <w:tcW w:w="4248" w:type="dxa"/>
            <w:shd w:val="clear" w:color="auto" w:fill="auto"/>
          </w:tcPr>
          <w:p w14:paraId="06625661" w14:textId="77777777" w:rsidR="00B403D4" w:rsidRDefault="00B403D4" w:rsidP="00EE307B">
            <w:pPr>
              <w:rPr>
                <w:b/>
              </w:rPr>
            </w:pPr>
            <w:r>
              <w:rPr>
                <w:b/>
              </w:rPr>
              <w:t>Email:</w:t>
            </w:r>
          </w:p>
          <w:p w14:paraId="2CC5D695" w14:textId="77777777" w:rsidR="00B403D4" w:rsidRDefault="00B403D4" w:rsidP="00EE307B">
            <w:pPr>
              <w:rPr>
                <w:b/>
              </w:rPr>
            </w:pPr>
            <w:r>
              <w:rPr>
                <w:b/>
              </w:rPr>
              <w:t>Phone number:</w:t>
            </w:r>
          </w:p>
          <w:p w14:paraId="7239BF19" w14:textId="0C8A32A7" w:rsidR="00B403D4" w:rsidRDefault="00B403D4" w:rsidP="00EE307B">
            <w:pPr>
              <w:rPr>
                <w:b/>
              </w:rPr>
            </w:pPr>
          </w:p>
        </w:tc>
        <w:tc>
          <w:tcPr>
            <w:tcW w:w="5148" w:type="dxa"/>
            <w:shd w:val="clear" w:color="auto" w:fill="auto"/>
          </w:tcPr>
          <w:p w14:paraId="4C79B99A" w14:textId="77777777" w:rsidR="00B403D4" w:rsidRDefault="00B403D4" w:rsidP="00E0115E">
            <w:pPr>
              <w:rPr>
                <w:b/>
              </w:rPr>
            </w:pPr>
            <w:r>
              <w:rPr>
                <w:b/>
              </w:rPr>
              <w:t>Email:</w:t>
            </w:r>
          </w:p>
          <w:p w14:paraId="4EEC8A28" w14:textId="77777777" w:rsidR="00B403D4" w:rsidRDefault="00B403D4" w:rsidP="00E0115E">
            <w:pPr>
              <w:rPr>
                <w:b/>
              </w:rPr>
            </w:pPr>
            <w:r>
              <w:rPr>
                <w:b/>
              </w:rPr>
              <w:t>Phone number:</w:t>
            </w:r>
          </w:p>
          <w:p w14:paraId="2C651FE3" w14:textId="40EA93A5" w:rsidR="00B403D4" w:rsidRDefault="00B403D4" w:rsidP="00E0115E">
            <w:pPr>
              <w:rPr>
                <w:b/>
              </w:rPr>
            </w:pPr>
            <w:r>
              <w:rPr>
                <w:b/>
              </w:rPr>
              <w:t>Contact person:</w:t>
            </w:r>
          </w:p>
        </w:tc>
      </w:tr>
    </w:tbl>
    <w:p w14:paraId="71BD2191" w14:textId="59CBB658" w:rsidR="00F61D4D" w:rsidRPr="00F61D4D" w:rsidRDefault="001C45B7" w:rsidP="1EF9CB93">
      <w:pPr>
        <w:rPr>
          <w:b/>
          <w:bCs/>
          <w:sz w:val="24"/>
          <w:szCs w:val="24"/>
        </w:rPr>
      </w:pPr>
      <w:r w:rsidRPr="1EF9CB93">
        <w:rPr>
          <w:b/>
          <w:bCs/>
          <w:sz w:val="24"/>
          <w:szCs w:val="24"/>
        </w:rPr>
        <w:t>2</w:t>
      </w:r>
      <w:r>
        <w:tab/>
      </w:r>
      <w:r w:rsidR="00F61D4D" w:rsidRPr="1EF9CB93">
        <w:rPr>
          <w:rFonts w:ascii="Arial" w:eastAsia="Arial" w:hAnsi="Arial" w:cs="Arial"/>
          <w:b/>
          <w:bCs/>
          <w:sz w:val="24"/>
          <w:szCs w:val="24"/>
        </w:rPr>
        <w:t xml:space="preserve">Position and </w:t>
      </w:r>
      <w:r w:rsidR="00275CE4" w:rsidRPr="1EF9CB93">
        <w:rPr>
          <w:rFonts w:ascii="Arial" w:eastAsia="Arial" w:hAnsi="Arial" w:cs="Arial"/>
          <w:b/>
          <w:bCs/>
          <w:sz w:val="24"/>
          <w:szCs w:val="24"/>
        </w:rPr>
        <w:t>place of work</w:t>
      </w:r>
      <w:r w:rsidR="00F61D4D" w:rsidRPr="1EF9CB93">
        <w:rPr>
          <w:rFonts w:ascii="Arial" w:eastAsia="Arial" w:hAnsi="Arial" w:cs="Arial"/>
          <w:b/>
          <w:bCs/>
          <w:sz w:val="24"/>
          <w:szCs w:val="24"/>
        </w:rPr>
        <w:t xml:space="preserve"> </w:t>
      </w:r>
    </w:p>
    <w:tbl>
      <w:tblPr>
        <w:tblStyle w:val="Tabellrutenett"/>
        <w:tblW w:w="0" w:type="auto"/>
        <w:tblLook w:val="04A0" w:firstRow="1" w:lastRow="0" w:firstColumn="1" w:lastColumn="0" w:noHBand="0" w:noVBand="1"/>
      </w:tblPr>
      <w:tblGrid>
        <w:gridCol w:w="4248"/>
        <w:gridCol w:w="5148"/>
      </w:tblGrid>
      <w:tr w:rsidR="00EE307B" w:rsidRPr="00F61D4D" w14:paraId="7D7A8EB3" w14:textId="77777777" w:rsidTr="1EF9CB93">
        <w:tc>
          <w:tcPr>
            <w:tcW w:w="4248" w:type="dxa"/>
            <w:shd w:val="clear" w:color="auto" w:fill="D0CECE" w:themeFill="background2" w:themeFillShade="E6"/>
          </w:tcPr>
          <w:p w14:paraId="7FBDBC85" w14:textId="01584CEB" w:rsidR="00EE307B" w:rsidRPr="004204F0" w:rsidRDefault="004204F0">
            <w:pPr>
              <w:rPr>
                <w:rFonts w:ascii="Arial" w:hAnsi="Arial" w:cs="Arial"/>
                <w:b/>
                <w:sz w:val="20"/>
                <w:szCs w:val="20"/>
              </w:rPr>
            </w:pPr>
            <w:r>
              <w:rPr>
                <w:rFonts w:ascii="Arial" w:hAnsi="Arial" w:cs="Arial"/>
                <w:b/>
                <w:sz w:val="20"/>
                <w:szCs w:val="20"/>
              </w:rPr>
              <w:t>C</w:t>
            </w:r>
            <w:r w:rsidR="000A7DC3">
              <w:rPr>
                <w:rFonts w:ascii="Arial" w:hAnsi="Arial" w:cs="Arial"/>
                <w:b/>
                <w:sz w:val="20"/>
                <w:szCs w:val="20"/>
              </w:rPr>
              <w:t>ountry</w:t>
            </w:r>
            <w:r>
              <w:rPr>
                <w:rFonts w:ascii="Arial" w:hAnsi="Arial" w:cs="Arial"/>
                <w:b/>
                <w:sz w:val="20"/>
                <w:szCs w:val="20"/>
              </w:rPr>
              <w:t xml:space="preserve"> in which work for NTNU wil</w:t>
            </w:r>
            <w:r w:rsidR="00D72BF4">
              <w:rPr>
                <w:rFonts w:ascii="Arial" w:hAnsi="Arial" w:cs="Arial"/>
                <w:b/>
                <w:sz w:val="20"/>
                <w:szCs w:val="20"/>
              </w:rPr>
              <w:t>l</w:t>
            </w:r>
            <w:r>
              <w:rPr>
                <w:rFonts w:ascii="Arial" w:hAnsi="Arial" w:cs="Arial"/>
                <w:b/>
                <w:sz w:val="20"/>
                <w:szCs w:val="20"/>
              </w:rPr>
              <w:t xml:space="preserve"> be </w:t>
            </w:r>
            <w:r w:rsidR="00522C28">
              <w:rPr>
                <w:rFonts w:ascii="Arial" w:hAnsi="Arial" w:cs="Arial"/>
                <w:b/>
                <w:sz w:val="20"/>
                <w:szCs w:val="20"/>
              </w:rPr>
              <w:t>performed</w:t>
            </w:r>
            <w:r>
              <w:rPr>
                <w:rFonts w:ascii="Arial" w:hAnsi="Arial" w:cs="Arial"/>
                <w:b/>
                <w:sz w:val="20"/>
                <w:szCs w:val="20"/>
              </w:rPr>
              <w:t>:</w:t>
            </w:r>
          </w:p>
        </w:tc>
        <w:tc>
          <w:tcPr>
            <w:tcW w:w="5148" w:type="dxa"/>
          </w:tcPr>
          <w:p w14:paraId="2CF63C78" w14:textId="77777777" w:rsidR="00EE307B" w:rsidRPr="00F61D4D" w:rsidRDefault="00EE307B">
            <w:pPr>
              <w:rPr>
                <w:b/>
              </w:rPr>
            </w:pPr>
          </w:p>
        </w:tc>
      </w:tr>
      <w:tr w:rsidR="00522C28" w:rsidRPr="00F61D4D" w14:paraId="3FF70C2F" w14:textId="77777777" w:rsidTr="1EF9CB93">
        <w:tc>
          <w:tcPr>
            <w:tcW w:w="4248" w:type="dxa"/>
            <w:shd w:val="clear" w:color="auto" w:fill="D0CECE" w:themeFill="background2" w:themeFillShade="E6"/>
          </w:tcPr>
          <w:p w14:paraId="5768E837" w14:textId="6BFB0A34" w:rsidR="00522C28" w:rsidRDefault="00522C28">
            <w:pPr>
              <w:rPr>
                <w:rFonts w:ascii="Arial" w:hAnsi="Arial" w:cs="Arial"/>
                <w:b/>
                <w:sz w:val="20"/>
                <w:szCs w:val="20"/>
              </w:rPr>
            </w:pPr>
            <w:r w:rsidRPr="00522C28">
              <w:rPr>
                <w:rFonts w:ascii="Arial" w:hAnsi="Arial" w:cs="Arial"/>
                <w:b/>
                <w:sz w:val="20"/>
                <w:szCs w:val="20"/>
              </w:rPr>
              <w:t>Work place/location (</w:t>
            </w:r>
            <w:proofErr w:type="spellStart"/>
            <w:r w:rsidRPr="00522C28">
              <w:rPr>
                <w:rFonts w:ascii="Arial" w:hAnsi="Arial" w:cs="Arial"/>
                <w:b/>
                <w:sz w:val="20"/>
                <w:szCs w:val="20"/>
              </w:rPr>
              <w:t>e.g</w:t>
            </w:r>
            <w:proofErr w:type="spellEnd"/>
            <w:r w:rsidRPr="00522C28">
              <w:rPr>
                <w:rFonts w:ascii="Arial" w:hAnsi="Arial" w:cs="Arial"/>
                <w:b/>
                <w:sz w:val="20"/>
                <w:szCs w:val="20"/>
              </w:rPr>
              <w:t xml:space="preserve"> </w:t>
            </w:r>
            <w:proofErr w:type="spellStart"/>
            <w:r w:rsidRPr="00522C28">
              <w:rPr>
                <w:rFonts w:ascii="Arial" w:hAnsi="Arial" w:cs="Arial"/>
                <w:b/>
                <w:sz w:val="20"/>
                <w:szCs w:val="20"/>
              </w:rPr>
              <w:t>homeoffice</w:t>
            </w:r>
            <w:proofErr w:type="spellEnd"/>
            <w:r w:rsidRPr="00522C28">
              <w:rPr>
                <w:rFonts w:ascii="Arial" w:hAnsi="Arial" w:cs="Arial"/>
                <w:b/>
                <w:sz w:val="20"/>
                <w:szCs w:val="20"/>
              </w:rPr>
              <w:t>, local university campus, work share, etc.)</w:t>
            </w:r>
            <w:r w:rsidR="0083310F">
              <w:rPr>
                <w:rFonts w:ascii="Arial" w:hAnsi="Arial" w:cs="Arial"/>
                <w:b/>
                <w:sz w:val="20"/>
                <w:szCs w:val="20"/>
              </w:rPr>
              <w:t>:</w:t>
            </w:r>
          </w:p>
        </w:tc>
        <w:tc>
          <w:tcPr>
            <w:tcW w:w="5148" w:type="dxa"/>
          </w:tcPr>
          <w:p w14:paraId="6EA16044" w14:textId="77777777" w:rsidR="00522C28" w:rsidRPr="00F61D4D" w:rsidRDefault="00522C28">
            <w:pPr>
              <w:rPr>
                <w:b/>
              </w:rPr>
            </w:pPr>
          </w:p>
        </w:tc>
      </w:tr>
      <w:tr w:rsidR="00EE307B" w14:paraId="21A7C814" w14:textId="77777777" w:rsidTr="1EF9CB93">
        <w:tc>
          <w:tcPr>
            <w:tcW w:w="4248" w:type="dxa"/>
            <w:shd w:val="clear" w:color="auto" w:fill="D0CECE" w:themeFill="background2" w:themeFillShade="E6"/>
          </w:tcPr>
          <w:p w14:paraId="647A4315" w14:textId="18C36D2C" w:rsidR="00EE307B" w:rsidRPr="0083310F" w:rsidRDefault="00EE307B">
            <w:pPr>
              <w:rPr>
                <w:rFonts w:ascii="Arial" w:hAnsi="Arial" w:cs="Arial"/>
                <w:b/>
                <w:sz w:val="20"/>
                <w:szCs w:val="20"/>
              </w:rPr>
            </w:pPr>
            <w:r w:rsidRPr="00F61D4D">
              <w:rPr>
                <w:rFonts w:ascii="Arial" w:hAnsi="Arial" w:cs="Arial"/>
                <w:b/>
                <w:sz w:val="20"/>
                <w:szCs w:val="20"/>
              </w:rPr>
              <w:t>Position code</w:t>
            </w:r>
            <w:r w:rsidR="0083310F">
              <w:rPr>
                <w:rFonts w:ascii="Arial" w:hAnsi="Arial" w:cs="Arial"/>
                <w:b/>
                <w:sz w:val="20"/>
                <w:szCs w:val="20"/>
              </w:rPr>
              <w:t>:</w:t>
            </w:r>
          </w:p>
          <w:p w14:paraId="61C15153" w14:textId="7E42D1DF" w:rsidR="00E173F3" w:rsidRPr="00F61D4D" w:rsidRDefault="00E173F3">
            <w:pPr>
              <w:rPr>
                <w:rFonts w:ascii="Arial" w:hAnsi="Arial" w:cs="Arial"/>
                <w:b/>
                <w:sz w:val="20"/>
                <w:szCs w:val="20"/>
              </w:rPr>
            </w:pPr>
          </w:p>
        </w:tc>
        <w:tc>
          <w:tcPr>
            <w:tcW w:w="5148" w:type="dxa"/>
          </w:tcPr>
          <w:p w14:paraId="5059D75C" w14:textId="77777777" w:rsidR="00EE307B" w:rsidRDefault="00EE307B"/>
        </w:tc>
      </w:tr>
      <w:tr w:rsidR="00EE307B" w14:paraId="305E5579" w14:textId="77777777" w:rsidTr="1EF9CB93">
        <w:tc>
          <w:tcPr>
            <w:tcW w:w="4248" w:type="dxa"/>
            <w:shd w:val="clear" w:color="auto" w:fill="D0CECE" w:themeFill="background2" w:themeFillShade="E6"/>
          </w:tcPr>
          <w:p w14:paraId="3157541E" w14:textId="1C3FE344" w:rsidR="00EE307B" w:rsidRPr="0083310F" w:rsidRDefault="00EE307B">
            <w:pPr>
              <w:rPr>
                <w:rFonts w:ascii="Arial" w:hAnsi="Arial" w:cs="Arial"/>
                <w:b/>
                <w:sz w:val="20"/>
                <w:szCs w:val="20"/>
              </w:rPr>
            </w:pPr>
            <w:r w:rsidRPr="00F61D4D">
              <w:rPr>
                <w:rFonts w:ascii="Arial" w:hAnsi="Arial" w:cs="Arial"/>
                <w:b/>
                <w:sz w:val="20"/>
                <w:szCs w:val="20"/>
              </w:rPr>
              <w:t>Job title</w:t>
            </w:r>
            <w:r w:rsidR="0083310F">
              <w:rPr>
                <w:rFonts w:ascii="Arial" w:hAnsi="Arial" w:cs="Arial"/>
                <w:b/>
                <w:sz w:val="20"/>
                <w:szCs w:val="20"/>
              </w:rPr>
              <w:t>:</w:t>
            </w:r>
          </w:p>
          <w:p w14:paraId="3CB37112" w14:textId="2C576F58" w:rsidR="00E173F3" w:rsidRPr="00F61D4D" w:rsidRDefault="00E173F3">
            <w:pPr>
              <w:rPr>
                <w:rFonts w:ascii="Arial" w:hAnsi="Arial" w:cs="Arial"/>
                <w:b/>
                <w:sz w:val="20"/>
                <w:szCs w:val="20"/>
              </w:rPr>
            </w:pPr>
          </w:p>
        </w:tc>
        <w:tc>
          <w:tcPr>
            <w:tcW w:w="5148" w:type="dxa"/>
          </w:tcPr>
          <w:p w14:paraId="4B059628" w14:textId="77777777" w:rsidR="00EE307B" w:rsidRDefault="00EE307B"/>
        </w:tc>
      </w:tr>
      <w:tr w:rsidR="00EE307B" w14:paraId="78386105" w14:textId="77777777" w:rsidTr="1EF9CB93">
        <w:tc>
          <w:tcPr>
            <w:tcW w:w="4248" w:type="dxa"/>
            <w:shd w:val="clear" w:color="auto" w:fill="D0CECE" w:themeFill="background2" w:themeFillShade="E6"/>
          </w:tcPr>
          <w:p w14:paraId="32ACDAEC" w14:textId="22EDA3CC" w:rsidR="00EE307B" w:rsidRPr="0083310F" w:rsidRDefault="00EE307B">
            <w:pPr>
              <w:rPr>
                <w:rFonts w:ascii="Arial" w:hAnsi="Arial" w:cs="Arial"/>
                <w:b/>
                <w:sz w:val="20"/>
                <w:szCs w:val="20"/>
              </w:rPr>
            </w:pPr>
            <w:r w:rsidRPr="00F61D4D">
              <w:rPr>
                <w:rFonts w:ascii="Arial" w:hAnsi="Arial" w:cs="Arial"/>
                <w:b/>
                <w:sz w:val="20"/>
                <w:szCs w:val="20"/>
              </w:rPr>
              <w:t>Percentage of fulltime position</w:t>
            </w:r>
            <w:r w:rsidR="0083310F">
              <w:rPr>
                <w:rFonts w:ascii="Arial" w:hAnsi="Arial" w:cs="Arial"/>
                <w:b/>
                <w:sz w:val="20"/>
                <w:szCs w:val="20"/>
              </w:rPr>
              <w:t>:</w:t>
            </w:r>
          </w:p>
          <w:p w14:paraId="2E01CDBD" w14:textId="0BFE37BC" w:rsidR="00E173F3" w:rsidRPr="00F61D4D" w:rsidRDefault="00E173F3">
            <w:pPr>
              <w:rPr>
                <w:rFonts w:ascii="Arial" w:hAnsi="Arial" w:cs="Arial"/>
                <w:b/>
                <w:sz w:val="20"/>
                <w:szCs w:val="20"/>
              </w:rPr>
            </w:pPr>
          </w:p>
        </w:tc>
        <w:tc>
          <w:tcPr>
            <w:tcW w:w="5148" w:type="dxa"/>
          </w:tcPr>
          <w:p w14:paraId="163E89C7" w14:textId="77777777" w:rsidR="00EE307B" w:rsidRDefault="00EE307B"/>
        </w:tc>
      </w:tr>
      <w:tr w:rsidR="00EE307B" w14:paraId="599B858A" w14:textId="77777777" w:rsidTr="1EF9CB93">
        <w:trPr>
          <w:trHeight w:val="495"/>
        </w:trPr>
        <w:tc>
          <w:tcPr>
            <w:tcW w:w="4248" w:type="dxa"/>
            <w:shd w:val="clear" w:color="auto" w:fill="D0CECE" w:themeFill="background2" w:themeFillShade="E6"/>
          </w:tcPr>
          <w:p w14:paraId="25EEF2D5" w14:textId="0D4D6D46" w:rsidR="00EE307B" w:rsidRPr="00B403D4" w:rsidRDefault="00EE307B">
            <w:pPr>
              <w:rPr>
                <w:rFonts w:ascii="Arial" w:hAnsi="Arial" w:cs="Arial"/>
                <w:b/>
                <w:sz w:val="20"/>
                <w:szCs w:val="20"/>
              </w:rPr>
            </w:pPr>
            <w:proofErr w:type="spellStart"/>
            <w:r w:rsidRPr="00F61D4D">
              <w:rPr>
                <w:rFonts w:ascii="Arial" w:hAnsi="Arial" w:cs="Arial"/>
                <w:b/>
                <w:sz w:val="20"/>
                <w:szCs w:val="20"/>
              </w:rPr>
              <w:t>Start</w:t>
            </w:r>
            <w:r w:rsidR="00B403D4">
              <w:rPr>
                <w:rFonts w:ascii="Arial" w:hAnsi="Arial" w:cs="Arial"/>
                <w:b/>
                <w:sz w:val="20"/>
                <w:szCs w:val="20"/>
              </w:rPr>
              <w:t>date</w:t>
            </w:r>
            <w:proofErr w:type="spellEnd"/>
            <w:r w:rsidR="0083310F">
              <w:rPr>
                <w:rFonts w:ascii="Arial" w:hAnsi="Arial" w:cs="Arial"/>
                <w:b/>
                <w:sz w:val="20"/>
                <w:szCs w:val="20"/>
              </w:rPr>
              <w:t>:</w:t>
            </w:r>
            <w:r w:rsidR="00B403D4">
              <w:rPr>
                <w:rFonts w:ascii="Arial" w:hAnsi="Arial" w:cs="Arial"/>
                <w:b/>
                <w:sz w:val="20"/>
                <w:szCs w:val="20"/>
              </w:rPr>
              <w:t xml:space="preserve"> </w:t>
            </w:r>
          </w:p>
        </w:tc>
        <w:tc>
          <w:tcPr>
            <w:tcW w:w="5148" w:type="dxa"/>
          </w:tcPr>
          <w:p w14:paraId="5AE68C26" w14:textId="77777777" w:rsidR="00EE307B" w:rsidRPr="00F61D4D" w:rsidRDefault="00EE307B">
            <w:pPr>
              <w:rPr>
                <w:rFonts w:ascii="Arial" w:hAnsi="Arial" w:cs="Arial"/>
                <w:sz w:val="20"/>
                <w:szCs w:val="20"/>
              </w:rPr>
            </w:pPr>
          </w:p>
        </w:tc>
      </w:tr>
      <w:tr w:rsidR="004204F0" w14:paraId="2030C6DA" w14:textId="77777777" w:rsidTr="1EF9CB93">
        <w:trPr>
          <w:trHeight w:val="495"/>
        </w:trPr>
        <w:tc>
          <w:tcPr>
            <w:tcW w:w="4248" w:type="dxa"/>
            <w:shd w:val="clear" w:color="auto" w:fill="D0CECE" w:themeFill="background2" w:themeFillShade="E6"/>
          </w:tcPr>
          <w:p w14:paraId="5E3507C6" w14:textId="7B0356CC" w:rsidR="004204F0" w:rsidRPr="004204F0" w:rsidRDefault="00162EE3">
            <w:pPr>
              <w:rPr>
                <w:rFonts w:ascii="Arial" w:hAnsi="Arial" w:cs="Arial"/>
                <w:b/>
                <w:sz w:val="20"/>
                <w:szCs w:val="20"/>
              </w:rPr>
            </w:pPr>
            <w:r>
              <w:rPr>
                <w:rFonts w:ascii="Arial" w:hAnsi="Arial" w:cs="Arial"/>
                <w:b/>
                <w:sz w:val="20"/>
                <w:szCs w:val="20"/>
              </w:rPr>
              <w:t>T</w:t>
            </w:r>
            <w:r w:rsidR="00522C28">
              <w:rPr>
                <w:rFonts w:ascii="Arial" w:hAnsi="Arial" w:cs="Arial"/>
                <w:b/>
                <w:sz w:val="20"/>
                <w:szCs w:val="20"/>
              </w:rPr>
              <w:t xml:space="preserve">emporary position: </w:t>
            </w:r>
          </w:p>
        </w:tc>
        <w:tc>
          <w:tcPr>
            <w:tcW w:w="5148" w:type="dxa"/>
          </w:tcPr>
          <w:p w14:paraId="4308E27D" w14:textId="4C38C120" w:rsidR="00D54A8C" w:rsidRDefault="00D54A8C">
            <w:pPr>
              <w:rPr>
                <w:rFonts w:ascii="Arial" w:hAnsi="Arial" w:cs="Arial"/>
                <w:color w:val="282828"/>
                <w:w w:val="105"/>
                <w:sz w:val="16"/>
                <w:szCs w:val="16"/>
              </w:rPr>
            </w:pPr>
            <w:r>
              <w:rPr>
                <w:noProof/>
              </w:rPr>
              <w:drawing>
                <wp:inline distT="0" distB="0" distL="0" distR="0" wp14:anchorId="28240E29" wp14:editId="0A400DB2">
                  <wp:extent cx="292735" cy="267970"/>
                  <wp:effectExtent l="0" t="0" r="0" b="0"/>
                  <wp:docPr id="4"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pic:nvPicPr>
                        <pic:blipFill>
                          <a:blip r:embed="rId10">
                            <a:extLst>
                              <a:ext uri="{28A0092B-C50C-407E-A947-70E740481C1C}">
                                <a14:useLocalDpi xmlns:a14="http://schemas.microsoft.com/office/drawing/2010/main" val="0"/>
                              </a:ext>
                            </a:extLst>
                          </a:blip>
                          <a:stretch>
                            <a:fillRect/>
                          </a:stretch>
                        </pic:blipFill>
                        <pic:spPr>
                          <a:xfrm>
                            <a:off x="0" y="0"/>
                            <a:ext cx="292735" cy="267970"/>
                          </a:xfrm>
                          <a:prstGeom prst="rect">
                            <a:avLst/>
                          </a:prstGeom>
                        </pic:spPr>
                      </pic:pic>
                    </a:graphicData>
                  </a:graphic>
                </wp:inline>
              </w:drawing>
            </w:r>
            <w:r>
              <w:rPr>
                <w:rFonts w:ascii="Arial" w:hAnsi="Arial" w:cs="Arial"/>
                <w:color w:val="282828"/>
                <w:w w:val="105"/>
                <w:sz w:val="16"/>
                <w:szCs w:val="16"/>
              </w:rPr>
              <w:t>No</w:t>
            </w:r>
          </w:p>
          <w:p w14:paraId="3855BFB1" w14:textId="4CA7C5B0" w:rsidR="00D54A8C" w:rsidRDefault="00D54A8C">
            <w:pPr>
              <w:rPr>
                <w:rFonts w:ascii="Arial" w:hAnsi="Arial" w:cs="Arial"/>
                <w:color w:val="282828"/>
                <w:w w:val="105"/>
                <w:sz w:val="16"/>
                <w:szCs w:val="16"/>
              </w:rPr>
            </w:pPr>
          </w:p>
          <w:p w14:paraId="404E47B7" w14:textId="730E4AC9" w:rsidR="00C72DD8" w:rsidRDefault="00D54A8C">
            <w:pPr>
              <w:rPr>
                <w:rFonts w:ascii="Arial" w:hAnsi="Arial" w:cs="Arial"/>
                <w:color w:val="282828"/>
                <w:w w:val="105"/>
                <w:sz w:val="16"/>
                <w:szCs w:val="16"/>
              </w:rPr>
            </w:pPr>
            <w:r>
              <w:rPr>
                <w:noProof/>
              </w:rPr>
              <w:drawing>
                <wp:inline distT="0" distB="0" distL="0" distR="0" wp14:anchorId="6FCC5DD1" wp14:editId="0E380806">
                  <wp:extent cx="292735" cy="267970"/>
                  <wp:effectExtent l="0" t="0" r="0" b="0"/>
                  <wp:docPr id="6"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pic:nvPicPr>
                        <pic:blipFill>
                          <a:blip r:embed="rId10">
                            <a:extLst>
                              <a:ext uri="{28A0092B-C50C-407E-A947-70E740481C1C}">
                                <a14:useLocalDpi xmlns:a14="http://schemas.microsoft.com/office/drawing/2010/main" val="0"/>
                              </a:ext>
                            </a:extLst>
                          </a:blip>
                          <a:stretch>
                            <a:fillRect/>
                          </a:stretch>
                        </pic:blipFill>
                        <pic:spPr>
                          <a:xfrm>
                            <a:off x="0" y="0"/>
                            <a:ext cx="292735" cy="267970"/>
                          </a:xfrm>
                          <a:prstGeom prst="rect">
                            <a:avLst/>
                          </a:prstGeom>
                        </pic:spPr>
                      </pic:pic>
                    </a:graphicData>
                  </a:graphic>
                </wp:inline>
              </w:drawing>
            </w:r>
            <w:r>
              <w:rPr>
                <w:rFonts w:ascii="Arial" w:hAnsi="Arial" w:cs="Arial"/>
                <w:color w:val="282828"/>
                <w:w w:val="105"/>
                <w:sz w:val="16"/>
                <w:szCs w:val="16"/>
              </w:rPr>
              <w:t>Yes.</w:t>
            </w:r>
            <w:r w:rsidR="00E173F3">
              <w:rPr>
                <w:rFonts w:ascii="Arial" w:hAnsi="Arial" w:cs="Arial"/>
                <w:color w:val="282828"/>
                <w:w w:val="105"/>
                <w:sz w:val="16"/>
                <w:szCs w:val="16"/>
              </w:rPr>
              <w:t xml:space="preserve"> The termination date</w:t>
            </w:r>
            <w:r w:rsidR="00C72DD8">
              <w:rPr>
                <w:rFonts w:ascii="Arial" w:hAnsi="Arial" w:cs="Arial"/>
                <w:color w:val="282828"/>
                <w:w w:val="105"/>
                <w:sz w:val="16"/>
                <w:szCs w:val="16"/>
              </w:rPr>
              <w:t xml:space="preserve"> for temporary appointment is:</w:t>
            </w:r>
          </w:p>
          <w:p w14:paraId="25A026D3" w14:textId="1D02AF24" w:rsidR="00E173F3" w:rsidRDefault="00E173F3">
            <w:pPr>
              <w:rPr>
                <w:rFonts w:ascii="Arial" w:hAnsi="Arial" w:cs="Arial"/>
                <w:color w:val="282828"/>
                <w:w w:val="105"/>
                <w:sz w:val="16"/>
                <w:szCs w:val="16"/>
              </w:rPr>
            </w:pPr>
          </w:p>
          <w:p w14:paraId="5B57C95A" w14:textId="0FFE2621" w:rsidR="00D54A8C" w:rsidRPr="00C72DD8" w:rsidRDefault="00E173F3">
            <w:pPr>
              <w:rPr>
                <w:rFonts w:ascii="Arial" w:hAnsi="Arial" w:cs="Arial"/>
                <w:i/>
                <w:iCs/>
                <w:color w:val="FF0000"/>
                <w:w w:val="105"/>
                <w:sz w:val="16"/>
                <w:szCs w:val="16"/>
              </w:rPr>
            </w:pPr>
            <w:r>
              <w:rPr>
                <w:rFonts w:ascii="Arial" w:hAnsi="Arial" w:cs="Arial"/>
                <w:color w:val="282828"/>
                <w:w w:val="105"/>
                <w:sz w:val="16"/>
                <w:szCs w:val="16"/>
              </w:rPr>
              <w:t>_________</w:t>
            </w:r>
            <w:r w:rsidR="00C72DD8">
              <w:rPr>
                <w:rFonts w:ascii="Arial" w:hAnsi="Arial" w:cs="Arial"/>
                <w:color w:val="282828"/>
                <w:w w:val="105"/>
                <w:sz w:val="16"/>
                <w:szCs w:val="16"/>
              </w:rPr>
              <w:t xml:space="preserve"> </w:t>
            </w:r>
            <w:r w:rsidR="00C72DD8" w:rsidRPr="00C72DD8">
              <w:rPr>
                <w:rFonts w:ascii="Arial" w:hAnsi="Arial" w:cs="Arial"/>
                <w:i/>
                <w:iCs/>
                <w:color w:val="FF0000"/>
                <w:w w:val="105"/>
                <w:sz w:val="16"/>
                <w:szCs w:val="16"/>
              </w:rPr>
              <w:t>(fill in date)</w:t>
            </w:r>
          </w:p>
          <w:p w14:paraId="7510B574" w14:textId="77777777" w:rsidR="00D54A8C" w:rsidRDefault="00D54A8C">
            <w:pPr>
              <w:rPr>
                <w:rFonts w:ascii="Arial" w:hAnsi="Arial" w:cs="Arial"/>
                <w:color w:val="282828"/>
                <w:w w:val="105"/>
                <w:sz w:val="16"/>
                <w:szCs w:val="16"/>
              </w:rPr>
            </w:pPr>
          </w:p>
          <w:p w14:paraId="465CC1EF" w14:textId="77777777" w:rsidR="00C72DD8" w:rsidRDefault="00572095">
            <w:pPr>
              <w:rPr>
                <w:rFonts w:ascii="Arial" w:hAnsi="Arial" w:cs="Arial"/>
                <w:color w:val="282828"/>
                <w:w w:val="105"/>
                <w:sz w:val="16"/>
                <w:szCs w:val="16"/>
              </w:rPr>
            </w:pPr>
            <w:r w:rsidRPr="00717F34">
              <w:rPr>
                <w:rFonts w:ascii="Arial" w:hAnsi="Arial" w:cs="Arial"/>
                <w:color w:val="282828"/>
                <w:w w:val="105"/>
                <w:sz w:val="16"/>
                <w:szCs w:val="16"/>
              </w:rPr>
              <w:lastRenderedPageBreak/>
              <w:t xml:space="preserve">The provisions of section </w:t>
            </w:r>
            <w:r>
              <w:rPr>
                <w:rFonts w:ascii="Arial" w:hAnsi="Arial" w:cs="Arial"/>
                <w:color w:val="282828"/>
                <w:w w:val="105"/>
                <w:sz w:val="16"/>
                <w:szCs w:val="16"/>
              </w:rPr>
              <w:t xml:space="preserve">9 </w:t>
            </w:r>
            <w:r w:rsidRPr="00572095">
              <w:rPr>
                <w:rFonts w:ascii="Arial" w:hAnsi="Arial" w:cs="Arial"/>
                <w:color w:val="FF0000"/>
                <w:w w:val="105"/>
                <w:sz w:val="16"/>
                <w:szCs w:val="16"/>
              </w:rPr>
              <w:t xml:space="preserve">(1) a) b) c) d) e) (choose the correct alternative) </w:t>
            </w:r>
            <w:r w:rsidRPr="00717F34">
              <w:rPr>
                <w:rFonts w:ascii="Arial" w:hAnsi="Arial" w:cs="Arial"/>
                <w:color w:val="282828"/>
                <w:w w:val="105"/>
                <w:sz w:val="16"/>
                <w:szCs w:val="16"/>
              </w:rPr>
              <w:t xml:space="preserve">of the </w:t>
            </w:r>
            <w:proofErr w:type="gramStart"/>
            <w:r w:rsidRPr="00717F34">
              <w:rPr>
                <w:rFonts w:ascii="Arial" w:hAnsi="Arial" w:cs="Arial"/>
                <w:color w:val="282828"/>
                <w:w w:val="105"/>
                <w:sz w:val="16"/>
                <w:szCs w:val="16"/>
              </w:rPr>
              <w:t>Public</w:t>
            </w:r>
            <w:proofErr w:type="gramEnd"/>
            <w:r w:rsidRPr="00717F34">
              <w:rPr>
                <w:rFonts w:ascii="Arial" w:hAnsi="Arial" w:cs="Arial"/>
                <w:color w:val="282828"/>
                <w:w w:val="105"/>
                <w:sz w:val="16"/>
                <w:szCs w:val="16"/>
              </w:rPr>
              <w:t xml:space="preserve"> empl</w:t>
            </w:r>
            <w:r>
              <w:rPr>
                <w:rFonts w:ascii="Arial" w:hAnsi="Arial" w:cs="Arial"/>
                <w:color w:val="282828"/>
                <w:w w:val="105"/>
                <w:sz w:val="16"/>
                <w:szCs w:val="16"/>
              </w:rPr>
              <w:t xml:space="preserve">oyee Act concerning terms for temporary </w:t>
            </w:r>
            <w:proofErr w:type="spellStart"/>
            <w:r>
              <w:rPr>
                <w:rFonts w:ascii="Arial" w:hAnsi="Arial" w:cs="Arial"/>
                <w:color w:val="282828"/>
                <w:w w:val="105"/>
                <w:sz w:val="16"/>
                <w:szCs w:val="16"/>
              </w:rPr>
              <w:t>appoinments</w:t>
            </w:r>
            <w:proofErr w:type="spellEnd"/>
            <w:r w:rsidRPr="00717F34">
              <w:rPr>
                <w:rFonts w:ascii="Arial" w:hAnsi="Arial" w:cs="Arial"/>
                <w:color w:val="282828"/>
                <w:w w:val="105"/>
                <w:sz w:val="16"/>
                <w:szCs w:val="16"/>
              </w:rPr>
              <w:t xml:space="preserve"> apply</w:t>
            </w:r>
          </w:p>
          <w:p w14:paraId="3BDCC64F" w14:textId="77777777" w:rsidR="00C72DD8" w:rsidRDefault="00C72DD8">
            <w:pPr>
              <w:rPr>
                <w:rFonts w:ascii="Arial" w:hAnsi="Arial" w:cs="Arial"/>
                <w:sz w:val="16"/>
                <w:szCs w:val="16"/>
              </w:rPr>
            </w:pPr>
          </w:p>
          <w:p w14:paraId="713321E1" w14:textId="77777777" w:rsidR="00C72DD8" w:rsidRDefault="00C72DD8">
            <w:pPr>
              <w:rPr>
                <w:rFonts w:ascii="Arial" w:hAnsi="Arial" w:cs="Arial"/>
                <w:sz w:val="16"/>
                <w:szCs w:val="16"/>
              </w:rPr>
            </w:pPr>
            <w:r>
              <w:rPr>
                <w:rFonts w:ascii="Arial" w:hAnsi="Arial" w:cs="Arial"/>
                <w:sz w:val="16"/>
                <w:szCs w:val="16"/>
              </w:rPr>
              <w:t>Or</w:t>
            </w:r>
          </w:p>
          <w:p w14:paraId="26DE7571" w14:textId="77777777" w:rsidR="00C72DD8" w:rsidRDefault="00C72DD8">
            <w:pPr>
              <w:rPr>
                <w:rFonts w:ascii="Arial" w:hAnsi="Arial" w:cs="Arial"/>
                <w:sz w:val="16"/>
                <w:szCs w:val="16"/>
              </w:rPr>
            </w:pPr>
          </w:p>
          <w:p w14:paraId="7DFE8C3E" w14:textId="2D8145F1" w:rsidR="00C72DD8" w:rsidRDefault="00E173F3">
            <w:pPr>
              <w:rPr>
                <w:rFonts w:ascii="Arial" w:eastAsia="Times New Roman" w:hAnsi="Arial" w:cs="Arial"/>
                <w:sz w:val="16"/>
                <w:szCs w:val="16"/>
              </w:rPr>
            </w:pPr>
            <w:r w:rsidRPr="00E173F3">
              <w:rPr>
                <w:rFonts w:ascii="Arial" w:hAnsi="Arial" w:cs="Arial"/>
                <w:sz w:val="16"/>
                <w:szCs w:val="16"/>
              </w:rPr>
              <w:t>The provisions of section 6-6 of</w:t>
            </w:r>
            <w:r w:rsidR="00162EE3" w:rsidRPr="00E173F3">
              <w:rPr>
                <w:rFonts w:ascii="Arial" w:hAnsi="Arial" w:cs="Arial"/>
                <w:sz w:val="16"/>
                <w:szCs w:val="16"/>
              </w:rPr>
              <w:t xml:space="preserve"> </w:t>
            </w:r>
            <w:r w:rsidRPr="00E173F3">
              <w:rPr>
                <w:rFonts w:ascii="Arial" w:eastAsia="Times New Roman" w:hAnsi="Arial" w:cs="Arial"/>
                <w:sz w:val="16"/>
                <w:szCs w:val="16"/>
                <w:lang w:val="en-GB"/>
              </w:rPr>
              <w:t>the Act relating to Universities and University Colleges</w:t>
            </w:r>
            <w:r w:rsidRPr="00E173F3">
              <w:rPr>
                <w:rFonts w:ascii="Arial" w:eastAsia="Times New Roman" w:hAnsi="Arial" w:cs="Arial"/>
                <w:sz w:val="16"/>
                <w:szCs w:val="16"/>
              </w:rPr>
              <w:t xml:space="preserve"> apply</w:t>
            </w:r>
            <w:r w:rsidR="00C72DD8">
              <w:rPr>
                <w:rFonts w:ascii="Arial" w:eastAsia="Times New Roman" w:hAnsi="Arial" w:cs="Arial"/>
                <w:sz w:val="16"/>
                <w:szCs w:val="16"/>
              </w:rPr>
              <w:t xml:space="preserve"> </w:t>
            </w:r>
            <w:r w:rsidR="00C72DD8" w:rsidRPr="00C72DD8">
              <w:rPr>
                <w:rFonts w:ascii="Arial" w:eastAsia="Times New Roman" w:hAnsi="Arial" w:cs="Arial"/>
                <w:color w:val="FF0000"/>
                <w:sz w:val="16"/>
                <w:szCs w:val="16"/>
              </w:rPr>
              <w:t>(</w:t>
            </w:r>
            <w:r w:rsidR="00C72DD8">
              <w:rPr>
                <w:rFonts w:ascii="Arial" w:eastAsia="Times New Roman" w:hAnsi="Arial" w:cs="Arial"/>
                <w:color w:val="FF0000"/>
                <w:sz w:val="16"/>
                <w:szCs w:val="16"/>
              </w:rPr>
              <w:t xml:space="preserve">only for </w:t>
            </w:r>
            <w:proofErr w:type="spellStart"/>
            <w:r w:rsidR="00C72DD8" w:rsidRPr="00C72DD8">
              <w:rPr>
                <w:rFonts w:ascii="Arial" w:eastAsia="Times New Roman" w:hAnsi="Arial" w:cs="Arial"/>
                <w:color w:val="FF0000"/>
                <w:sz w:val="16"/>
                <w:szCs w:val="16"/>
              </w:rPr>
              <w:t>prof.II</w:t>
            </w:r>
            <w:proofErr w:type="spellEnd"/>
            <w:r w:rsidR="00C72DD8">
              <w:rPr>
                <w:rFonts w:ascii="Arial" w:eastAsia="Times New Roman" w:hAnsi="Arial" w:cs="Arial"/>
                <w:color w:val="FF0000"/>
                <w:sz w:val="16"/>
                <w:szCs w:val="16"/>
              </w:rPr>
              <w:t xml:space="preserve"> positions</w:t>
            </w:r>
            <w:r w:rsidR="00C72DD8" w:rsidRPr="00C72DD8">
              <w:rPr>
                <w:rFonts w:ascii="Arial" w:eastAsia="Times New Roman" w:hAnsi="Arial" w:cs="Arial"/>
                <w:color w:val="FF0000"/>
                <w:sz w:val="16"/>
                <w:szCs w:val="16"/>
              </w:rPr>
              <w:t>)</w:t>
            </w:r>
          </w:p>
          <w:p w14:paraId="0EC06765" w14:textId="77777777" w:rsidR="00C72DD8" w:rsidRDefault="00C72DD8">
            <w:pPr>
              <w:rPr>
                <w:rFonts w:ascii="Arial" w:eastAsia="Times New Roman" w:hAnsi="Arial" w:cs="Arial"/>
                <w:sz w:val="16"/>
                <w:szCs w:val="16"/>
              </w:rPr>
            </w:pPr>
          </w:p>
          <w:p w14:paraId="337810FF" w14:textId="5AF9A6C7" w:rsidR="00162EE3" w:rsidRPr="00C72DD8" w:rsidRDefault="00C72DD8">
            <w:pPr>
              <w:rPr>
                <w:rFonts w:ascii="Arial" w:hAnsi="Arial" w:cs="Arial"/>
                <w:color w:val="4D4D4D"/>
                <w:w w:val="105"/>
                <w:sz w:val="16"/>
                <w:szCs w:val="16"/>
              </w:rPr>
            </w:pPr>
            <w:r w:rsidRPr="00C72DD8">
              <w:rPr>
                <w:rFonts w:ascii="Arial" w:eastAsia="Times New Roman" w:hAnsi="Arial" w:cs="Arial"/>
                <w:color w:val="FF0000"/>
                <w:sz w:val="16"/>
                <w:szCs w:val="16"/>
              </w:rPr>
              <w:t>(</w:t>
            </w:r>
            <w:r w:rsidRPr="00C72DD8">
              <w:rPr>
                <w:rFonts w:ascii="Arial" w:eastAsia="Times New Roman" w:hAnsi="Arial" w:cs="Arial"/>
                <w:i/>
                <w:iCs/>
                <w:color w:val="FF0000"/>
                <w:sz w:val="16"/>
                <w:szCs w:val="16"/>
              </w:rPr>
              <w:t>delete the alternative not relevant</w:t>
            </w:r>
            <w:r>
              <w:rPr>
                <w:rFonts w:ascii="Arial" w:eastAsia="Times New Roman" w:hAnsi="Arial" w:cs="Arial"/>
                <w:i/>
                <w:iCs/>
                <w:color w:val="FF0000"/>
                <w:sz w:val="16"/>
                <w:szCs w:val="16"/>
              </w:rPr>
              <w:t xml:space="preserve"> for this position</w:t>
            </w:r>
            <w:r w:rsidRPr="00C72DD8">
              <w:rPr>
                <w:rFonts w:ascii="Arial" w:eastAsia="Times New Roman" w:hAnsi="Arial" w:cs="Arial"/>
                <w:i/>
                <w:iCs/>
                <w:color w:val="FF0000"/>
                <w:sz w:val="16"/>
                <w:szCs w:val="16"/>
              </w:rPr>
              <w:t>)</w:t>
            </w:r>
          </w:p>
        </w:tc>
      </w:tr>
      <w:tr w:rsidR="00B403D4" w14:paraId="2A0426C5" w14:textId="77777777" w:rsidTr="1EF9CB93">
        <w:tc>
          <w:tcPr>
            <w:tcW w:w="4248" w:type="dxa"/>
            <w:shd w:val="clear" w:color="auto" w:fill="D0CECE" w:themeFill="background2" w:themeFillShade="E6"/>
          </w:tcPr>
          <w:p w14:paraId="5175DEBB" w14:textId="75216741" w:rsidR="00B403D4" w:rsidRPr="00162EE3" w:rsidRDefault="00074C21" w:rsidP="5C2A3380">
            <w:pPr>
              <w:rPr>
                <w:rFonts w:ascii="Arial" w:hAnsi="Arial" w:cs="Arial"/>
                <w:b/>
                <w:bCs/>
                <w:sz w:val="20"/>
                <w:szCs w:val="20"/>
              </w:rPr>
            </w:pPr>
            <w:r w:rsidRPr="1EF9CB93">
              <w:rPr>
                <w:b/>
                <w:bCs/>
              </w:rPr>
              <w:lastRenderedPageBreak/>
              <w:t xml:space="preserve">The position is financed by external funds:              </w:t>
            </w:r>
          </w:p>
        </w:tc>
        <w:tc>
          <w:tcPr>
            <w:tcW w:w="5148" w:type="dxa"/>
          </w:tcPr>
          <w:p w14:paraId="7BA4A7C3" w14:textId="77777777" w:rsidR="00074C21" w:rsidRDefault="00074C21" w:rsidP="00074C21">
            <w:pPr>
              <w:rPr>
                <w:b/>
                <w:bCs/>
              </w:rPr>
            </w:pPr>
            <w:r w:rsidRPr="1EF9CB93">
              <w:rPr>
                <w:b/>
                <w:bCs/>
              </w:rPr>
              <w:t>Yes   __                    No__</w:t>
            </w:r>
          </w:p>
          <w:p w14:paraId="76C4DF05" w14:textId="77777777" w:rsidR="00074C21" w:rsidRDefault="00074C21" w:rsidP="00074C21">
            <w:pPr>
              <w:rPr>
                <w:b/>
                <w:bCs/>
              </w:rPr>
            </w:pPr>
          </w:p>
          <w:p w14:paraId="79ACB454" w14:textId="77777777" w:rsidR="00074C21" w:rsidRDefault="00074C21" w:rsidP="00074C21">
            <w:pPr>
              <w:rPr>
                <w:b/>
                <w:bCs/>
              </w:rPr>
            </w:pPr>
            <w:r w:rsidRPr="1EF9CB93">
              <w:rPr>
                <w:b/>
                <w:bCs/>
              </w:rPr>
              <w:t>If yes:</w:t>
            </w:r>
          </w:p>
          <w:p w14:paraId="31EE9CDA" w14:textId="718F01E9" w:rsidR="00B403D4" w:rsidRPr="00B403D4" w:rsidRDefault="00347836" w:rsidP="00074C21">
            <w:pPr>
              <w:spacing w:line="259" w:lineRule="auto"/>
              <w:rPr>
                <w:rFonts w:ascii="Arial" w:hAnsi="Arial" w:cs="Arial"/>
                <w:sz w:val="20"/>
                <w:szCs w:val="20"/>
              </w:rPr>
            </w:pPr>
            <w:sdt>
              <w:sdtPr>
                <w:rPr>
                  <w:rFonts w:ascii="Times New Roman" w:eastAsia="Times New Roman" w:hAnsi="Times New Roman" w:cs="Times New Roman"/>
                  <w:sz w:val="24"/>
                  <w:szCs w:val="24"/>
                  <w:lang w:val="da-DK"/>
                </w:rPr>
                <w:alias w:val="Finansiering"/>
                <w:id w:val="332415305"/>
                <w:placeholder>
                  <w:docPart w:val="9667D6FB87BB4779A25AC9075C7D01B6"/>
                </w:placeholder>
              </w:sdtPr>
              <w:sdtEndPr>
                <w:rPr>
                  <w:rFonts w:ascii="Arial" w:hAnsi="Arial" w:cs="Arial"/>
                  <w:sz w:val="16"/>
                  <w:szCs w:val="16"/>
                </w:rPr>
              </w:sdtEndPr>
              <w:sdtContent>
                <w:r w:rsidR="00074C21" w:rsidRPr="1EF9CB93">
                  <w:rPr>
                    <w:rFonts w:ascii="Arial" w:eastAsia="Times New Roman" w:hAnsi="Arial" w:cs="Arial"/>
                    <w:sz w:val="16"/>
                    <w:szCs w:val="16"/>
                    <w:lang w:val="da-DK"/>
                  </w:rPr>
                  <w:t>Th</w:t>
                </w:r>
                <w:r w:rsidR="00074C21" w:rsidRPr="1EF9CB93">
                  <w:rPr>
                    <w:rFonts w:ascii="Arial" w:eastAsia="Times New Roman" w:hAnsi="Arial" w:cs="Arial"/>
                    <w:sz w:val="16"/>
                    <w:szCs w:val="16"/>
                  </w:rPr>
                  <w:t>e</w:t>
                </w:r>
                <w:r w:rsidR="00074C21" w:rsidRPr="1EF9CB93">
                  <w:rPr>
                    <w:rFonts w:ascii="Arial" w:eastAsia="Times New Roman" w:hAnsi="Arial" w:cs="Arial"/>
                    <w:sz w:val="16"/>
                    <w:szCs w:val="16"/>
                    <w:lang w:val="da-DK"/>
                  </w:rPr>
                  <w:t xml:space="preserve"> position is financed by external funds up to </w:t>
                </w:r>
                <w:r w:rsidR="00074C21" w:rsidRPr="00D74E82">
                  <w:rPr>
                    <w:rFonts w:ascii="Arial" w:eastAsia="Times New Roman" w:hAnsi="Arial" w:cs="Arial"/>
                    <w:color w:val="FF0000"/>
                    <w:sz w:val="16"/>
                    <w:szCs w:val="16"/>
                  </w:rPr>
                  <w:t>(date)</w:t>
                </w:r>
                <w:r w:rsidR="00074C21" w:rsidRPr="00D74E82">
                  <w:rPr>
                    <w:rFonts w:ascii="Arial" w:eastAsia="Times New Roman" w:hAnsi="Arial" w:cs="Arial"/>
                    <w:color w:val="FF0000"/>
                    <w:sz w:val="16"/>
                    <w:szCs w:val="16"/>
                    <w:lang w:val="da-DK"/>
                  </w:rPr>
                  <w:t xml:space="preserve">. </w:t>
                </w:r>
                <w:r w:rsidR="00074C21" w:rsidRPr="1EF9CB93">
                  <w:rPr>
                    <w:rFonts w:ascii="Arial" w:eastAsia="Times New Roman" w:hAnsi="Arial" w:cs="Arial"/>
                    <w:sz w:val="16"/>
                    <w:szCs w:val="16"/>
                    <w:lang w:val="da-DK"/>
                  </w:rPr>
                  <w:t>Please note that loss of external funding is considered equivalent to loss of work assignments; see § 19 (1) of the Public Employees Act. In the event of dismissal by the employer, the notice period is according to § 22 (1) of the Public Emplyees Act.</w:t>
                </w:r>
              </w:sdtContent>
            </w:sdt>
          </w:p>
        </w:tc>
      </w:tr>
      <w:tr w:rsidR="00E0115E" w14:paraId="0EA5395E" w14:textId="77777777" w:rsidTr="1EF9CB93">
        <w:tc>
          <w:tcPr>
            <w:tcW w:w="4248" w:type="dxa"/>
            <w:shd w:val="clear" w:color="auto" w:fill="D0CECE" w:themeFill="background2" w:themeFillShade="E6"/>
          </w:tcPr>
          <w:p w14:paraId="6C524C0B" w14:textId="77777777" w:rsidR="00A876D2" w:rsidRDefault="00A876D2" w:rsidP="00A876D2">
            <w:pPr>
              <w:rPr>
                <w:b/>
                <w:bCs/>
              </w:rPr>
            </w:pPr>
            <w:r w:rsidRPr="004F40AE">
              <w:rPr>
                <w:b/>
                <w:bCs/>
              </w:rPr>
              <w:t xml:space="preserve">Description of </w:t>
            </w:r>
            <w:r>
              <w:rPr>
                <w:b/>
                <w:bCs/>
              </w:rPr>
              <w:t>w</w:t>
            </w:r>
            <w:r w:rsidRPr="004F40AE">
              <w:rPr>
                <w:b/>
                <w:bCs/>
              </w:rPr>
              <w:t xml:space="preserve">ork tasks </w:t>
            </w:r>
          </w:p>
          <w:p w14:paraId="150F4183" w14:textId="6E65DEA8" w:rsidR="00D465AE" w:rsidRPr="0083310F" w:rsidRDefault="00A876D2" w:rsidP="00A876D2">
            <w:pPr>
              <w:rPr>
                <w:b/>
                <w:bCs/>
              </w:rPr>
            </w:pPr>
            <w:r>
              <w:rPr>
                <w:rFonts w:ascii="Arial" w:hAnsi="Arial" w:cs="Arial"/>
                <w:b/>
                <w:bCs/>
                <w:sz w:val="20"/>
                <w:szCs w:val="20"/>
              </w:rPr>
              <w:t>(changes may occur)</w:t>
            </w:r>
            <w:r w:rsidR="0083310F">
              <w:rPr>
                <w:rFonts w:ascii="Arial" w:hAnsi="Arial" w:cs="Arial"/>
                <w:b/>
                <w:bCs/>
                <w:sz w:val="20"/>
                <w:szCs w:val="20"/>
              </w:rPr>
              <w:t>:</w:t>
            </w:r>
          </w:p>
        </w:tc>
        <w:tc>
          <w:tcPr>
            <w:tcW w:w="5148" w:type="dxa"/>
          </w:tcPr>
          <w:p w14:paraId="64A4EFF9" w14:textId="77777777" w:rsidR="00E0115E" w:rsidRDefault="00E0115E"/>
          <w:p w14:paraId="097A5E8B" w14:textId="77777777" w:rsidR="00162EE3" w:rsidRDefault="00162EE3"/>
          <w:p w14:paraId="5C0EEDAD" w14:textId="77777777" w:rsidR="00162EE3" w:rsidRDefault="00162EE3"/>
          <w:p w14:paraId="5E03BE8D" w14:textId="77777777" w:rsidR="00162EE3" w:rsidRDefault="00162EE3"/>
          <w:p w14:paraId="0550FA76" w14:textId="43C0FF02" w:rsidR="00162EE3" w:rsidRDefault="00162EE3"/>
        </w:tc>
      </w:tr>
    </w:tbl>
    <w:p w14:paraId="1B6CC6A0" w14:textId="705B7683" w:rsidR="0083310F" w:rsidRDefault="0083310F" w:rsidP="0083310F">
      <w:pPr>
        <w:rPr>
          <w:rFonts w:ascii="Arial" w:hAnsi="Arial" w:cs="Arial"/>
          <w:b/>
          <w:bCs/>
        </w:rPr>
      </w:pPr>
      <w:r>
        <w:rPr>
          <w:rFonts w:ascii="Arial" w:hAnsi="Arial" w:cs="Arial"/>
          <w:b/>
          <w:bCs/>
        </w:rPr>
        <w:t>3</w:t>
      </w:r>
      <w:r>
        <w:tab/>
      </w:r>
      <w:r w:rsidRPr="1BD12834">
        <w:rPr>
          <w:rFonts w:ascii="Arial" w:hAnsi="Arial" w:cs="Arial"/>
          <w:b/>
          <w:bCs/>
        </w:rPr>
        <w:t>Trial-period and termination</w:t>
      </w:r>
    </w:p>
    <w:tbl>
      <w:tblPr>
        <w:tblStyle w:val="TableGrid1"/>
        <w:tblW w:w="0" w:type="auto"/>
        <w:tblLook w:val="04A0" w:firstRow="1" w:lastRow="0" w:firstColumn="1" w:lastColumn="0" w:noHBand="0" w:noVBand="1"/>
      </w:tblPr>
      <w:tblGrid>
        <w:gridCol w:w="4106"/>
        <w:gridCol w:w="5290"/>
      </w:tblGrid>
      <w:tr w:rsidR="0083310F" w:rsidRPr="00717F34" w14:paraId="63A2B666" w14:textId="77777777" w:rsidTr="00F30F7D">
        <w:trPr>
          <w:trHeight w:val="612"/>
        </w:trPr>
        <w:tc>
          <w:tcPr>
            <w:tcW w:w="4106" w:type="dxa"/>
            <w:shd w:val="clear" w:color="auto" w:fill="D0CECE" w:themeFill="background2" w:themeFillShade="E6"/>
          </w:tcPr>
          <w:p w14:paraId="370CA2B8" w14:textId="77777777" w:rsidR="0083310F" w:rsidRPr="00717F34" w:rsidRDefault="0083310F" w:rsidP="00F30F7D">
            <w:pPr>
              <w:rPr>
                <w:rFonts w:ascii="Arial" w:hAnsi="Arial" w:cs="Arial"/>
                <w:b/>
                <w:sz w:val="20"/>
                <w:szCs w:val="20"/>
              </w:rPr>
            </w:pPr>
            <w:r>
              <w:rPr>
                <w:rFonts w:ascii="Arial" w:hAnsi="Arial" w:cs="Arial"/>
                <w:b/>
                <w:sz w:val="20"/>
                <w:szCs w:val="20"/>
              </w:rPr>
              <w:t>Duration of trial-</w:t>
            </w:r>
            <w:r w:rsidRPr="00717F34">
              <w:rPr>
                <w:rFonts w:ascii="Arial" w:hAnsi="Arial" w:cs="Arial"/>
                <w:b/>
                <w:sz w:val="20"/>
                <w:szCs w:val="20"/>
              </w:rPr>
              <w:t>period</w:t>
            </w:r>
          </w:p>
        </w:tc>
        <w:tc>
          <w:tcPr>
            <w:tcW w:w="5290" w:type="dxa"/>
          </w:tcPr>
          <w:p w14:paraId="7ACB4854" w14:textId="77777777" w:rsidR="0083310F" w:rsidRPr="007C6785" w:rsidRDefault="0083310F" w:rsidP="00DC4673">
            <w:pPr>
              <w:rPr>
                <w:rFonts w:ascii="Arial" w:hAnsi="Arial" w:cs="Arial"/>
                <w:color w:val="4D4D4D"/>
                <w:w w:val="105"/>
                <w:sz w:val="16"/>
                <w:szCs w:val="16"/>
              </w:rPr>
            </w:pPr>
            <w:r w:rsidRPr="00717F34">
              <w:rPr>
                <w:rFonts w:ascii="Arial" w:hAnsi="Arial" w:cs="Arial"/>
                <w:color w:val="282828"/>
                <w:w w:val="105"/>
                <w:sz w:val="16"/>
                <w:szCs w:val="16"/>
              </w:rPr>
              <w:t>The provisions of section 15 of the Public empl</w:t>
            </w:r>
            <w:r>
              <w:rPr>
                <w:rFonts w:ascii="Arial" w:hAnsi="Arial" w:cs="Arial"/>
                <w:color w:val="282828"/>
                <w:w w:val="105"/>
                <w:sz w:val="16"/>
                <w:szCs w:val="16"/>
              </w:rPr>
              <w:t>oyee Act concerning probationary</w:t>
            </w:r>
            <w:r w:rsidRPr="00717F34">
              <w:rPr>
                <w:rFonts w:ascii="Arial" w:hAnsi="Arial" w:cs="Arial"/>
                <w:color w:val="282828"/>
                <w:w w:val="105"/>
                <w:sz w:val="16"/>
                <w:szCs w:val="16"/>
              </w:rPr>
              <w:t xml:space="preserve"> period apply</w:t>
            </w:r>
            <w:r w:rsidRPr="00717F34">
              <w:rPr>
                <w:rFonts w:ascii="Arial" w:hAnsi="Arial" w:cs="Arial"/>
                <w:color w:val="4D4D4D"/>
                <w:w w:val="105"/>
                <w:sz w:val="16"/>
                <w:szCs w:val="16"/>
              </w:rPr>
              <w:t xml:space="preserve">. </w:t>
            </w:r>
            <w:r w:rsidRPr="00717F34">
              <w:rPr>
                <w:rFonts w:ascii="Arial" w:hAnsi="Arial" w:cs="Arial"/>
                <w:color w:val="282828"/>
                <w:w w:val="105"/>
                <w:sz w:val="16"/>
                <w:szCs w:val="16"/>
              </w:rPr>
              <w:t xml:space="preserve">The probationary period is 6 months from appointment. </w:t>
            </w:r>
          </w:p>
        </w:tc>
      </w:tr>
      <w:tr w:rsidR="0083310F" w:rsidRPr="00717F34" w14:paraId="50EBEED6" w14:textId="77777777" w:rsidTr="00F30F7D">
        <w:tc>
          <w:tcPr>
            <w:tcW w:w="4106" w:type="dxa"/>
            <w:shd w:val="clear" w:color="auto" w:fill="D0CECE" w:themeFill="background2" w:themeFillShade="E6"/>
          </w:tcPr>
          <w:p w14:paraId="743C58DE" w14:textId="77777777" w:rsidR="0083310F" w:rsidRPr="00717F34" w:rsidRDefault="0083310F" w:rsidP="00F30F7D">
            <w:pPr>
              <w:rPr>
                <w:rFonts w:ascii="Arial" w:hAnsi="Arial" w:cs="Arial"/>
                <w:b/>
                <w:sz w:val="20"/>
                <w:szCs w:val="20"/>
              </w:rPr>
            </w:pPr>
            <w:r w:rsidRPr="00717F34">
              <w:rPr>
                <w:rFonts w:ascii="Arial" w:hAnsi="Arial" w:cs="Arial"/>
                <w:b/>
                <w:sz w:val="20"/>
                <w:szCs w:val="20"/>
              </w:rPr>
              <w:t>Termination of employment</w:t>
            </w:r>
          </w:p>
        </w:tc>
        <w:tc>
          <w:tcPr>
            <w:tcW w:w="5290" w:type="dxa"/>
          </w:tcPr>
          <w:p w14:paraId="4A2A397B" w14:textId="32879AEF" w:rsidR="0083310F" w:rsidRPr="00717F34" w:rsidRDefault="0083310F" w:rsidP="00F30F7D">
            <w:pPr>
              <w:rPr>
                <w:rFonts w:ascii="Arial" w:hAnsi="Arial" w:cs="Arial"/>
                <w:color w:val="282828"/>
                <w:w w:val="105"/>
                <w:sz w:val="16"/>
                <w:szCs w:val="16"/>
              </w:rPr>
            </w:pPr>
            <w:r>
              <w:rPr>
                <w:rFonts w:ascii="Arial" w:hAnsi="Arial" w:cs="Arial"/>
                <w:color w:val="282828"/>
                <w:w w:val="105"/>
                <w:sz w:val="16"/>
                <w:szCs w:val="16"/>
              </w:rPr>
              <w:t xml:space="preserve">Termination of the employment </w:t>
            </w:r>
            <w:proofErr w:type="spellStart"/>
            <w:r>
              <w:rPr>
                <w:rFonts w:ascii="Arial" w:hAnsi="Arial" w:cs="Arial"/>
                <w:color w:val="282828"/>
                <w:w w:val="105"/>
                <w:sz w:val="16"/>
                <w:szCs w:val="16"/>
              </w:rPr>
              <w:t>realtionship</w:t>
            </w:r>
            <w:proofErr w:type="spellEnd"/>
            <w:r>
              <w:rPr>
                <w:rFonts w:ascii="Arial" w:hAnsi="Arial" w:cs="Arial"/>
                <w:color w:val="282828"/>
                <w:w w:val="105"/>
                <w:sz w:val="16"/>
                <w:szCs w:val="16"/>
              </w:rPr>
              <w:t xml:space="preserve"> is governed by § 19-21 of the Public Employees Act</w:t>
            </w:r>
            <w:r w:rsidR="009B541C" w:rsidRPr="009B541C">
              <w:rPr>
                <w:rFonts w:ascii="Arial" w:hAnsi="Arial" w:cs="Arial"/>
                <w:color w:val="282828"/>
                <w:w w:val="105"/>
                <w:sz w:val="16"/>
                <w:szCs w:val="16"/>
              </w:rPr>
              <w:t>.</w:t>
            </w:r>
            <w:r>
              <w:rPr>
                <w:rFonts w:ascii="Arial" w:hAnsi="Arial" w:cs="Arial"/>
                <w:color w:val="282828"/>
                <w:w w:val="105"/>
                <w:sz w:val="16"/>
                <w:szCs w:val="16"/>
              </w:rPr>
              <w:t xml:space="preserve"> Notice periods apply in accordance with § 22 of the Public Employees Act.</w:t>
            </w:r>
          </w:p>
        </w:tc>
      </w:tr>
    </w:tbl>
    <w:p w14:paraId="7027EE58" w14:textId="149A4EC7" w:rsidR="001C45B7" w:rsidRPr="001C45B7" w:rsidRDefault="0083310F">
      <w:pPr>
        <w:rPr>
          <w:rFonts w:ascii="Arial" w:hAnsi="Arial" w:cs="Arial"/>
          <w:b/>
        </w:rPr>
      </w:pPr>
      <w:r>
        <w:rPr>
          <w:rFonts w:ascii="Arial" w:hAnsi="Arial" w:cs="Arial"/>
          <w:b/>
        </w:rPr>
        <w:t>4</w:t>
      </w:r>
      <w:r w:rsidR="001C45B7">
        <w:rPr>
          <w:rFonts w:ascii="Arial" w:hAnsi="Arial" w:cs="Arial"/>
          <w:b/>
        </w:rPr>
        <w:tab/>
      </w:r>
      <w:r w:rsidR="001C45B7" w:rsidRPr="001C45B7">
        <w:rPr>
          <w:rFonts w:ascii="Arial" w:hAnsi="Arial" w:cs="Arial"/>
          <w:b/>
        </w:rPr>
        <w:t>Remuneration</w:t>
      </w:r>
    </w:p>
    <w:tbl>
      <w:tblPr>
        <w:tblStyle w:val="Tabellrutenett"/>
        <w:tblW w:w="0" w:type="auto"/>
        <w:tblLook w:val="04A0" w:firstRow="1" w:lastRow="0" w:firstColumn="1" w:lastColumn="0" w:noHBand="0" w:noVBand="1"/>
      </w:tblPr>
      <w:tblGrid>
        <w:gridCol w:w="4248"/>
        <w:gridCol w:w="5148"/>
      </w:tblGrid>
      <w:tr w:rsidR="001C45B7" w14:paraId="12DD7DD8" w14:textId="77777777" w:rsidTr="282D83FD">
        <w:tc>
          <w:tcPr>
            <w:tcW w:w="4248" w:type="dxa"/>
            <w:shd w:val="clear" w:color="auto" w:fill="D0CECE" w:themeFill="background2" w:themeFillShade="E6"/>
          </w:tcPr>
          <w:p w14:paraId="46EFA14D" w14:textId="77777777" w:rsidR="001C45B7" w:rsidRPr="001C45B7" w:rsidRDefault="001C45B7" w:rsidP="002116B5">
            <w:pPr>
              <w:rPr>
                <w:rFonts w:ascii="Arial" w:hAnsi="Arial" w:cs="Arial"/>
                <w:b/>
                <w:sz w:val="20"/>
                <w:szCs w:val="20"/>
              </w:rPr>
            </w:pPr>
            <w:r w:rsidRPr="001C45B7">
              <w:rPr>
                <w:rFonts w:ascii="Arial" w:hAnsi="Arial" w:cs="Arial"/>
                <w:b/>
                <w:sz w:val="20"/>
                <w:szCs w:val="20"/>
              </w:rPr>
              <w:t>General pay conditions</w:t>
            </w:r>
          </w:p>
        </w:tc>
        <w:tc>
          <w:tcPr>
            <w:tcW w:w="5148" w:type="dxa"/>
          </w:tcPr>
          <w:p w14:paraId="720BE036" w14:textId="239D9902" w:rsidR="00DB6160" w:rsidRDefault="00DB6160" w:rsidP="000C71A3">
            <w:pPr>
              <w:rPr>
                <w:rFonts w:ascii="Arial" w:hAnsi="Arial" w:cs="Arial"/>
                <w:sz w:val="16"/>
                <w:szCs w:val="16"/>
                <w:lang w:val="nb-NO"/>
              </w:rPr>
            </w:pPr>
            <w:proofErr w:type="spellStart"/>
            <w:r w:rsidRPr="00A362B4">
              <w:rPr>
                <w:rFonts w:ascii="Arial" w:hAnsi="Arial" w:cs="Arial"/>
                <w:sz w:val="16"/>
                <w:szCs w:val="16"/>
                <w:lang w:val="nb-NO"/>
              </w:rPr>
              <w:t>Annual</w:t>
            </w:r>
            <w:proofErr w:type="spellEnd"/>
            <w:r w:rsidRPr="00A362B4">
              <w:rPr>
                <w:rFonts w:ascii="Arial" w:hAnsi="Arial" w:cs="Arial"/>
                <w:sz w:val="16"/>
                <w:szCs w:val="16"/>
                <w:lang w:val="nb-NO"/>
              </w:rPr>
              <w:t xml:space="preserve"> </w:t>
            </w:r>
            <w:proofErr w:type="spellStart"/>
            <w:r w:rsidRPr="00A362B4">
              <w:rPr>
                <w:rFonts w:ascii="Arial" w:hAnsi="Arial" w:cs="Arial"/>
                <w:sz w:val="16"/>
                <w:szCs w:val="16"/>
                <w:lang w:val="nb-NO"/>
              </w:rPr>
              <w:t>salary</w:t>
            </w:r>
            <w:proofErr w:type="spellEnd"/>
            <w:r w:rsidRPr="00A362B4">
              <w:rPr>
                <w:rFonts w:ascii="Arial" w:hAnsi="Arial" w:cs="Arial"/>
                <w:sz w:val="16"/>
                <w:szCs w:val="16"/>
                <w:lang w:val="nb-NO"/>
              </w:rPr>
              <w:t>:</w:t>
            </w:r>
            <w:r w:rsidR="00E87048" w:rsidRPr="00A632D7">
              <w:rPr>
                <w:rFonts w:ascii="Arial" w:hAnsi="Arial" w:cs="Arial"/>
                <w:color w:val="FF0000"/>
                <w:sz w:val="16"/>
                <w:szCs w:val="16"/>
                <w:lang w:val="nb-NO"/>
              </w:rPr>
              <w:t xml:space="preserve"> [sett inn årslønn på aktuelt lønnstrinn]</w:t>
            </w:r>
          </w:p>
          <w:p w14:paraId="14863930" w14:textId="77777777" w:rsidR="000C71A3" w:rsidRPr="007A2C5A" w:rsidRDefault="000C71A3" w:rsidP="000C71A3">
            <w:pPr>
              <w:jc w:val="both"/>
              <w:rPr>
                <w:rFonts w:ascii="Arial" w:hAnsi="Arial" w:cs="Arial"/>
                <w:sz w:val="16"/>
                <w:szCs w:val="16"/>
                <w:lang w:val="nb-NO"/>
              </w:rPr>
            </w:pPr>
          </w:p>
          <w:p w14:paraId="0E59E9DC" w14:textId="19315493" w:rsidR="002B6418" w:rsidRPr="002B6418" w:rsidRDefault="002B6418" w:rsidP="000C71A3">
            <w:pPr>
              <w:jc w:val="both"/>
              <w:rPr>
                <w:rFonts w:ascii="Arial" w:hAnsi="Arial" w:cs="Arial"/>
                <w:sz w:val="16"/>
                <w:szCs w:val="16"/>
              </w:rPr>
            </w:pPr>
            <w:r>
              <w:rPr>
                <w:rFonts w:ascii="Arial" w:hAnsi="Arial" w:cs="Arial"/>
                <w:sz w:val="16"/>
                <w:szCs w:val="16"/>
              </w:rPr>
              <w:t>A</w:t>
            </w:r>
            <w:r w:rsidR="00DC4673" w:rsidRPr="00DC4673">
              <w:rPr>
                <w:rFonts w:ascii="Arial" w:hAnsi="Arial" w:cs="Arial"/>
                <w:sz w:val="16"/>
                <w:szCs w:val="16"/>
              </w:rPr>
              <w:t xml:space="preserve"> </w:t>
            </w:r>
            <w:r>
              <w:rPr>
                <w:rFonts w:ascii="Arial" w:hAnsi="Arial" w:cs="Arial"/>
                <w:sz w:val="16"/>
                <w:szCs w:val="16"/>
              </w:rPr>
              <w:t>deduction</w:t>
            </w:r>
            <w:r w:rsidR="000C71A3">
              <w:rPr>
                <w:rFonts w:ascii="Arial" w:hAnsi="Arial" w:cs="Arial"/>
                <w:sz w:val="16"/>
                <w:szCs w:val="16"/>
              </w:rPr>
              <w:t xml:space="preserve"> </w:t>
            </w:r>
            <w:r w:rsidR="0018662C">
              <w:rPr>
                <w:rFonts w:ascii="Arial" w:hAnsi="Arial" w:cs="Arial"/>
                <w:sz w:val="16"/>
                <w:szCs w:val="16"/>
              </w:rPr>
              <w:t xml:space="preserve">is made for </w:t>
            </w:r>
            <w:r w:rsidRPr="002B6418">
              <w:rPr>
                <w:rFonts w:ascii="Arial" w:hAnsi="Arial" w:cs="Arial"/>
                <w:sz w:val="16"/>
                <w:szCs w:val="16"/>
              </w:rPr>
              <w:t xml:space="preserve">organizational development initiatives, currently NOK 400 per year for a 100% position. </w:t>
            </w:r>
          </w:p>
          <w:p w14:paraId="2A6D4C5A" w14:textId="77777777" w:rsidR="002B6418" w:rsidRPr="002B6418" w:rsidRDefault="002B6418" w:rsidP="000C71A3">
            <w:pPr>
              <w:pStyle w:val="Listeavsnitt"/>
              <w:ind w:left="445"/>
              <w:jc w:val="both"/>
              <w:rPr>
                <w:rFonts w:ascii="Arial" w:hAnsi="Arial" w:cs="Arial"/>
                <w:sz w:val="16"/>
                <w:szCs w:val="16"/>
              </w:rPr>
            </w:pPr>
          </w:p>
          <w:p w14:paraId="3E16F1B6" w14:textId="77777777" w:rsidR="002B6418" w:rsidRPr="002B6418" w:rsidRDefault="002B6418" w:rsidP="000C71A3">
            <w:pPr>
              <w:jc w:val="both"/>
              <w:rPr>
                <w:rFonts w:ascii="Arial" w:hAnsi="Arial" w:cs="Arial"/>
                <w:sz w:val="16"/>
                <w:szCs w:val="16"/>
              </w:rPr>
            </w:pPr>
            <w:r w:rsidRPr="002B6418">
              <w:rPr>
                <w:rFonts w:ascii="Arial" w:hAnsi="Arial" w:cs="Arial"/>
                <w:sz w:val="16"/>
                <w:szCs w:val="16"/>
              </w:rPr>
              <w:t>If an incorrect salary payment has been made, the employer may in a later salary payment make the adjustment necessary to correct the error, see § 14-15 of the Working Environment Act. The employee must be notified and given the opportunity to comment before any deduction is made. The employee has a duty to check that the salary is correct and must report any errors immediately.</w:t>
            </w:r>
          </w:p>
          <w:p w14:paraId="0C401E77" w14:textId="5BFD96D4" w:rsidR="00A26DC5" w:rsidRPr="00873EA2" w:rsidRDefault="00A26DC5" w:rsidP="00873EA2">
            <w:pPr>
              <w:spacing w:line="360" w:lineRule="auto"/>
              <w:rPr>
                <w:rFonts w:ascii="Arial" w:hAnsi="Arial" w:cs="Arial"/>
                <w:color w:val="282828"/>
                <w:w w:val="105"/>
                <w:sz w:val="16"/>
                <w:szCs w:val="16"/>
              </w:rPr>
            </w:pPr>
            <w:r>
              <w:rPr>
                <w:rFonts w:ascii="Arial" w:hAnsi="Arial" w:cs="Arial"/>
                <w:color w:val="282828"/>
                <w:w w:val="105"/>
                <w:sz w:val="16"/>
                <w:szCs w:val="16"/>
              </w:rPr>
              <w:t xml:space="preserve"> </w:t>
            </w:r>
          </w:p>
        </w:tc>
      </w:tr>
      <w:tr w:rsidR="001C45B7" w14:paraId="02B07402" w14:textId="77777777" w:rsidTr="282D83FD">
        <w:tc>
          <w:tcPr>
            <w:tcW w:w="4248" w:type="dxa"/>
            <w:shd w:val="clear" w:color="auto" w:fill="D0CECE" w:themeFill="background2" w:themeFillShade="E6"/>
          </w:tcPr>
          <w:p w14:paraId="56318D4D" w14:textId="77777777" w:rsidR="001C45B7" w:rsidRPr="001C45B7" w:rsidRDefault="001C45B7" w:rsidP="002116B5">
            <w:pPr>
              <w:rPr>
                <w:rFonts w:ascii="Arial" w:hAnsi="Arial" w:cs="Arial"/>
                <w:b/>
                <w:sz w:val="20"/>
                <w:szCs w:val="20"/>
              </w:rPr>
            </w:pPr>
            <w:r w:rsidRPr="001C45B7">
              <w:rPr>
                <w:rFonts w:ascii="Arial" w:hAnsi="Arial" w:cs="Arial"/>
                <w:b/>
                <w:sz w:val="20"/>
                <w:szCs w:val="20"/>
              </w:rPr>
              <w:t>Pay date</w:t>
            </w:r>
          </w:p>
        </w:tc>
        <w:tc>
          <w:tcPr>
            <w:tcW w:w="5148" w:type="dxa"/>
          </w:tcPr>
          <w:p w14:paraId="4606A7E7" w14:textId="77777777" w:rsidR="001C45B7" w:rsidRDefault="001C45B7" w:rsidP="002116B5">
            <w:pPr>
              <w:rPr>
                <w:rFonts w:ascii="Arial" w:hAnsi="Arial" w:cs="Arial"/>
                <w:sz w:val="16"/>
                <w:szCs w:val="16"/>
              </w:rPr>
            </w:pPr>
            <w:r w:rsidRPr="001C45B7">
              <w:rPr>
                <w:rFonts w:ascii="Arial" w:hAnsi="Arial" w:cs="Arial"/>
                <w:sz w:val="16"/>
                <w:szCs w:val="16"/>
              </w:rPr>
              <w:t>12</w:t>
            </w:r>
            <w:r w:rsidRPr="001C45B7">
              <w:rPr>
                <w:rFonts w:ascii="Arial" w:hAnsi="Arial" w:cs="Arial"/>
                <w:sz w:val="16"/>
                <w:szCs w:val="16"/>
                <w:vertAlign w:val="superscript"/>
              </w:rPr>
              <w:t>th</w:t>
            </w:r>
            <w:r w:rsidRPr="001C45B7">
              <w:rPr>
                <w:rFonts w:ascii="Arial" w:hAnsi="Arial" w:cs="Arial"/>
                <w:sz w:val="16"/>
                <w:szCs w:val="16"/>
              </w:rPr>
              <w:t xml:space="preserve"> of every month.</w:t>
            </w:r>
          </w:p>
          <w:p w14:paraId="08641619" w14:textId="77777777" w:rsidR="001C45B7" w:rsidRPr="001C45B7" w:rsidRDefault="001C45B7" w:rsidP="002116B5">
            <w:pPr>
              <w:rPr>
                <w:rFonts w:ascii="Arial" w:hAnsi="Arial" w:cs="Arial"/>
                <w:sz w:val="16"/>
                <w:szCs w:val="16"/>
                <w:highlight w:val="yellow"/>
              </w:rPr>
            </w:pPr>
          </w:p>
        </w:tc>
      </w:tr>
      <w:tr w:rsidR="001C45B7" w14:paraId="416D3392" w14:textId="77777777" w:rsidTr="282D83FD">
        <w:tc>
          <w:tcPr>
            <w:tcW w:w="4248" w:type="dxa"/>
            <w:shd w:val="clear" w:color="auto" w:fill="D0CECE" w:themeFill="background2" w:themeFillShade="E6"/>
          </w:tcPr>
          <w:p w14:paraId="7E602F85" w14:textId="77777777" w:rsidR="001C45B7" w:rsidRPr="001C45B7" w:rsidRDefault="001C45B7" w:rsidP="002116B5">
            <w:pPr>
              <w:rPr>
                <w:rFonts w:ascii="Arial" w:hAnsi="Arial" w:cs="Arial"/>
                <w:b/>
                <w:sz w:val="20"/>
                <w:szCs w:val="20"/>
              </w:rPr>
            </w:pPr>
            <w:r w:rsidRPr="001C45B7">
              <w:rPr>
                <w:rFonts w:ascii="Arial" w:hAnsi="Arial" w:cs="Arial"/>
                <w:b/>
                <w:sz w:val="20"/>
                <w:szCs w:val="20"/>
              </w:rPr>
              <w:t>Currency</w:t>
            </w:r>
          </w:p>
        </w:tc>
        <w:tc>
          <w:tcPr>
            <w:tcW w:w="5148" w:type="dxa"/>
          </w:tcPr>
          <w:p w14:paraId="2358E308" w14:textId="5DDA7868" w:rsidR="001C45B7" w:rsidRDefault="00A9300D" w:rsidP="001C45B7">
            <w:pPr>
              <w:rPr>
                <w:rFonts w:ascii="Arial" w:hAnsi="Arial" w:cs="Arial"/>
                <w:sz w:val="16"/>
                <w:szCs w:val="16"/>
              </w:rPr>
            </w:pPr>
            <w:r w:rsidRPr="00A9300D">
              <w:rPr>
                <w:rFonts w:ascii="Arial" w:hAnsi="Arial" w:cs="Arial"/>
                <w:sz w:val="16"/>
                <w:szCs w:val="16"/>
              </w:rPr>
              <w:t>The employee's salary will be disbursed in the following currency</w:t>
            </w:r>
            <w:r>
              <w:rPr>
                <w:rFonts w:ascii="Arial" w:hAnsi="Arial" w:cs="Arial"/>
                <w:sz w:val="16"/>
                <w:szCs w:val="16"/>
              </w:rPr>
              <w:t>:</w:t>
            </w:r>
          </w:p>
          <w:p w14:paraId="240A7D14" w14:textId="77777777" w:rsidR="001C45B7" w:rsidRPr="001C45B7" w:rsidRDefault="001C45B7" w:rsidP="001C45B7">
            <w:pPr>
              <w:rPr>
                <w:rFonts w:ascii="Arial" w:hAnsi="Arial" w:cs="Arial"/>
                <w:sz w:val="16"/>
                <w:szCs w:val="16"/>
                <w:highlight w:val="yellow"/>
              </w:rPr>
            </w:pPr>
          </w:p>
        </w:tc>
      </w:tr>
    </w:tbl>
    <w:p w14:paraId="1CBBDF39" w14:textId="13996BEE" w:rsidR="00855633" w:rsidRDefault="0083310F">
      <w:pPr>
        <w:rPr>
          <w:rFonts w:ascii="Arial" w:hAnsi="Arial" w:cs="Arial"/>
          <w:b/>
          <w:bCs/>
        </w:rPr>
      </w:pPr>
      <w:r>
        <w:rPr>
          <w:rFonts w:ascii="Arial" w:hAnsi="Arial" w:cs="Arial"/>
          <w:b/>
          <w:bCs/>
        </w:rPr>
        <w:t>5</w:t>
      </w:r>
      <w:r w:rsidR="00855633" w:rsidRPr="00855633">
        <w:rPr>
          <w:rFonts w:ascii="Arial" w:hAnsi="Arial" w:cs="Arial"/>
          <w:b/>
          <w:bCs/>
        </w:rPr>
        <w:t xml:space="preserve">          Bank information</w:t>
      </w:r>
    </w:p>
    <w:tbl>
      <w:tblPr>
        <w:tblStyle w:val="Tabellrutenett"/>
        <w:tblW w:w="0" w:type="auto"/>
        <w:tblLook w:val="04A0" w:firstRow="1" w:lastRow="0" w:firstColumn="1" w:lastColumn="0" w:noHBand="0" w:noVBand="1"/>
      </w:tblPr>
      <w:tblGrid>
        <w:gridCol w:w="4698"/>
        <w:gridCol w:w="4698"/>
      </w:tblGrid>
      <w:tr w:rsidR="00C62D38" w14:paraId="4BF72580" w14:textId="77777777" w:rsidTr="00C62D38">
        <w:tc>
          <w:tcPr>
            <w:tcW w:w="4698" w:type="dxa"/>
            <w:shd w:val="clear" w:color="auto" w:fill="D0CECE" w:themeFill="background2" w:themeFillShade="E6"/>
          </w:tcPr>
          <w:p w14:paraId="67CC61FD" w14:textId="4960A285" w:rsidR="00C62D38" w:rsidRPr="00C62D38" w:rsidRDefault="00C62D38">
            <w:pPr>
              <w:rPr>
                <w:rFonts w:ascii="Arial" w:hAnsi="Arial" w:cs="Arial"/>
                <w:b/>
                <w:bCs/>
                <w:sz w:val="20"/>
                <w:szCs w:val="20"/>
              </w:rPr>
            </w:pPr>
            <w:r w:rsidRPr="00C62D38">
              <w:rPr>
                <w:rFonts w:ascii="Arial" w:hAnsi="Arial" w:cs="Arial"/>
                <w:b/>
                <w:bCs/>
                <w:sz w:val="20"/>
                <w:szCs w:val="20"/>
              </w:rPr>
              <w:t>Name of the bank</w:t>
            </w:r>
          </w:p>
        </w:tc>
        <w:tc>
          <w:tcPr>
            <w:tcW w:w="4698" w:type="dxa"/>
            <w:shd w:val="clear" w:color="auto" w:fill="D0CECE" w:themeFill="background2" w:themeFillShade="E6"/>
          </w:tcPr>
          <w:p w14:paraId="26D81DAC" w14:textId="0EEECEEB" w:rsidR="00C62D38" w:rsidRPr="00C62D38" w:rsidRDefault="00C62D38">
            <w:pPr>
              <w:rPr>
                <w:rFonts w:ascii="Arial" w:hAnsi="Arial" w:cs="Arial"/>
                <w:b/>
                <w:bCs/>
                <w:sz w:val="20"/>
                <w:szCs w:val="20"/>
              </w:rPr>
            </w:pPr>
            <w:r w:rsidRPr="00C62D38">
              <w:rPr>
                <w:rFonts w:ascii="Arial" w:hAnsi="Arial" w:cs="Arial"/>
                <w:b/>
                <w:bCs/>
                <w:sz w:val="20"/>
                <w:szCs w:val="20"/>
              </w:rPr>
              <w:t>Bank account number</w:t>
            </w:r>
          </w:p>
        </w:tc>
      </w:tr>
      <w:tr w:rsidR="00C62D38" w14:paraId="357EE7E2" w14:textId="77777777" w:rsidTr="00C62D38">
        <w:tc>
          <w:tcPr>
            <w:tcW w:w="4698" w:type="dxa"/>
          </w:tcPr>
          <w:p w14:paraId="63668D6B" w14:textId="77777777" w:rsidR="00C62D38" w:rsidRDefault="00C62D38">
            <w:pPr>
              <w:rPr>
                <w:rFonts w:ascii="Arial" w:hAnsi="Arial" w:cs="Arial"/>
                <w:b/>
                <w:bCs/>
              </w:rPr>
            </w:pPr>
          </w:p>
        </w:tc>
        <w:tc>
          <w:tcPr>
            <w:tcW w:w="4698" w:type="dxa"/>
          </w:tcPr>
          <w:p w14:paraId="704C2D9E" w14:textId="77777777" w:rsidR="00C62D38" w:rsidRDefault="00C62D38">
            <w:pPr>
              <w:rPr>
                <w:rFonts w:ascii="Arial" w:hAnsi="Arial" w:cs="Arial"/>
                <w:b/>
                <w:bCs/>
              </w:rPr>
            </w:pPr>
          </w:p>
        </w:tc>
      </w:tr>
      <w:tr w:rsidR="00C62D38" w14:paraId="71513EFA" w14:textId="77777777" w:rsidTr="002C1726">
        <w:tc>
          <w:tcPr>
            <w:tcW w:w="4698" w:type="dxa"/>
            <w:shd w:val="clear" w:color="auto" w:fill="D0CECE" w:themeFill="background2" w:themeFillShade="E6"/>
          </w:tcPr>
          <w:p w14:paraId="0D975A72" w14:textId="74B45A38" w:rsidR="002C1726" w:rsidRPr="00C62D38" w:rsidRDefault="00C62D38">
            <w:pPr>
              <w:rPr>
                <w:rFonts w:ascii="Arial" w:hAnsi="Arial" w:cs="Arial"/>
                <w:b/>
                <w:bCs/>
              </w:rPr>
            </w:pPr>
            <w:r>
              <w:rPr>
                <w:rFonts w:ascii="Arial" w:hAnsi="Arial" w:cs="Arial"/>
                <w:b/>
                <w:bCs/>
              </w:rPr>
              <w:t>IBAN-code</w:t>
            </w:r>
            <w:r w:rsidR="002C1726">
              <w:rPr>
                <w:rFonts w:ascii="Arial" w:hAnsi="Arial" w:cs="Arial"/>
                <w:b/>
                <w:bCs/>
              </w:rPr>
              <w:t xml:space="preserve"> (for countries with IBAN code)</w:t>
            </w:r>
          </w:p>
        </w:tc>
        <w:tc>
          <w:tcPr>
            <w:tcW w:w="4698" w:type="dxa"/>
            <w:shd w:val="clear" w:color="auto" w:fill="D0CECE" w:themeFill="background2" w:themeFillShade="E6"/>
          </w:tcPr>
          <w:p w14:paraId="027583E3" w14:textId="6B693011" w:rsidR="00C62D38" w:rsidRPr="002C1726" w:rsidRDefault="002C1726">
            <w:pPr>
              <w:rPr>
                <w:rFonts w:ascii="Arial" w:hAnsi="Arial" w:cs="Arial"/>
                <w:b/>
                <w:bCs/>
              </w:rPr>
            </w:pPr>
            <w:r>
              <w:rPr>
                <w:rFonts w:ascii="Arial" w:hAnsi="Arial" w:cs="Arial"/>
                <w:b/>
                <w:bCs/>
              </w:rPr>
              <w:t xml:space="preserve">BIC </w:t>
            </w:r>
            <w:proofErr w:type="spellStart"/>
            <w:r>
              <w:rPr>
                <w:rFonts w:ascii="Arial" w:hAnsi="Arial" w:cs="Arial"/>
                <w:b/>
                <w:bCs/>
              </w:rPr>
              <w:t>adress</w:t>
            </w:r>
            <w:proofErr w:type="spellEnd"/>
            <w:r>
              <w:rPr>
                <w:rFonts w:ascii="Arial" w:hAnsi="Arial" w:cs="Arial"/>
                <w:b/>
                <w:bCs/>
              </w:rPr>
              <w:t xml:space="preserve"> (swift-code) (8 or 11 digits)</w:t>
            </w:r>
          </w:p>
        </w:tc>
      </w:tr>
      <w:tr w:rsidR="002C1726" w14:paraId="0A38E367" w14:textId="77777777" w:rsidTr="002C1726">
        <w:tc>
          <w:tcPr>
            <w:tcW w:w="4698" w:type="dxa"/>
            <w:shd w:val="clear" w:color="auto" w:fill="auto"/>
          </w:tcPr>
          <w:p w14:paraId="69BD6358" w14:textId="77777777" w:rsidR="002C1726" w:rsidRDefault="002C1726">
            <w:pPr>
              <w:rPr>
                <w:rFonts w:ascii="Arial" w:hAnsi="Arial" w:cs="Arial"/>
                <w:b/>
                <w:bCs/>
              </w:rPr>
            </w:pPr>
          </w:p>
        </w:tc>
        <w:tc>
          <w:tcPr>
            <w:tcW w:w="4698" w:type="dxa"/>
            <w:shd w:val="clear" w:color="auto" w:fill="auto"/>
          </w:tcPr>
          <w:p w14:paraId="21991EA2" w14:textId="77777777" w:rsidR="002C1726" w:rsidRDefault="002C1726">
            <w:pPr>
              <w:rPr>
                <w:rFonts w:ascii="Arial" w:hAnsi="Arial" w:cs="Arial"/>
                <w:b/>
                <w:bCs/>
              </w:rPr>
            </w:pPr>
          </w:p>
        </w:tc>
      </w:tr>
      <w:tr w:rsidR="002C1726" w14:paraId="0799DC68" w14:textId="77777777" w:rsidTr="002C1726">
        <w:tc>
          <w:tcPr>
            <w:tcW w:w="4698" w:type="dxa"/>
            <w:shd w:val="clear" w:color="auto" w:fill="D0CECE" w:themeFill="background2" w:themeFillShade="E6"/>
          </w:tcPr>
          <w:p w14:paraId="3AD2C23A" w14:textId="0D4AEDC5" w:rsidR="002C1726" w:rsidRDefault="002C1726">
            <w:pPr>
              <w:rPr>
                <w:rFonts w:ascii="Arial" w:hAnsi="Arial" w:cs="Arial"/>
                <w:b/>
                <w:bCs/>
              </w:rPr>
            </w:pPr>
            <w:r>
              <w:rPr>
                <w:rFonts w:ascii="Arial" w:hAnsi="Arial" w:cs="Arial"/>
                <w:b/>
                <w:bCs/>
              </w:rPr>
              <w:t>Bank ad</w:t>
            </w:r>
            <w:r w:rsidR="00D76933">
              <w:rPr>
                <w:rFonts w:ascii="Arial" w:hAnsi="Arial" w:cs="Arial"/>
                <w:b/>
                <w:bCs/>
              </w:rPr>
              <w:t>d</w:t>
            </w:r>
            <w:r>
              <w:rPr>
                <w:rFonts w:ascii="Arial" w:hAnsi="Arial" w:cs="Arial"/>
                <w:b/>
                <w:bCs/>
              </w:rPr>
              <w:t>ress:</w:t>
            </w:r>
          </w:p>
          <w:p w14:paraId="27F75590" w14:textId="77777777" w:rsidR="002C1726" w:rsidRDefault="002C1726">
            <w:pPr>
              <w:rPr>
                <w:rFonts w:ascii="Arial" w:hAnsi="Arial" w:cs="Arial"/>
                <w:b/>
                <w:bCs/>
              </w:rPr>
            </w:pPr>
          </w:p>
          <w:p w14:paraId="6DE559D0" w14:textId="4271EF55" w:rsidR="002C1726" w:rsidRDefault="002C1726">
            <w:pPr>
              <w:rPr>
                <w:rFonts w:ascii="Arial" w:hAnsi="Arial" w:cs="Arial"/>
                <w:b/>
                <w:bCs/>
              </w:rPr>
            </w:pPr>
          </w:p>
        </w:tc>
        <w:tc>
          <w:tcPr>
            <w:tcW w:w="4698" w:type="dxa"/>
            <w:shd w:val="clear" w:color="auto" w:fill="auto"/>
          </w:tcPr>
          <w:p w14:paraId="5ABCD7C9" w14:textId="77777777" w:rsidR="002C1726" w:rsidRDefault="002C1726">
            <w:pPr>
              <w:rPr>
                <w:rFonts w:ascii="Arial" w:hAnsi="Arial" w:cs="Arial"/>
                <w:b/>
                <w:bCs/>
              </w:rPr>
            </w:pPr>
          </w:p>
          <w:p w14:paraId="6D57680E" w14:textId="77777777" w:rsidR="002C1726" w:rsidRDefault="002C1726">
            <w:pPr>
              <w:rPr>
                <w:rFonts w:ascii="Arial" w:hAnsi="Arial" w:cs="Arial"/>
                <w:b/>
                <w:bCs/>
              </w:rPr>
            </w:pPr>
          </w:p>
          <w:p w14:paraId="261D2C5B" w14:textId="77777777" w:rsidR="002C1726" w:rsidRDefault="002C1726">
            <w:pPr>
              <w:rPr>
                <w:rFonts w:ascii="Arial" w:hAnsi="Arial" w:cs="Arial"/>
                <w:b/>
                <w:bCs/>
              </w:rPr>
            </w:pPr>
          </w:p>
          <w:p w14:paraId="2B329165" w14:textId="77777777" w:rsidR="002C1726" w:rsidRDefault="002C1726">
            <w:pPr>
              <w:rPr>
                <w:rFonts w:ascii="Arial" w:hAnsi="Arial" w:cs="Arial"/>
                <w:b/>
                <w:bCs/>
              </w:rPr>
            </w:pPr>
          </w:p>
          <w:p w14:paraId="12B36798" w14:textId="483B6F88" w:rsidR="002C1726" w:rsidRDefault="002C1726">
            <w:pPr>
              <w:rPr>
                <w:rFonts w:ascii="Arial" w:hAnsi="Arial" w:cs="Arial"/>
                <w:b/>
                <w:bCs/>
              </w:rPr>
            </w:pPr>
          </w:p>
        </w:tc>
      </w:tr>
    </w:tbl>
    <w:p w14:paraId="237A27B6" w14:textId="2A266545" w:rsidR="001C45B7" w:rsidRDefault="0083310F">
      <w:pPr>
        <w:rPr>
          <w:rFonts w:ascii="Arial" w:hAnsi="Arial" w:cs="Arial"/>
          <w:b/>
        </w:rPr>
      </w:pPr>
      <w:r>
        <w:rPr>
          <w:rFonts w:ascii="Arial" w:hAnsi="Arial" w:cs="Arial"/>
          <w:b/>
        </w:rPr>
        <w:lastRenderedPageBreak/>
        <w:t>6</w:t>
      </w:r>
      <w:r w:rsidR="001C45B7">
        <w:rPr>
          <w:rFonts w:ascii="Arial" w:hAnsi="Arial" w:cs="Arial"/>
          <w:b/>
        </w:rPr>
        <w:tab/>
        <w:t xml:space="preserve">Working hours </w:t>
      </w:r>
    </w:p>
    <w:tbl>
      <w:tblPr>
        <w:tblStyle w:val="Tabellrutenett"/>
        <w:tblW w:w="0" w:type="auto"/>
        <w:tblLook w:val="04A0" w:firstRow="1" w:lastRow="0" w:firstColumn="1" w:lastColumn="0" w:noHBand="0" w:noVBand="1"/>
      </w:tblPr>
      <w:tblGrid>
        <w:gridCol w:w="4248"/>
        <w:gridCol w:w="5148"/>
      </w:tblGrid>
      <w:tr w:rsidR="001C45B7" w:rsidRPr="00AC7B43" w14:paraId="5EF24270" w14:textId="77777777" w:rsidTr="3BBE6E78">
        <w:tc>
          <w:tcPr>
            <w:tcW w:w="4248" w:type="dxa"/>
            <w:shd w:val="clear" w:color="auto" w:fill="D0CECE" w:themeFill="background2" w:themeFillShade="E6"/>
          </w:tcPr>
          <w:p w14:paraId="20524557" w14:textId="77777777" w:rsidR="001C45B7" w:rsidRPr="001C45B7" w:rsidRDefault="001C45B7" w:rsidP="002116B5">
            <w:pPr>
              <w:rPr>
                <w:rFonts w:ascii="Arial" w:hAnsi="Arial" w:cs="Arial"/>
                <w:b/>
                <w:sz w:val="20"/>
                <w:szCs w:val="20"/>
              </w:rPr>
            </w:pPr>
            <w:r w:rsidRPr="001C45B7">
              <w:rPr>
                <w:rFonts w:ascii="Arial" w:hAnsi="Arial" w:cs="Arial"/>
                <w:b/>
                <w:sz w:val="20"/>
                <w:szCs w:val="20"/>
              </w:rPr>
              <w:t>Working hours</w:t>
            </w:r>
          </w:p>
        </w:tc>
        <w:tc>
          <w:tcPr>
            <w:tcW w:w="5148" w:type="dxa"/>
          </w:tcPr>
          <w:p w14:paraId="7C95C8AE" w14:textId="0D1C701D" w:rsidR="00164259" w:rsidRDefault="00CF7B2C" w:rsidP="00164259">
            <w:pPr>
              <w:tabs>
                <w:tab w:val="left" w:pos="-570"/>
                <w:tab w:val="left" w:pos="0"/>
              </w:tabs>
              <w:suppressAutoHyphens/>
              <w:ind w:right="85"/>
              <w:contextualSpacing/>
              <w:jc w:val="both"/>
              <w:rPr>
                <w:rFonts w:ascii="Arial" w:eastAsia="Times New Roman" w:hAnsi="Arial" w:cs="Arial"/>
                <w:sz w:val="16"/>
                <w:szCs w:val="16"/>
              </w:rPr>
            </w:pPr>
            <w:r w:rsidRPr="00AC240F">
              <w:rPr>
                <w:rFonts w:ascii="Arial" w:eastAsia="Times New Roman" w:hAnsi="Arial" w:cs="Arial"/>
                <w:sz w:val="16"/>
                <w:szCs w:val="16"/>
                <w:u w:val="single"/>
              </w:rPr>
              <w:t>For Scientific staff:</w:t>
            </w:r>
            <w:r w:rsidR="00164259" w:rsidRPr="00164259">
              <w:rPr>
                <w:rFonts w:ascii="Arial" w:eastAsia="Times New Roman" w:hAnsi="Arial" w:cs="Arial"/>
                <w:sz w:val="16"/>
                <w:szCs w:val="16"/>
              </w:rPr>
              <w:t xml:space="preserve"> See the guidelines in force on the allocation of working hours to research and teaching at NTNU (“</w:t>
            </w:r>
            <w:proofErr w:type="spellStart"/>
            <w:r w:rsidR="00164259" w:rsidRPr="00164259">
              <w:rPr>
                <w:rFonts w:ascii="Arial" w:eastAsia="Times New Roman" w:hAnsi="Arial" w:cs="Arial"/>
                <w:sz w:val="16"/>
                <w:szCs w:val="16"/>
              </w:rPr>
              <w:t>Fordeling</w:t>
            </w:r>
            <w:proofErr w:type="spellEnd"/>
            <w:r w:rsidR="00164259" w:rsidRPr="00164259">
              <w:rPr>
                <w:rFonts w:ascii="Arial" w:eastAsia="Times New Roman" w:hAnsi="Arial" w:cs="Arial"/>
                <w:sz w:val="16"/>
                <w:szCs w:val="16"/>
              </w:rPr>
              <w:t xml:space="preserve"> av </w:t>
            </w:r>
            <w:proofErr w:type="spellStart"/>
            <w:r w:rsidR="00164259" w:rsidRPr="00164259">
              <w:rPr>
                <w:rFonts w:ascii="Arial" w:eastAsia="Times New Roman" w:hAnsi="Arial" w:cs="Arial"/>
                <w:sz w:val="16"/>
                <w:szCs w:val="16"/>
              </w:rPr>
              <w:t>arbeidstid</w:t>
            </w:r>
            <w:proofErr w:type="spellEnd"/>
            <w:r w:rsidR="00164259" w:rsidRPr="00164259">
              <w:rPr>
                <w:rFonts w:ascii="Arial" w:eastAsia="Times New Roman" w:hAnsi="Arial" w:cs="Arial"/>
                <w:sz w:val="16"/>
                <w:szCs w:val="16"/>
              </w:rPr>
              <w:t xml:space="preserve"> til </w:t>
            </w:r>
            <w:proofErr w:type="spellStart"/>
            <w:r w:rsidR="00164259" w:rsidRPr="00164259">
              <w:rPr>
                <w:rFonts w:ascii="Arial" w:eastAsia="Times New Roman" w:hAnsi="Arial" w:cs="Arial"/>
                <w:sz w:val="16"/>
                <w:szCs w:val="16"/>
              </w:rPr>
              <w:t>forskning</w:t>
            </w:r>
            <w:proofErr w:type="spellEnd"/>
            <w:r w:rsidR="00164259" w:rsidRPr="00164259">
              <w:rPr>
                <w:rFonts w:ascii="Arial" w:eastAsia="Times New Roman" w:hAnsi="Arial" w:cs="Arial"/>
                <w:sz w:val="16"/>
                <w:szCs w:val="16"/>
              </w:rPr>
              <w:t xml:space="preserve"> og </w:t>
            </w:r>
            <w:proofErr w:type="spellStart"/>
            <w:r w:rsidR="00164259" w:rsidRPr="00164259">
              <w:rPr>
                <w:rFonts w:ascii="Arial" w:eastAsia="Times New Roman" w:hAnsi="Arial" w:cs="Arial"/>
                <w:sz w:val="16"/>
                <w:szCs w:val="16"/>
              </w:rPr>
              <w:t>undervisning</w:t>
            </w:r>
            <w:proofErr w:type="spellEnd"/>
            <w:r w:rsidR="00164259" w:rsidRPr="00164259">
              <w:rPr>
                <w:rFonts w:ascii="Arial" w:eastAsia="Times New Roman" w:hAnsi="Arial" w:cs="Arial"/>
                <w:sz w:val="16"/>
                <w:szCs w:val="16"/>
              </w:rPr>
              <w:t xml:space="preserve"> </w:t>
            </w:r>
            <w:proofErr w:type="spellStart"/>
            <w:r w:rsidR="00164259" w:rsidRPr="00164259">
              <w:rPr>
                <w:rFonts w:ascii="Arial" w:eastAsia="Times New Roman" w:hAnsi="Arial" w:cs="Arial"/>
                <w:sz w:val="16"/>
                <w:szCs w:val="16"/>
              </w:rPr>
              <w:t>ved</w:t>
            </w:r>
            <w:proofErr w:type="spellEnd"/>
            <w:r w:rsidR="00164259" w:rsidRPr="00164259">
              <w:rPr>
                <w:rFonts w:ascii="Arial" w:eastAsia="Times New Roman" w:hAnsi="Arial" w:cs="Arial"/>
                <w:sz w:val="16"/>
                <w:szCs w:val="16"/>
              </w:rPr>
              <w:t xml:space="preserve"> NTNU”) and Section 4.2 of the institutional pay policy for NTNU (“</w:t>
            </w:r>
            <w:proofErr w:type="spellStart"/>
            <w:r w:rsidR="00164259" w:rsidRPr="00164259">
              <w:rPr>
                <w:rFonts w:ascii="Arial" w:eastAsia="Times New Roman" w:hAnsi="Arial" w:cs="Arial"/>
                <w:sz w:val="16"/>
                <w:szCs w:val="16"/>
              </w:rPr>
              <w:t>Lokal</w:t>
            </w:r>
            <w:proofErr w:type="spellEnd"/>
            <w:r w:rsidR="00164259" w:rsidRPr="00164259">
              <w:rPr>
                <w:rFonts w:ascii="Arial" w:eastAsia="Times New Roman" w:hAnsi="Arial" w:cs="Arial"/>
                <w:sz w:val="16"/>
                <w:szCs w:val="16"/>
              </w:rPr>
              <w:t xml:space="preserve"> </w:t>
            </w:r>
            <w:proofErr w:type="spellStart"/>
            <w:r w:rsidR="00164259" w:rsidRPr="00164259">
              <w:rPr>
                <w:rFonts w:ascii="Arial" w:eastAsia="Times New Roman" w:hAnsi="Arial" w:cs="Arial"/>
                <w:sz w:val="16"/>
                <w:szCs w:val="16"/>
              </w:rPr>
              <w:t>lønnspolitikk</w:t>
            </w:r>
            <w:proofErr w:type="spellEnd"/>
            <w:r w:rsidR="00164259" w:rsidRPr="00164259">
              <w:rPr>
                <w:rFonts w:ascii="Arial" w:eastAsia="Times New Roman" w:hAnsi="Arial" w:cs="Arial"/>
                <w:sz w:val="16"/>
                <w:szCs w:val="16"/>
              </w:rPr>
              <w:t xml:space="preserve"> for NTNU”).</w:t>
            </w:r>
          </w:p>
          <w:p w14:paraId="0F3AD461" w14:textId="3B8F3906" w:rsidR="001C45B7" w:rsidRPr="00AC7B43" w:rsidRDefault="0ECA69F2" w:rsidP="006318AA">
            <w:pPr>
              <w:ind w:right="85"/>
              <w:contextualSpacing/>
              <w:jc w:val="both"/>
              <w:rPr>
                <w:rFonts w:ascii="Arial" w:eastAsia="Times New Roman" w:hAnsi="Arial" w:cs="Arial"/>
                <w:color w:val="6FAC47"/>
                <w:w w:val="105"/>
                <w:sz w:val="16"/>
                <w:szCs w:val="16"/>
              </w:rPr>
            </w:pPr>
            <w:r w:rsidRPr="1BD12834">
              <w:rPr>
                <w:rFonts w:ascii="Arial" w:eastAsia="Times New Roman" w:hAnsi="Arial" w:cs="Arial"/>
                <w:sz w:val="16"/>
                <w:szCs w:val="16"/>
                <w:u w:val="single"/>
              </w:rPr>
              <w:t>For administrative staff:</w:t>
            </w:r>
            <w:r w:rsidR="53116DDE" w:rsidRPr="1BD12834">
              <w:rPr>
                <w:rFonts w:ascii="Arial" w:eastAsia="Times New Roman" w:hAnsi="Arial" w:cs="Arial"/>
                <w:sz w:val="16"/>
                <w:szCs w:val="16"/>
              </w:rPr>
              <w:t xml:space="preserve"> Working hours applies as stated in section </w:t>
            </w:r>
            <w:r w:rsidR="6751A0E9" w:rsidRPr="1BD12834">
              <w:rPr>
                <w:rFonts w:ascii="Arial" w:eastAsia="Times New Roman" w:hAnsi="Arial" w:cs="Arial"/>
                <w:sz w:val="16"/>
                <w:szCs w:val="16"/>
              </w:rPr>
              <w:t>10</w:t>
            </w:r>
            <w:r w:rsidR="6751A0E9" w:rsidRPr="1BD12834">
              <w:rPr>
                <w:rFonts w:ascii="Arial" w:eastAsia="Times New Roman" w:hAnsi="Arial" w:cs="Arial"/>
                <w:color w:val="6FAC47"/>
                <w:sz w:val="16"/>
                <w:szCs w:val="16"/>
              </w:rPr>
              <w:t xml:space="preserve"> </w:t>
            </w:r>
            <w:r w:rsidR="53116DDE" w:rsidRPr="1BD12834">
              <w:rPr>
                <w:rFonts w:ascii="Arial" w:eastAsia="Times New Roman" w:hAnsi="Arial" w:cs="Arial"/>
                <w:sz w:val="16"/>
                <w:szCs w:val="16"/>
              </w:rPr>
              <w:t>in the Working Environment Act</w:t>
            </w:r>
            <w:r w:rsidR="6D995CD4" w:rsidRPr="1BD12834">
              <w:rPr>
                <w:rFonts w:ascii="Arial" w:eastAsia="Times New Roman" w:hAnsi="Arial" w:cs="Arial"/>
                <w:sz w:val="16"/>
                <w:szCs w:val="16"/>
              </w:rPr>
              <w:t xml:space="preserve">. In case of </w:t>
            </w:r>
            <w:r w:rsidR="53116DDE" w:rsidRPr="1BD12834">
              <w:rPr>
                <w:rFonts w:ascii="Arial" w:eastAsia="Times New Roman" w:hAnsi="Arial" w:cs="Arial"/>
                <w:sz w:val="16"/>
                <w:szCs w:val="16"/>
              </w:rPr>
              <w:t xml:space="preserve">local legislation (where the work is </w:t>
            </w:r>
            <w:proofErr w:type="spellStart"/>
            <w:r w:rsidR="53116DDE" w:rsidRPr="1BD12834">
              <w:rPr>
                <w:rFonts w:ascii="Arial" w:eastAsia="Times New Roman" w:hAnsi="Arial" w:cs="Arial"/>
                <w:sz w:val="16"/>
                <w:szCs w:val="16"/>
              </w:rPr>
              <w:t>excecuted</w:t>
            </w:r>
            <w:proofErr w:type="spellEnd"/>
            <w:r w:rsidR="53116DDE" w:rsidRPr="1BD12834">
              <w:rPr>
                <w:rFonts w:ascii="Arial" w:eastAsia="Times New Roman" w:hAnsi="Arial" w:cs="Arial"/>
                <w:sz w:val="16"/>
                <w:szCs w:val="16"/>
              </w:rPr>
              <w:t xml:space="preserve">) </w:t>
            </w:r>
            <w:proofErr w:type="spellStart"/>
            <w:r w:rsidR="6D995CD4" w:rsidRPr="1BD12834">
              <w:rPr>
                <w:rFonts w:ascii="Arial" w:eastAsia="Times New Roman" w:hAnsi="Arial" w:cs="Arial"/>
                <w:sz w:val="16"/>
                <w:szCs w:val="16"/>
              </w:rPr>
              <w:t>beeing</w:t>
            </w:r>
            <w:proofErr w:type="spellEnd"/>
            <w:r w:rsidR="6D995CD4" w:rsidRPr="1BD12834">
              <w:rPr>
                <w:rFonts w:ascii="Arial" w:eastAsia="Times New Roman" w:hAnsi="Arial" w:cs="Arial"/>
                <w:sz w:val="16"/>
                <w:szCs w:val="16"/>
              </w:rPr>
              <w:t xml:space="preserve"> more </w:t>
            </w:r>
            <w:proofErr w:type="spellStart"/>
            <w:r w:rsidR="6D995CD4" w:rsidRPr="1BD12834">
              <w:rPr>
                <w:rFonts w:ascii="Arial" w:eastAsia="Times New Roman" w:hAnsi="Arial" w:cs="Arial"/>
                <w:sz w:val="16"/>
                <w:szCs w:val="16"/>
              </w:rPr>
              <w:t>benefitial</w:t>
            </w:r>
            <w:proofErr w:type="spellEnd"/>
            <w:r w:rsidR="6D995CD4" w:rsidRPr="1BD12834">
              <w:rPr>
                <w:rFonts w:ascii="Arial" w:eastAsia="Times New Roman" w:hAnsi="Arial" w:cs="Arial"/>
                <w:sz w:val="16"/>
                <w:szCs w:val="16"/>
              </w:rPr>
              <w:t xml:space="preserve"> to the employee in regards to working hours</w:t>
            </w:r>
            <w:r w:rsidR="50718520" w:rsidRPr="1BD12834">
              <w:rPr>
                <w:rFonts w:ascii="Arial" w:eastAsia="Times New Roman" w:hAnsi="Arial" w:cs="Arial"/>
                <w:sz w:val="16"/>
                <w:szCs w:val="16"/>
              </w:rPr>
              <w:t>, local</w:t>
            </w:r>
            <w:r w:rsidR="6D995CD4" w:rsidRPr="1BD12834">
              <w:rPr>
                <w:rFonts w:ascii="Arial" w:eastAsia="Times New Roman" w:hAnsi="Arial" w:cs="Arial"/>
                <w:sz w:val="16"/>
                <w:szCs w:val="16"/>
              </w:rPr>
              <w:t xml:space="preserve"> regulation</w:t>
            </w:r>
            <w:r w:rsidR="50718520" w:rsidRPr="1BD12834">
              <w:rPr>
                <w:rFonts w:ascii="Arial" w:eastAsia="Times New Roman" w:hAnsi="Arial" w:cs="Arial"/>
                <w:sz w:val="16"/>
                <w:szCs w:val="16"/>
              </w:rPr>
              <w:t>s applies.</w:t>
            </w:r>
            <w:r w:rsidR="6D995CD4" w:rsidRPr="1BD12834">
              <w:rPr>
                <w:rFonts w:ascii="Arial" w:eastAsia="Times New Roman" w:hAnsi="Arial" w:cs="Arial"/>
                <w:sz w:val="16"/>
                <w:szCs w:val="16"/>
              </w:rPr>
              <w:t xml:space="preserve"> </w:t>
            </w:r>
          </w:p>
        </w:tc>
      </w:tr>
      <w:tr w:rsidR="001C45B7" w:rsidRPr="00515EC8" w14:paraId="2A27ABD7" w14:textId="77777777" w:rsidTr="3BBE6E78">
        <w:tc>
          <w:tcPr>
            <w:tcW w:w="4248" w:type="dxa"/>
            <w:shd w:val="clear" w:color="auto" w:fill="D0CECE" w:themeFill="background2" w:themeFillShade="E6"/>
          </w:tcPr>
          <w:p w14:paraId="0EEB9B2E" w14:textId="77777777" w:rsidR="001C45B7" w:rsidRPr="001C45B7" w:rsidRDefault="001C45B7" w:rsidP="002116B5">
            <w:pPr>
              <w:rPr>
                <w:rFonts w:ascii="Arial" w:hAnsi="Arial" w:cs="Arial"/>
                <w:b/>
                <w:sz w:val="20"/>
                <w:szCs w:val="20"/>
              </w:rPr>
            </w:pPr>
            <w:r w:rsidRPr="001C45B7">
              <w:rPr>
                <w:rFonts w:ascii="Arial" w:hAnsi="Arial" w:cs="Arial"/>
                <w:b/>
                <w:sz w:val="20"/>
                <w:szCs w:val="20"/>
              </w:rPr>
              <w:t>Holiday</w:t>
            </w:r>
          </w:p>
        </w:tc>
        <w:tc>
          <w:tcPr>
            <w:tcW w:w="5148" w:type="dxa"/>
          </w:tcPr>
          <w:p w14:paraId="78DC2376" w14:textId="2F096524" w:rsidR="006D794E" w:rsidRDefault="006D794E" w:rsidP="00DC4673">
            <w:pPr>
              <w:tabs>
                <w:tab w:val="left" w:pos="454"/>
                <w:tab w:val="left" w:leader="dot" w:pos="9072"/>
              </w:tabs>
              <w:suppressAutoHyphens/>
              <w:spacing w:before="120"/>
              <w:contextualSpacing/>
              <w:rPr>
                <w:rFonts w:ascii="Arial" w:eastAsia="Times New Roman" w:hAnsi="Arial" w:cs="Arial"/>
                <w:sz w:val="16"/>
                <w:szCs w:val="16"/>
              </w:rPr>
            </w:pPr>
            <w:r w:rsidRPr="3BBE6E78">
              <w:rPr>
                <w:rFonts w:ascii="Arial" w:eastAsia="Times New Roman" w:hAnsi="Arial" w:cs="Arial"/>
                <w:sz w:val="16"/>
                <w:szCs w:val="16"/>
              </w:rPr>
              <w:t>For holiday leave and holiday pay applies local jurisdiction as follows thr</w:t>
            </w:r>
            <w:r w:rsidR="6B782114" w:rsidRPr="3BBE6E78">
              <w:rPr>
                <w:rFonts w:ascii="Arial" w:eastAsia="Times New Roman" w:hAnsi="Arial" w:cs="Arial"/>
                <w:sz w:val="16"/>
                <w:szCs w:val="16"/>
              </w:rPr>
              <w:t>o</w:t>
            </w:r>
            <w:r w:rsidRPr="3BBE6E78">
              <w:rPr>
                <w:rFonts w:ascii="Arial" w:eastAsia="Times New Roman" w:hAnsi="Arial" w:cs="Arial"/>
                <w:sz w:val="16"/>
                <w:szCs w:val="16"/>
              </w:rPr>
              <w:t>ugh local law</w:t>
            </w:r>
            <w:r w:rsidR="006A0DF5">
              <w:rPr>
                <w:rFonts w:ascii="Arial" w:eastAsia="Times New Roman" w:hAnsi="Arial" w:cs="Arial"/>
                <w:sz w:val="16"/>
                <w:szCs w:val="16"/>
              </w:rPr>
              <w:t>.</w:t>
            </w:r>
          </w:p>
          <w:p w14:paraId="090E80B4" w14:textId="1CFBA310" w:rsidR="00734878" w:rsidRDefault="00734878" w:rsidP="00DC4673">
            <w:pPr>
              <w:tabs>
                <w:tab w:val="left" w:pos="454"/>
                <w:tab w:val="left" w:leader="dot" w:pos="9072"/>
              </w:tabs>
              <w:suppressAutoHyphens/>
              <w:spacing w:before="120"/>
              <w:contextualSpacing/>
              <w:rPr>
                <w:rFonts w:ascii="Arial" w:eastAsia="Times New Roman" w:hAnsi="Arial" w:cs="Arial"/>
                <w:sz w:val="16"/>
                <w:szCs w:val="16"/>
              </w:rPr>
            </w:pPr>
            <w:r w:rsidRPr="00734878">
              <w:rPr>
                <w:rFonts w:ascii="Arial" w:eastAsia="Times New Roman" w:hAnsi="Arial" w:cs="Arial"/>
                <w:sz w:val="16"/>
                <w:szCs w:val="16"/>
              </w:rPr>
              <w:t xml:space="preserve">For employees outside Norway who carry out </w:t>
            </w:r>
            <w:r>
              <w:rPr>
                <w:rFonts w:ascii="Arial" w:eastAsia="Times New Roman" w:hAnsi="Arial" w:cs="Arial"/>
                <w:sz w:val="16"/>
                <w:szCs w:val="16"/>
              </w:rPr>
              <w:t xml:space="preserve">their work </w:t>
            </w:r>
            <w:r w:rsidRPr="00734878">
              <w:rPr>
                <w:rFonts w:ascii="Arial" w:eastAsia="Times New Roman" w:hAnsi="Arial" w:cs="Arial"/>
                <w:sz w:val="16"/>
                <w:szCs w:val="16"/>
              </w:rPr>
              <w:t>in their country of origin, and who are resident, pay tax and receive social security benefits in their country of origin, the gross annual salary is agreed in relation to the salary scale and includes holiday pay. The salary is paid monthly throughout the year as 1/12th of the gross annual salary according to the salary scale, and thus no holiday pay is calculated in June.</w:t>
            </w:r>
          </w:p>
          <w:p w14:paraId="7FACFB0A" w14:textId="5FF24031" w:rsidR="00C5029E" w:rsidRDefault="00C5029E" w:rsidP="00DC4673">
            <w:pPr>
              <w:tabs>
                <w:tab w:val="left" w:pos="454"/>
                <w:tab w:val="left" w:leader="dot" w:pos="9072"/>
              </w:tabs>
              <w:spacing w:before="120"/>
              <w:rPr>
                <w:rFonts w:ascii="Arial" w:hAnsi="Arial" w:cs="Arial"/>
                <w:color w:val="282828"/>
                <w:sz w:val="16"/>
                <w:szCs w:val="16"/>
              </w:rPr>
            </w:pPr>
            <w:r w:rsidRPr="006D794E">
              <w:rPr>
                <w:rFonts w:ascii="Arial" w:hAnsi="Arial" w:cs="Arial"/>
                <w:color w:val="282828"/>
                <w:w w:val="105"/>
                <w:sz w:val="16"/>
                <w:szCs w:val="16"/>
              </w:rPr>
              <w:t xml:space="preserve">All holidays must </w:t>
            </w:r>
            <w:proofErr w:type="gramStart"/>
            <w:r w:rsidRPr="006D794E">
              <w:rPr>
                <w:rFonts w:ascii="Arial" w:hAnsi="Arial" w:cs="Arial"/>
                <w:color w:val="282828"/>
                <w:w w:val="105"/>
                <w:sz w:val="16"/>
                <w:szCs w:val="16"/>
              </w:rPr>
              <w:t>be in agreement</w:t>
            </w:r>
            <w:proofErr w:type="gramEnd"/>
            <w:r w:rsidRPr="006D794E">
              <w:rPr>
                <w:rFonts w:ascii="Arial" w:hAnsi="Arial" w:cs="Arial"/>
                <w:color w:val="282828"/>
                <w:w w:val="105"/>
                <w:sz w:val="16"/>
                <w:szCs w:val="16"/>
              </w:rPr>
              <w:t xml:space="preserve"> with</w:t>
            </w:r>
            <w:r w:rsidR="00734878">
              <w:rPr>
                <w:rFonts w:ascii="Arial" w:hAnsi="Arial" w:cs="Arial"/>
                <w:color w:val="282828"/>
                <w:w w:val="105"/>
                <w:sz w:val="16"/>
                <w:szCs w:val="16"/>
              </w:rPr>
              <w:t xml:space="preserve"> </w:t>
            </w:r>
            <w:r w:rsidRPr="006D794E">
              <w:rPr>
                <w:rFonts w:ascii="Arial" w:hAnsi="Arial" w:cs="Arial"/>
                <w:color w:val="282828"/>
                <w:w w:val="105"/>
                <w:sz w:val="16"/>
                <w:szCs w:val="16"/>
              </w:rPr>
              <w:t>and reported to your employer.</w:t>
            </w:r>
            <w:r>
              <w:rPr>
                <w:rFonts w:ascii="Arial" w:hAnsi="Arial" w:cs="Arial"/>
                <w:color w:val="282828"/>
                <w:w w:val="105"/>
                <w:sz w:val="16"/>
                <w:szCs w:val="16"/>
              </w:rPr>
              <w:t xml:space="preserve"> </w:t>
            </w:r>
          </w:p>
        </w:tc>
      </w:tr>
    </w:tbl>
    <w:p w14:paraId="1FBD2525" w14:textId="2C58F6A6" w:rsidR="001C45B7" w:rsidRPr="001C45B7" w:rsidRDefault="0083310F" w:rsidP="001C45B7">
      <w:pPr>
        <w:rPr>
          <w:rFonts w:ascii="Arial" w:hAnsi="Arial" w:cs="Arial"/>
          <w:b/>
        </w:rPr>
      </w:pPr>
      <w:r>
        <w:rPr>
          <w:rFonts w:ascii="Arial" w:hAnsi="Arial" w:cs="Arial"/>
          <w:b/>
        </w:rPr>
        <w:t>7</w:t>
      </w:r>
      <w:r w:rsidR="001C45B7">
        <w:rPr>
          <w:rFonts w:ascii="Arial" w:hAnsi="Arial" w:cs="Arial"/>
          <w:b/>
        </w:rPr>
        <w:tab/>
        <w:t>M</w:t>
      </w:r>
      <w:r w:rsidR="001C45B7" w:rsidRPr="001C45B7">
        <w:rPr>
          <w:rFonts w:ascii="Arial" w:hAnsi="Arial" w:cs="Arial"/>
          <w:b/>
        </w:rPr>
        <w:t>iscellaneous</w:t>
      </w:r>
    </w:p>
    <w:tbl>
      <w:tblPr>
        <w:tblStyle w:val="Tabellrutenett"/>
        <w:tblW w:w="0" w:type="auto"/>
        <w:tblLook w:val="04A0" w:firstRow="1" w:lastRow="0" w:firstColumn="1" w:lastColumn="0" w:noHBand="0" w:noVBand="1"/>
      </w:tblPr>
      <w:tblGrid>
        <w:gridCol w:w="4106"/>
        <w:gridCol w:w="5290"/>
      </w:tblGrid>
      <w:tr w:rsidR="00717F34" w:rsidRPr="004A7AE0" w14:paraId="6A985C3B" w14:textId="77777777" w:rsidTr="1BD12834">
        <w:tc>
          <w:tcPr>
            <w:tcW w:w="4106" w:type="dxa"/>
            <w:shd w:val="clear" w:color="auto" w:fill="D0CECE" w:themeFill="background2" w:themeFillShade="E6"/>
          </w:tcPr>
          <w:p w14:paraId="3646B790" w14:textId="77777777" w:rsidR="00717F34" w:rsidRPr="00717F34" w:rsidRDefault="00717F34" w:rsidP="002116B5">
            <w:pPr>
              <w:rPr>
                <w:rFonts w:ascii="Arial" w:hAnsi="Arial" w:cs="Arial"/>
                <w:b/>
                <w:sz w:val="20"/>
                <w:szCs w:val="20"/>
              </w:rPr>
            </w:pPr>
            <w:r w:rsidRPr="00717F34">
              <w:rPr>
                <w:rFonts w:ascii="Arial" w:hAnsi="Arial" w:cs="Arial"/>
                <w:b/>
                <w:sz w:val="20"/>
                <w:szCs w:val="20"/>
              </w:rPr>
              <w:t>Secondary employment provision</w:t>
            </w:r>
          </w:p>
        </w:tc>
        <w:tc>
          <w:tcPr>
            <w:tcW w:w="5290" w:type="dxa"/>
          </w:tcPr>
          <w:p w14:paraId="15DA5B01" w14:textId="77777777" w:rsidR="0038087F" w:rsidRDefault="00087D26" w:rsidP="1BD12834">
            <w:pPr>
              <w:suppressAutoHyphens/>
              <w:ind w:right="85"/>
              <w:contextualSpacing/>
              <w:jc w:val="both"/>
              <w:rPr>
                <w:rFonts w:ascii="Arial" w:eastAsia="Times New Roman" w:hAnsi="Arial" w:cs="Arial"/>
                <w:sz w:val="16"/>
                <w:szCs w:val="16"/>
              </w:rPr>
            </w:pPr>
            <w:r w:rsidRPr="00087D26">
              <w:rPr>
                <w:rFonts w:ascii="Arial" w:eastAsia="Times New Roman" w:hAnsi="Arial" w:cs="Arial"/>
                <w:sz w:val="16"/>
                <w:szCs w:val="16"/>
              </w:rPr>
              <w:t xml:space="preserve">The employee is obligated not to engage in supplementary positions, secondary employment, board roles, or any other compensated duties that could potentially interfere with or impede their standard work, unless expressly directed or authorized. </w:t>
            </w:r>
            <w:r w:rsidR="0038087F" w:rsidRPr="0038087F">
              <w:rPr>
                <w:rFonts w:ascii="Arial" w:eastAsia="Times New Roman" w:hAnsi="Arial" w:cs="Arial"/>
                <w:sz w:val="16"/>
                <w:szCs w:val="16"/>
              </w:rPr>
              <w:t xml:space="preserve">For Professor II positions, it is assumed that there is a 100% primary position, and the </w:t>
            </w:r>
            <w:proofErr w:type="gramStart"/>
            <w:r w:rsidR="0038087F" w:rsidRPr="0038087F">
              <w:rPr>
                <w:rFonts w:ascii="Arial" w:eastAsia="Times New Roman" w:hAnsi="Arial" w:cs="Arial"/>
                <w:sz w:val="16"/>
                <w:szCs w:val="16"/>
              </w:rPr>
              <w:t>aforementioned limitations</w:t>
            </w:r>
            <w:proofErr w:type="gramEnd"/>
            <w:r w:rsidR="0038087F" w:rsidRPr="0038087F">
              <w:rPr>
                <w:rFonts w:ascii="Arial" w:eastAsia="Times New Roman" w:hAnsi="Arial" w:cs="Arial"/>
                <w:sz w:val="16"/>
                <w:szCs w:val="16"/>
              </w:rPr>
              <w:t xml:space="preserve"> for additional roles and positions apply to any such beyond this 20% secondary role as Professor II at NTNU and the 100% primary </w:t>
            </w:r>
            <w:proofErr w:type="spellStart"/>
            <w:r w:rsidR="0038087F" w:rsidRPr="0038087F">
              <w:rPr>
                <w:rFonts w:ascii="Arial" w:eastAsia="Times New Roman" w:hAnsi="Arial" w:cs="Arial"/>
                <w:sz w:val="16"/>
                <w:szCs w:val="16"/>
              </w:rPr>
              <w:t>position."</w:t>
            </w:r>
            <w:r w:rsidRPr="00087D26">
              <w:rPr>
                <w:rFonts w:ascii="Arial" w:eastAsia="Times New Roman" w:hAnsi="Arial" w:cs="Arial"/>
                <w:sz w:val="16"/>
                <w:szCs w:val="16"/>
              </w:rPr>
              <w:t>For</w:t>
            </w:r>
            <w:proofErr w:type="spellEnd"/>
            <w:r w:rsidRPr="00087D26">
              <w:rPr>
                <w:rFonts w:ascii="Arial" w:eastAsia="Times New Roman" w:hAnsi="Arial" w:cs="Arial"/>
                <w:sz w:val="16"/>
                <w:szCs w:val="16"/>
              </w:rPr>
              <w:t xml:space="preserve"> further details, please refer to the guidelines pertaining to external employment located at </w:t>
            </w:r>
          </w:p>
          <w:p w14:paraId="51FCCEDA" w14:textId="223DAF33" w:rsidR="00717F34" w:rsidRPr="00F968BB" w:rsidRDefault="00347836" w:rsidP="1BD12834">
            <w:pPr>
              <w:suppressAutoHyphens/>
              <w:ind w:right="85"/>
              <w:contextualSpacing/>
              <w:jc w:val="both"/>
              <w:rPr>
                <w:rFonts w:ascii="Arial" w:eastAsia="Times New Roman" w:hAnsi="Arial" w:cs="Arial"/>
                <w:sz w:val="16"/>
                <w:szCs w:val="16"/>
              </w:rPr>
            </w:pPr>
            <w:hyperlink r:id="rId11" w:history="1">
              <w:r w:rsidR="009E2C2A" w:rsidRPr="006101E0">
                <w:rPr>
                  <w:rStyle w:val="Hyperkobling"/>
                  <w:rFonts w:ascii="Arial" w:eastAsia="Times New Roman" w:hAnsi="Arial" w:cs="Arial"/>
                  <w:sz w:val="16"/>
                  <w:szCs w:val="16"/>
                </w:rPr>
                <w:t>https://i.ntnu.no/wiki/-/wiki/English/Regulations+regarding+second+jobs</w:t>
              </w:r>
            </w:hyperlink>
          </w:p>
        </w:tc>
      </w:tr>
      <w:tr w:rsidR="00717F34" w:rsidRPr="004A7AE0" w14:paraId="1B760E19" w14:textId="77777777" w:rsidTr="1BD12834">
        <w:tc>
          <w:tcPr>
            <w:tcW w:w="4106" w:type="dxa"/>
            <w:shd w:val="clear" w:color="auto" w:fill="D0CECE" w:themeFill="background2" w:themeFillShade="E6"/>
          </w:tcPr>
          <w:p w14:paraId="721737DF" w14:textId="77777777" w:rsidR="00717F34" w:rsidRPr="00717F34" w:rsidRDefault="00717F34" w:rsidP="002116B5">
            <w:pPr>
              <w:rPr>
                <w:rFonts w:ascii="Arial" w:hAnsi="Arial" w:cs="Arial"/>
                <w:b/>
                <w:sz w:val="20"/>
                <w:szCs w:val="20"/>
              </w:rPr>
            </w:pPr>
            <w:r w:rsidRPr="00717F34">
              <w:rPr>
                <w:rFonts w:ascii="Arial" w:hAnsi="Arial" w:cs="Arial"/>
                <w:b/>
                <w:sz w:val="20"/>
                <w:szCs w:val="20"/>
              </w:rPr>
              <w:t>Intellectual rights</w:t>
            </w:r>
          </w:p>
        </w:tc>
        <w:tc>
          <w:tcPr>
            <w:tcW w:w="5290" w:type="dxa"/>
          </w:tcPr>
          <w:p w14:paraId="3E2D6E1F" w14:textId="79593A2F" w:rsidR="00EF3BC5" w:rsidRDefault="00EF3BC5" w:rsidP="1BD12834">
            <w:pPr>
              <w:suppressAutoHyphens/>
              <w:ind w:right="85"/>
              <w:contextualSpacing/>
              <w:jc w:val="both"/>
              <w:rPr>
                <w:rFonts w:ascii="Arial" w:eastAsia="Times New Roman" w:hAnsi="Arial" w:cs="Arial"/>
                <w:sz w:val="16"/>
                <w:szCs w:val="16"/>
                <w:lang w:val="en-GB"/>
              </w:rPr>
            </w:pPr>
            <w:r w:rsidRPr="00EF3BC5">
              <w:rPr>
                <w:rFonts w:ascii="Arial" w:eastAsia="Times New Roman" w:hAnsi="Arial" w:cs="Arial"/>
                <w:sz w:val="16"/>
                <w:szCs w:val="16"/>
              </w:rPr>
              <w:t>The employee asserts familiarity with NTNU's Intellectual Property Rights (IPR) policy, specifically including Section 6, "Ownership and Usage</w:t>
            </w:r>
            <w:r>
              <w:rPr>
                <w:rFonts w:ascii="Arial" w:eastAsia="Times New Roman" w:hAnsi="Arial" w:cs="Arial"/>
                <w:sz w:val="16"/>
                <w:szCs w:val="16"/>
              </w:rPr>
              <w:t xml:space="preserve"> </w:t>
            </w:r>
            <w:r w:rsidRPr="00EF3BC5">
              <w:rPr>
                <w:rFonts w:ascii="Arial" w:eastAsia="Times New Roman" w:hAnsi="Arial" w:cs="Arial"/>
                <w:sz w:val="16"/>
                <w:szCs w:val="16"/>
              </w:rPr>
              <w:t>Rights</w:t>
            </w:r>
            <w:r>
              <w:rPr>
                <w:rFonts w:ascii="Arial" w:eastAsia="Times New Roman" w:hAnsi="Arial" w:cs="Arial"/>
                <w:sz w:val="16"/>
                <w:szCs w:val="16"/>
              </w:rPr>
              <w:t xml:space="preserve"> </w:t>
            </w:r>
            <w:r w:rsidRPr="00EF3BC5">
              <w:rPr>
                <w:rFonts w:ascii="Arial" w:eastAsia="Times New Roman" w:hAnsi="Arial" w:cs="Arial"/>
                <w:sz w:val="16"/>
                <w:szCs w:val="16"/>
              </w:rPr>
              <w:t>of IPR". This policy can be accesse</w:t>
            </w:r>
            <w:r>
              <w:rPr>
                <w:rFonts w:ascii="Arial" w:eastAsia="Times New Roman" w:hAnsi="Arial" w:cs="Arial"/>
                <w:sz w:val="16"/>
                <w:szCs w:val="16"/>
              </w:rPr>
              <w:t xml:space="preserve">d </w:t>
            </w:r>
            <w:r w:rsidRPr="00EF3BC5">
              <w:rPr>
                <w:rFonts w:ascii="Arial" w:eastAsia="Times New Roman" w:hAnsi="Arial" w:cs="Arial"/>
                <w:sz w:val="16"/>
                <w:szCs w:val="16"/>
              </w:rPr>
              <w:t>at</w:t>
            </w:r>
            <w:r>
              <w:rPr>
                <w:rFonts w:ascii="Arial" w:eastAsia="Times New Roman" w:hAnsi="Arial" w:cs="Arial"/>
                <w:sz w:val="16"/>
                <w:szCs w:val="16"/>
              </w:rPr>
              <w:t>:</w:t>
            </w:r>
            <w:r w:rsidRPr="00EF3BC5">
              <w:rPr>
                <w:rFonts w:ascii="Arial" w:eastAsia="Times New Roman" w:hAnsi="Arial" w:cs="Arial"/>
                <w:sz w:val="16"/>
                <w:szCs w:val="16"/>
              </w:rPr>
              <w:t xml:space="preserve"> </w:t>
            </w:r>
            <w:hyperlink r:id="rId12">
              <w:r w:rsidR="54790BA2" w:rsidRPr="1BD12834">
                <w:rPr>
                  <w:rStyle w:val="Hyperkobling"/>
                  <w:rFonts w:ascii="Arial" w:eastAsia="Times New Roman" w:hAnsi="Arial" w:cs="Arial"/>
                  <w:sz w:val="16"/>
                  <w:szCs w:val="16"/>
                  <w:lang w:val="en-GB"/>
                </w:rPr>
                <w:t>https://i.ntnu.no/wiki/-/wiki/English/Policy+for+intellectual+property+rights+-+IPR</w:t>
              </w:r>
            </w:hyperlink>
            <w:r w:rsidR="54790BA2" w:rsidRPr="1BD12834">
              <w:rPr>
                <w:rFonts w:ascii="Arial" w:eastAsia="Times New Roman" w:hAnsi="Arial" w:cs="Arial"/>
                <w:sz w:val="16"/>
                <w:szCs w:val="16"/>
                <w:lang w:val="en-GB"/>
              </w:rPr>
              <w:t xml:space="preserve"> </w:t>
            </w:r>
          </w:p>
          <w:p w14:paraId="7FC74A30" w14:textId="32533BE4" w:rsidR="00717F34" w:rsidRPr="00EF3BC5" w:rsidRDefault="00EF3BC5" w:rsidP="1BD12834">
            <w:pPr>
              <w:suppressAutoHyphens/>
              <w:ind w:right="85"/>
              <w:contextualSpacing/>
              <w:jc w:val="both"/>
              <w:rPr>
                <w:rFonts w:ascii="Arial" w:eastAsia="Times New Roman" w:hAnsi="Arial" w:cs="Arial"/>
                <w:sz w:val="16"/>
                <w:szCs w:val="16"/>
              </w:rPr>
            </w:pPr>
            <w:r w:rsidRPr="00EF3BC5">
              <w:rPr>
                <w:rFonts w:ascii="Arial" w:eastAsia="Times New Roman" w:hAnsi="Arial" w:cs="Arial"/>
                <w:sz w:val="16"/>
                <w:szCs w:val="16"/>
              </w:rPr>
              <w:t>Upon signing the employment agreement, the employee acknowledges and consents that any rights derived from their work outputs will be automatically transferred to the employer as they are produced, within the parameters and to the extent delineated by the university's Intellectual Property Rights policy.</w:t>
            </w:r>
          </w:p>
        </w:tc>
      </w:tr>
      <w:tr w:rsidR="00717F34" w:rsidRPr="004A7AE0" w14:paraId="7936F8B0" w14:textId="77777777" w:rsidTr="1BD12834">
        <w:tc>
          <w:tcPr>
            <w:tcW w:w="4106" w:type="dxa"/>
            <w:shd w:val="clear" w:color="auto" w:fill="D0CECE" w:themeFill="background2" w:themeFillShade="E6"/>
          </w:tcPr>
          <w:p w14:paraId="1B0795E6" w14:textId="77777777" w:rsidR="00717F34" w:rsidRPr="00717F34" w:rsidRDefault="00717F34" w:rsidP="002116B5">
            <w:pPr>
              <w:rPr>
                <w:rFonts w:ascii="Arial" w:hAnsi="Arial" w:cs="Arial"/>
                <w:b/>
                <w:sz w:val="20"/>
                <w:szCs w:val="20"/>
              </w:rPr>
            </w:pPr>
            <w:r w:rsidRPr="00717F34">
              <w:rPr>
                <w:rFonts w:ascii="Arial" w:hAnsi="Arial" w:cs="Arial"/>
                <w:b/>
                <w:sz w:val="20"/>
                <w:szCs w:val="20"/>
              </w:rPr>
              <w:t>Confidentiality</w:t>
            </w:r>
          </w:p>
        </w:tc>
        <w:tc>
          <w:tcPr>
            <w:tcW w:w="5290" w:type="dxa"/>
          </w:tcPr>
          <w:p w14:paraId="0D0E509B" w14:textId="5D7B360C" w:rsidR="00717F34" w:rsidRPr="00717F34" w:rsidRDefault="00087D26" w:rsidP="006318AA">
            <w:pPr>
              <w:tabs>
                <w:tab w:val="left" w:pos="454"/>
                <w:tab w:val="left" w:leader="dot" w:pos="9072"/>
              </w:tabs>
              <w:rPr>
                <w:rFonts w:ascii="Arial" w:hAnsi="Arial" w:cs="Arial"/>
                <w:color w:val="282828"/>
                <w:w w:val="105"/>
                <w:sz w:val="16"/>
                <w:szCs w:val="16"/>
              </w:rPr>
            </w:pPr>
            <w:r w:rsidRPr="00087D26">
              <w:rPr>
                <w:rFonts w:ascii="Arial" w:hAnsi="Arial" w:cs="Arial"/>
                <w:color w:val="282828"/>
                <w:w w:val="105"/>
                <w:sz w:val="16"/>
                <w:szCs w:val="16"/>
              </w:rPr>
              <w:t>Individuals engaged by NTNU are bound by a confidentiality obligation in accordance with the Public Administration Act, along with any specific confidentiality rules relevant to the role. By signing this employment contract, the appointed individual affirms their awareness of, and commitment to abide by, these confidentiality regulations.</w:t>
            </w:r>
          </w:p>
        </w:tc>
      </w:tr>
    </w:tbl>
    <w:p w14:paraId="404C45AB" w14:textId="662C259F" w:rsidR="00717F34" w:rsidRDefault="00D76933">
      <w:pPr>
        <w:rPr>
          <w:rFonts w:ascii="Arial" w:hAnsi="Arial" w:cs="Arial"/>
          <w:b/>
        </w:rPr>
      </w:pPr>
      <w:r>
        <w:rPr>
          <w:rFonts w:ascii="Arial" w:hAnsi="Arial" w:cs="Arial"/>
          <w:b/>
        </w:rPr>
        <w:t>8</w:t>
      </w:r>
      <w:r w:rsidR="00717F34">
        <w:rPr>
          <w:rFonts w:ascii="Arial" w:hAnsi="Arial" w:cs="Arial"/>
          <w:b/>
        </w:rPr>
        <w:tab/>
        <w:t xml:space="preserve">Legal venue </w:t>
      </w:r>
    </w:p>
    <w:tbl>
      <w:tblPr>
        <w:tblStyle w:val="TableGrid2"/>
        <w:tblW w:w="0" w:type="auto"/>
        <w:tblLook w:val="04A0" w:firstRow="1" w:lastRow="0" w:firstColumn="1" w:lastColumn="0" w:noHBand="0" w:noVBand="1"/>
      </w:tblPr>
      <w:tblGrid>
        <w:gridCol w:w="4106"/>
        <w:gridCol w:w="5290"/>
      </w:tblGrid>
      <w:tr w:rsidR="00717F34" w:rsidRPr="00717F34" w14:paraId="6C6BFB86" w14:textId="77777777" w:rsidTr="282D83FD">
        <w:tc>
          <w:tcPr>
            <w:tcW w:w="4106" w:type="dxa"/>
            <w:shd w:val="clear" w:color="auto" w:fill="D0CECE" w:themeFill="background2" w:themeFillShade="E6"/>
          </w:tcPr>
          <w:p w14:paraId="49199227" w14:textId="260CBB76" w:rsidR="00717F34" w:rsidRPr="00916474" w:rsidRDefault="00916474" w:rsidP="00717F34">
            <w:pPr>
              <w:rPr>
                <w:rFonts w:ascii="Arial" w:hAnsi="Arial" w:cs="Arial"/>
                <w:b/>
                <w:sz w:val="20"/>
                <w:szCs w:val="20"/>
              </w:rPr>
            </w:pPr>
            <w:r>
              <w:rPr>
                <w:rFonts w:ascii="Arial" w:hAnsi="Arial" w:cs="Arial"/>
                <w:b/>
                <w:sz w:val="20"/>
                <w:szCs w:val="20"/>
              </w:rPr>
              <w:t>Norwegian legislation regulating th</w:t>
            </w:r>
            <w:r w:rsidR="007A6B0B">
              <w:rPr>
                <w:rFonts w:ascii="Arial" w:hAnsi="Arial" w:cs="Arial"/>
                <w:b/>
                <w:sz w:val="20"/>
                <w:szCs w:val="20"/>
              </w:rPr>
              <w:t>e</w:t>
            </w:r>
            <w:r>
              <w:rPr>
                <w:rFonts w:ascii="Arial" w:hAnsi="Arial" w:cs="Arial"/>
                <w:b/>
                <w:sz w:val="20"/>
                <w:szCs w:val="20"/>
              </w:rPr>
              <w:t xml:space="preserve"> employment relationship</w:t>
            </w:r>
          </w:p>
        </w:tc>
        <w:tc>
          <w:tcPr>
            <w:tcW w:w="5290" w:type="dxa"/>
          </w:tcPr>
          <w:p w14:paraId="7508C49F" w14:textId="2048C153" w:rsidR="0018662C" w:rsidRPr="00AD5DC0" w:rsidRDefault="00C73D12" w:rsidP="00DC4673">
            <w:pPr>
              <w:tabs>
                <w:tab w:val="left" w:pos="454"/>
                <w:tab w:val="left" w:leader="dot" w:pos="9072"/>
              </w:tabs>
              <w:rPr>
                <w:rFonts w:ascii="Arial" w:eastAsia="Times New Roman" w:hAnsi="Arial" w:cs="Arial"/>
                <w:color w:val="0000FF"/>
                <w:sz w:val="16"/>
                <w:szCs w:val="16"/>
                <w:u w:val="single"/>
                <w:lang w:val="en-GB"/>
              </w:rPr>
            </w:pPr>
            <w:r w:rsidRPr="00C73D12">
              <w:rPr>
                <w:rFonts w:ascii="Arial" w:eastAsia="Times New Roman" w:hAnsi="Arial" w:cs="Arial"/>
                <w:sz w:val="16"/>
                <w:szCs w:val="16"/>
              </w:rPr>
              <w:t>Th</w:t>
            </w:r>
            <w:r>
              <w:rPr>
                <w:rFonts w:ascii="Arial" w:eastAsia="Times New Roman" w:hAnsi="Arial" w:cs="Arial"/>
                <w:sz w:val="16"/>
                <w:szCs w:val="16"/>
              </w:rPr>
              <w:t>e parties agree that t</w:t>
            </w:r>
            <w:r w:rsidR="00916474" w:rsidRPr="00916474">
              <w:rPr>
                <w:rFonts w:ascii="Arial" w:eastAsia="Times New Roman" w:hAnsi="Arial" w:cs="Arial"/>
                <w:sz w:val="16"/>
                <w:szCs w:val="16"/>
              </w:rPr>
              <w:t>he</w:t>
            </w:r>
            <w:r w:rsidR="00916474" w:rsidRPr="00916474">
              <w:rPr>
                <w:rFonts w:ascii="Arial" w:eastAsia="Times New Roman" w:hAnsi="Arial" w:cs="Arial"/>
                <w:sz w:val="16"/>
                <w:szCs w:val="16"/>
                <w:lang w:val="en-GB"/>
              </w:rPr>
              <w:t xml:space="preserve"> appointment takes place on the terms in effect at any time for public employees under the Working Environment Act (</w:t>
            </w:r>
            <w:proofErr w:type="spellStart"/>
            <w:r w:rsidR="00916474" w:rsidRPr="00916474">
              <w:rPr>
                <w:rFonts w:ascii="Arial" w:eastAsia="Times New Roman" w:hAnsi="Arial" w:cs="Arial"/>
                <w:i/>
                <w:sz w:val="16"/>
                <w:szCs w:val="16"/>
                <w:lang w:val="en-GB"/>
              </w:rPr>
              <w:t>arbeidsmiljøloven</w:t>
            </w:r>
            <w:proofErr w:type="spellEnd"/>
            <w:r w:rsidR="00916474" w:rsidRPr="00916474">
              <w:rPr>
                <w:rFonts w:ascii="Arial" w:eastAsia="Times New Roman" w:hAnsi="Arial" w:cs="Arial"/>
                <w:sz w:val="16"/>
                <w:szCs w:val="16"/>
                <w:lang w:val="en-GB"/>
              </w:rPr>
              <w:t>), and on the basis of the Act concerning public employees of 16 June 2017 No. 67 (</w:t>
            </w:r>
            <w:proofErr w:type="spellStart"/>
            <w:r w:rsidR="00916474" w:rsidRPr="00916474">
              <w:rPr>
                <w:rFonts w:ascii="Arial" w:eastAsia="Times New Roman" w:hAnsi="Arial" w:cs="Arial"/>
                <w:i/>
                <w:sz w:val="16"/>
                <w:szCs w:val="16"/>
                <w:lang w:val="en-GB"/>
              </w:rPr>
              <w:t>statsansatteloven</w:t>
            </w:r>
            <w:proofErr w:type="spellEnd"/>
            <w:r w:rsidR="00916474" w:rsidRPr="00916474">
              <w:rPr>
                <w:rFonts w:ascii="Arial" w:eastAsia="Times New Roman" w:hAnsi="Arial" w:cs="Arial"/>
                <w:sz w:val="16"/>
                <w:szCs w:val="16"/>
                <w:lang w:val="en-GB"/>
              </w:rPr>
              <w:t>), the Public Service Pension Fund Act of 28 July 1949 No. 26 (</w:t>
            </w:r>
            <w:proofErr w:type="spellStart"/>
            <w:r w:rsidR="00916474" w:rsidRPr="00916474">
              <w:rPr>
                <w:rFonts w:ascii="Arial" w:eastAsia="Times New Roman" w:hAnsi="Arial" w:cs="Arial"/>
                <w:i/>
                <w:sz w:val="16"/>
                <w:szCs w:val="16"/>
                <w:lang w:val="en-GB"/>
              </w:rPr>
              <w:t>lov</w:t>
            </w:r>
            <w:proofErr w:type="spellEnd"/>
            <w:r w:rsidR="00916474" w:rsidRPr="00916474">
              <w:rPr>
                <w:rFonts w:ascii="Arial" w:eastAsia="Times New Roman" w:hAnsi="Arial" w:cs="Arial"/>
                <w:i/>
                <w:sz w:val="16"/>
                <w:szCs w:val="16"/>
                <w:lang w:val="en-GB"/>
              </w:rPr>
              <w:t xml:space="preserve"> om </w:t>
            </w:r>
            <w:proofErr w:type="spellStart"/>
            <w:r w:rsidR="00916474" w:rsidRPr="00916474">
              <w:rPr>
                <w:rFonts w:ascii="Arial" w:eastAsia="Times New Roman" w:hAnsi="Arial" w:cs="Arial"/>
                <w:i/>
                <w:sz w:val="16"/>
                <w:szCs w:val="16"/>
                <w:lang w:val="en-GB"/>
              </w:rPr>
              <w:t>Statens</w:t>
            </w:r>
            <w:proofErr w:type="spellEnd"/>
            <w:r w:rsidR="00916474" w:rsidRPr="00916474">
              <w:rPr>
                <w:rFonts w:ascii="Arial" w:eastAsia="Times New Roman" w:hAnsi="Arial" w:cs="Arial"/>
                <w:i/>
                <w:sz w:val="16"/>
                <w:szCs w:val="16"/>
                <w:lang w:val="en-GB"/>
              </w:rPr>
              <w:t xml:space="preserve"> </w:t>
            </w:r>
            <w:proofErr w:type="spellStart"/>
            <w:r w:rsidR="00916474" w:rsidRPr="00916474">
              <w:rPr>
                <w:rFonts w:ascii="Arial" w:eastAsia="Times New Roman" w:hAnsi="Arial" w:cs="Arial"/>
                <w:i/>
                <w:sz w:val="16"/>
                <w:szCs w:val="16"/>
                <w:lang w:val="en-GB"/>
              </w:rPr>
              <w:t>pensjonskasse</w:t>
            </w:r>
            <w:proofErr w:type="spellEnd"/>
            <w:r w:rsidR="00916474" w:rsidRPr="00916474">
              <w:rPr>
                <w:rFonts w:ascii="Arial" w:eastAsia="Times New Roman" w:hAnsi="Arial" w:cs="Arial"/>
                <w:sz w:val="16"/>
                <w:szCs w:val="16"/>
                <w:lang w:val="en-GB"/>
              </w:rPr>
              <w:t>), the Act on the Retirement Age of Civil Servants of 21 December 1956 No. 1 (</w:t>
            </w:r>
            <w:proofErr w:type="spellStart"/>
            <w:r w:rsidR="00916474" w:rsidRPr="00916474">
              <w:rPr>
                <w:rFonts w:ascii="Arial" w:eastAsia="Times New Roman" w:hAnsi="Arial" w:cs="Arial"/>
                <w:i/>
                <w:sz w:val="16"/>
                <w:szCs w:val="16"/>
                <w:lang w:val="en-GB"/>
              </w:rPr>
              <w:t>lov</w:t>
            </w:r>
            <w:proofErr w:type="spellEnd"/>
            <w:r w:rsidR="00916474" w:rsidRPr="00916474">
              <w:rPr>
                <w:rFonts w:ascii="Arial" w:eastAsia="Times New Roman" w:hAnsi="Arial" w:cs="Arial"/>
                <w:i/>
                <w:sz w:val="16"/>
                <w:szCs w:val="16"/>
                <w:lang w:val="en-GB"/>
              </w:rPr>
              <w:t xml:space="preserve"> om </w:t>
            </w:r>
            <w:proofErr w:type="spellStart"/>
            <w:r w:rsidR="00916474" w:rsidRPr="00916474">
              <w:rPr>
                <w:rFonts w:ascii="Arial" w:eastAsia="Times New Roman" w:hAnsi="Arial" w:cs="Arial"/>
                <w:i/>
                <w:sz w:val="16"/>
                <w:szCs w:val="16"/>
                <w:lang w:val="en-GB"/>
              </w:rPr>
              <w:t>aldersgrenser</w:t>
            </w:r>
            <w:proofErr w:type="spellEnd"/>
            <w:r w:rsidR="00916474" w:rsidRPr="00916474">
              <w:rPr>
                <w:rFonts w:ascii="Arial" w:eastAsia="Times New Roman" w:hAnsi="Arial" w:cs="Arial"/>
                <w:i/>
                <w:sz w:val="16"/>
                <w:szCs w:val="16"/>
                <w:lang w:val="en-GB"/>
              </w:rPr>
              <w:t xml:space="preserve"> for o</w:t>
            </w:r>
            <w:proofErr w:type="spellStart"/>
            <w:r w:rsidR="00916474" w:rsidRPr="00916474">
              <w:rPr>
                <w:rFonts w:ascii="Arial" w:eastAsia="Times New Roman" w:hAnsi="Arial" w:cs="Arial"/>
                <w:i/>
                <w:sz w:val="16"/>
                <w:szCs w:val="16"/>
              </w:rPr>
              <w:t>ffentlig</w:t>
            </w:r>
            <w:proofErr w:type="spellEnd"/>
            <w:r w:rsidR="00916474" w:rsidRPr="00916474">
              <w:rPr>
                <w:rFonts w:ascii="Arial" w:eastAsia="Times New Roman" w:hAnsi="Arial" w:cs="Arial"/>
                <w:i/>
                <w:sz w:val="16"/>
                <w:szCs w:val="16"/>
              </w:rPr>
              <w:t xml:space="preserve"> ansatte</w:t>
            </w:r>
            <w:r w:rsidR="00916474" w:rsidRPr="00916474">
              <w:rPr>
                <w:rFonts w:ascii="Arial" w:eastAsia="Times New Roman" w:hAnsi="Arial" w:cs="Arial"/>
                <w:i/>
                <w:sz w:val="16"/>
                <w:szCs w:val="16"/>
                <w:lang w:val="en-GB"/>
              </w:rPr>
              <w:t>.</w:t>
            </w:r>
            <w:r w:rsidR="00916474" w:rsidRPr="00916474">
              <w:rPr>
                <w:rFonts w:ascii="Arial" w:eastAsia="Times New Roman" w:hAnsi="Arial" w:cs="Arial"/>
                <w:sz w:val="16"/>
                <w:szCs w:val="16"/>
                <w:lang w:val="en-GB"/>
              </w:rPr>
              <w:t xml:space="preserve">) and the Act relating to Universities and University Colleges of </w:t>
            </w:r>
            <w:r w:rsidR="00916474" w:rsidRPr="00916474">
              <w:rPr>
                <w:rFonts w:ascii="Arial" w:eastAsia="Times New Roman" w:hAnsi="Arial" w:cs="Arial"/>
                <w:sz w:val="16"/>
                <w:szCs w:val="16"/>
                <w:lang w:val="en-GB"/>
              </w:rPr>
              <w:br/>
              <w:t>1 April 2005 No. 15 (</w:t>
            </w:r>
            <w:proofErr w:type="spellStart"/>
            <w:r w:rsidR="00916474" w:rsidRPr="00916474">
              <w:rPr>
                <w:rFonts w:ascii="Arial" w:eastAsia="Times New Roman" w:hAnsi="Arial" w:cs="Arial"/>
                <w:i/>
                <w:sz w:val="16"/>
                <w:szCs w:val="16"/>
                <w:lang w:val="en-GB"/>
              </w:rPr>
              <w:t>universitets</w:t>
            </w:r>
            <w:proofErr w:type="spellEnd"/>
            <w:r w:rsidR="00916474" w:rsidRPr="00916474">
              <w:rPr>
                <w:rFonts w:ascii="Arial" w:eastAsia="Times New Roman" w:hAnsi="Arial" w:cs="Arial"/>
                <w:i/>
                <w:sz w:val="16"/>
                <w:szCs w:val="16"/>
                <w:lang w:val="en-GB"/>
              </w:rPr>
              <w:t xml:space="preserve">- og </w:t>
            </w:r>
            <w:proofErr w:type="spellStart"/>
            <w:r w:rsidR="00916474" w:rsidRPr="00916474">
              <w:rPr>
                <w:rFonts w:ascii="Arial" w:eastAsia="Times New Roman" w:hAnsi="Arial" w:cs="Arial"/>
                <w:i/>
                <w:sz w:val="16"/>
                <w:szCs w:val="16"/>
                <w:lang w:val="en-GB"/>
              </w:rPr>
              <w:t>hø</w:t>
            </w:r>
            <w:r w:rsidR="00DC4673">
              <w:rPr>
                <w:rFonts w:ascii="Arial" w:eastAsia="Times New Roman" w:hAnsi="Arial" w:cs="Arial"/>
                <w:i/>
                <w:sz w:val="16"/>
                <w:szCs w:val="16"/>
                <w:lang w:val="en-GB"/>
              </w:rPr>
              <w:t>g</w:t>
            </w:r>
            <w:r w:rsidR="00916474" w:rsidRPr="00916474">
              <w:rPr>
                <w:rFonts w:ascii="Arial" w:eastAsia="Times New Roman" w:hAnsi="Arial" w:cs="Arial"/>
                <w:i/>
                <w:sz w:val="16"/>
                <w:szCs w:val="16"/>
                <w:lang w:val="en-GB"/>
              </w:rPr>
              <w:t>skoleloven</w:t>
            </w:r>
            <w:proofErr w:type="spellEnd"/>
            <w:r w:rsidR="00916474" w:rsidRPr="00916474">
              <w:rPr>
                <w:rFonts w:ascii="Arial" w:eastAsia="Times New Roman" w:hAnsi="Arial" w:cs="Arial"/>
                <w:sz w:val="16"/>
                <w:szCs w:val="16"/>
                <w:lang w:val="en-GB"/>
              </w:rPr>
              <w:t xml:space="preserve">). The employment relationship is also governed by NTNU’s internal special agreements, pay policy, human resources policy and guidelines, etc. </w:t>
            </w:r>
            <w:r w:rsidR="00087D26">
              <w:rPr>
                <w:rFonts w:ascii="Arial" w:eastAsia="Times New Roman" w:hAnsi="Arial" w:cs="Arial"/>
                <w:sz w:val="16"/>
                <w:szCs w:val="16"/>
                <w:lang w:val="en-GB"/>
              </w:rPr>
              <w:t xml:space="preserve">available </w:t>
            </w:r>
            <w:r w:rsidR="00916474" w:rsidRPr="00916474">
              <w:rPr>
                <w:rFonts w:ascii="Arial" w:eastAsia="Times New Roman" w:hAnsi="Arial" w:cs="Arial"/>
                <w:sz w:val="16"/>
                <w:szCs w:val="16"/>
                <w:lang w:val="en-GB"/>
              </w:rPr>
              <w:t xml:space="preserve">at </w:t>
            </w:r>
            <w:hyperlink r:id="rId13" w:history="1">
              <w:r w:rsidR="00916474" w:rsidRPr="00916474">
                <w:rPr>
                  <w:rFonts w:ascii="Arial" w:eastAsia="Times New Roman" w:hAnsi="Arial" w:cs="Arial"/>
                  <w:color w:val="0000FF"/>
                  <w:sz w:val="16"/>
                  <w:szCs w:val="16"/>
                  <w:u w:val="single"/>
                  <w:lang w:val="en-GB"/>
                </w:rPr>
                <w:t>www.ntnu.edu/jobs</w:t>
              </w:r>
            </w:hyperlink>
          </w:p>
        </w:tc>
      </w:tr>
      <w:tr w:rsidR="00717F34" w:rsidRPr="00717F34" w14:paraId="49E4A387" w14:textId="77777777" w:rsidTr="282D83FD">
        <w:tc>
          <w:tcPr>
            <w:tcW w:w="4106" w:type="dxa"/>
            <w:shd w:val="clear" w:color="auto" w:fill="D0CECE" w:themeFill="background2" w:themeFillShade="E6"/>
          </w:tcPr>
          <w:p w14:paraId="059D35F3" w14:textId="49E94FEA" w:rsidR="00717F34" w:rsidRPr="002920D6" w:rsidRDefault="002920D6" w:rsidP="00717F34">
            <w:pPr>
              <w:rPr>
                <w:rFonts w:ascii="Arial" w:hAnsi="Arial" w:cs="Arial"/>
                <w:b/>
                <w:sz w:val="20"/>
                <w:szCs w:val="20"/>
              </w:rPr>
            </w:pPr>
            <w:r>
              <w:rPr>
                <w:rFonts w:ascii="Arial" w:hAnsi="Arial" w:cs="Arial"/>
                <w:b/>
                <w:sz w:val="20"/>
                <w:szCs w:val="20"/>
              </w:rPr>
              <w:lastRenderedPageBreak/>
              <w:t>Dispute resolution</w:t>
            </w:r>
          </w:p>
        </w:tc>
        <w:tc>
          <w:tcPr>
            <w:tcW w:w="5290" w:type="dxa"/>
          </w:tcPr>
          <w:p w14:paraId="7B2B5EE6" w14:textId="16AB98E8" w:rsidR="00717F34" w:rsidRPr="002920D6" w:rsidRDefault="00565C0F" w:rsidP="006318AA">
            <w:pPr>
              <w:tabs>
                <w:tab w:val="left" w:pos="454"/>
                <w:tab w:val="left" w:leader="dot" w:pos="9072"/>
              </w:tabs>
              <w:rPr>
                <w:rFonts w:ascii="Arial" w:hAnsi="Arial" w:cs="Arial"/>
                <w:color w:val="282828"/>
                <w:w w:val="105"/>
                <w:sz w:val="16"/>
                <w:szCs w:val="16"/>
              </w:rPr>
            </w:pPr>
            <w:r>
              <w:rPr>
                <w:rStyle w:val="cf01"/>
                <w:rFonts w:ascii="Arial" w:hAnsi="Arial" w:cs="Arial"/>
                <w:sz w:val="16"/>
                <w:szCs w:val="16"/>
              </w:rPr>
              <w:t>I</w:t>
            </w:r>
            <w:r w:rsidR="00A10801" w:rsidRPr="00565C0F">
              <w:rPr>
                <w:rStyle w:val="cf01"/>
                <w:rFonts w:ascii="Arial" w:hAnsi="Arial" w:cs="Arial"/>
                <w:sz w:val="16"/>
                <w:szCs w:val="16"/>
              </w:rPr>
              <w:t>n case of dispute arising from this agreement, this should be settled in Norwegian court. The legal venue is Trondheim, Norway</w:t>
            </w:r>
            <w:r w:rsidR="002920D6">
              <w:rPr>
                <w:rStyle w:val="cf01"/>
                <w:rFonts w:ascii="Arial" w:hAnsi="Arial" w:cs="Arial"/>
                <w:sz w:val="16"/>
                <w:szCs w:val="16"/>
              </w:rPr>
              <w:t>.</w:t>
            </w:r>
          </w:p>
        </w:tc>
      </w:tr>
    </w:tbl>
    <w:p w14:paraId="328592CA" w14:textId="77777777" w:rsidR="00D76933" w:rsidRPr="00855633" w:rsidRDefault="00D76933" w:rsidP="00D76933">
      <w:pPr>
        <w:rPr>
          <w:rFonts w:ascii="Arial" w:hAnsi="Arial" w:cs="Arial"/>
          <w:b/>
          <w:bCs/>
        </w:rPr>
      </w:pPr>
      <w:bookmarkStart w:id="2" w:name="_Hlk25228296"/>
    </w:p>
    <w:p w14:paraId="634B6DAA" w14:textId="77777777" w:rsidR="009B541C" w:rsidRDefault="009B541C" w:rsidP="00D76933">
      <w:pPr>
        <w:rPr>
          <w:rFonts w:ascii="Arial" w:hAnsi="Arial" w:cs="Arial"/>
          <w:b/>
        </w:rPr>
      </w:pPr>
    </w:p>
    <w:p w14:paraId="495D1990" w14:textId="174F9673" w:rsidR="00D76933" w:rsidRDefault="00D76933" w:rsidP="00D76933">
      <w:pPr>
        <w:rPr>
          <w:rFonts w:ascii="Arial" w:hAnsi="Arial" w:cs="Arial"/>
          <w:b/>
        </w:rPr>
      </w:pPr>
      <w:r>
        <w:rPr>
          <w:rFonts w:ascii="Arial" w:hAnsi="Arial" w:cs="Arial"/>
          <w:b/>
        </w:rPr>
        <w:t xml:space="preserve">9            Social security, pensions and insurance </w:t>
      </w:r>
    </w:p>
    <w:tbl>
      <w:tblPr>
        <w:tblStyle w:val="Tabellrutenett"/>
        <w:tblW w:w="0" w:type="auto"/>
        <w:tblLook w:val="04A0" w:firstRow="1" w:lastRow="0" w:firstColumn="1" w:lastColumn="0" w:noHBand="0" w:noVBand="1"/>
      </w:tblPr>
      <w:tblGrid>
        <w:gridCol w:w="4248"/>
        <w:gridCol w:w="5148"/>
      </w:tblGrid>
      <w:tr w:rsidR="00D76933" w:rsidRPr="005649B3" w14:paraId="62169588" w14:textId="77777777" w:rsidTr="1EF9CB93">
        <w:tc>
          <w:tcPr>
            <w:tcW w:w="4248" w:type="dxa"/>
            <w:shd w:val="clear" w:color="auto" w:fill="D0CECE" w:themeFill="background2" w:themeFillShade="E6"/>
          </w:tcPr>
          <w:p w14:paraId="13AA7C69" w14:textId="77777777" w:rsidR="00D76933" w:rsidRPr="001C45B7" w:rsidRDefault="00D76933" w:rsidP="00545007">
            <w:pPr>
              <w:rPr>
                <w:rFonts w:ascii="Arial" w:hAnsi="Arial" w:cs="Arial"/>
                <w:b/>
                <w:sz w:val="20"/>
                <w:szCs w:val="20"/>
              </w:rPr>
            </w:pPr>
            <w:r w:rsidRPr="001C45B7">
              <w:rPr>
                <w:rFonts w:ascii="Arial" w:hAnsi="Arial" w:cs="Arial"/>
                <w:b/>
                <w:sz w:val="20"/>
                <w:szCs w:val="20"/>
              </w:rPr>
              <w:t>Social security</w:t>
            </w:r>
          </w:p>
        </w:tc>
        <w:tc>
          <w:tcPr>
            <w:tcW w:w="5148" w:type="dxa"/>
          </w:tcPr>
          <w:p w14:paraId="01E11757" w14:textId="03BA03D2" w:rsidR="00D76933" w:rsidRPr="005A4F61" w:rsidRDefault="00D76933" w:rsidP="3CAB1237">
            <w:pPr>
              <w:pStyle w:val="Listeavsnitt"/>
              <w:numPr>
                <w:ilvl w:val="0"/>
                <w:numId w:val="6"/>
              </w:numPr>
              <w:rPr>
                <w:rFonts w:ascii="Arial" w:hAnsi="Arial" w:cs="Arial"/>
                <w:sz w:val="16"/>
                <w:szCs w:val="16"/>
              </w:rPr>
            </w:pPr>
            <w:r w:rsidRPr="3CAB1237">
              <w:rPr>
                <w:rFonts w:ascii="Arial" w:hAnsi="Arial" w:cs="Arial"/>
                <w:sz w:val="16"/>
                <w:szCs w:val="16"/>
                <w:u w:val="single"/>
              </w:rPr>
              <w:t>Employees from</w:t>
            </w:r>
            <w:r w:rsidR="02578333" w:rsidRPr="3CAB1237">
              <w:rPr>
                <w:rFonts w:ascii="Arial" w:hAnsi="Arial" w:cs="Arial"/>
                <w:sz w:val="16"/>
                <w:szCs w:val="16"/>
                <w:u w:val="single"/>
              </w:rPr>
              <w:t xml:space="preserve"> </w:t>
            </w:r>
            <w:r w:rsidRPr="3CAB1237">
              <w:rPr>
                <w:rFonts w:ascii="Arial" w:hAnsi="Arial" w:cs="Arial"/>
                <w:sz w:val="16"/>
                <w:szCs w:val="16"/>
                <w:u w:val="single"/>
              </w:rPr>
              <w:t>outside EU/EEA:</w:t>
            </w:r>
            <w:r w:rsidRPr="3CAB1237">
              <w:rPr>
                <w:rFonts w:ascii="Arial" w:hAnsi="Arial" w:cs="Arial"/>
                <w:sz w:val="16"/>
                <w:szCs w:val="16"/>
              </w:rPr>
              <w:t xml:space="preserve"> The employee is </w:t>
            </w:r>
            <w:r w:rsidRPr="3CAB1237">
              <w:rPr>
                <w:rFonts w:ascii="Arial" w:hAnsi="Arial" w:cs="Arial"/>
                <w:i/>
                <w:iCs/>
                <w:sz w:val="16"/>
                <w:szCs w:val="16"/>
              </w:rPr>
              <w:t xml:space="preserve">not </w:t>
            </w:r>
            <w:r w:rsidRPr="3CAB1237">
              <w:rPr>
                <w:rFonts w:ascii="Arial" w:hAnsi="Arial" w:cs="Arial"/>
                <w:sz w:val="16"/>
                <w:szCs w:val="16"/>
              </w:rPr>
              <w:t xml:space="preserve">a member of the Norwegian social security scheme. The employee is obligated to provide the employer with a </w:t>
            </w:r>
            <w:r w:rsidR="01F69518" w:rsidRPr="3CAB1237">
              <w:rPr>
                <w:rFonts w:ascii="Arial" w:hAnsi="Arial" w:cs="Arial"/>
                <w:sz w:val="16"/>
                <w:szCs w:val="16"/>
              </w:rPr>
              <w:t>C</w:t>
            </w:r>
            <w:r w:rsidRPr="3CAB1237">
              <w:rPr>
                <w:rFonts w:ascii="Arial" w:hAnsi="Arial" w:cs="Arial"/>
                <w:sz w:val="16"/>
                <w:szCs w:val="16"/>
              </w:rPr>
              <w:t>ertificate of Coverage from employee's state of residence.</w:t>
            </w:r>
          </w:p>
          <w:p w14:paraId="15225B55" w14:textId="1C7952F4" w:rsidR="005E2AC0" w:rsidRPr="005E2AC0" w:rsidRDefault="00D76933" w:rsidP="3CAB1237">
            <w:pPr>
              <w:pStyle w:val="Listeavsnitt"/>
              <w:numPr>
                <w:ilvl w:val="0"/>
                <w:numId w:val="6"/>
              </w:numPr>
              <w:rPr>
                <w:rFonts w:ascii="Arial" w:hAnsi="Arial" w:cs="Arial"/>
                <w:color w:val="282828"/>
                <w:sz w:val="16"/>
                <w:szCs w:val="16"/>
              </w:rPr>
            </w:pPr>
            <w:r w:rsidRPr="3CAB1237">
              <w:rPr>
                <w:rFonts w:ascii="Arial" w:hAnsi="Arial" w:cs="Arial"/>
                <w:color w:val="282828"/>
                <w:w w:val="105"/>
                <w:sz w:val="16"/>
                <w:szCs w:val="16"/>
                <w:u w:val="single"/>
              </w:rPr>
              <w:t>Employees from EU/EEA</w:t>
            </w:r>
            <w:r w:rsidR="72D420CD" w:rsidRPr="3CAB1237">
              <w:rPr>
                <w:rFonts w:ascii="Arial" w:hAnsi="Arial" w:cs="Arial"/>
                <w:color w:val="282828"/>
                <w:w w:val="105"/>
                <w:sz w:val="16"/>
                <w:szCs w:val="16"/>
                <w:u w:val="single"/>
              </w:rPr>
              <w:t xml:space="preserve"> working in a</w:t>
            </w:r>
            <w:r w:rsidR="77766CF3" w:rsidRPr="3CAB1237">
              <w:rPr>
                <w:rFonts w:ascii="Arial" w:hAnsi="Arial" w:cs="Arial"/>
                <w:color w:val="282828"/>
                <w:w w:val="105"/>
                <w:sz w:val="16"/>
                <w:szCs w:val="16"/>
                <w:u w:val="single"/>
              </w:rPr>
              <w:t>n</w:t>
            </w:r>
            <w:r w:rsidR="4A7FE4E6" w:rsidRPr="3CAB1237">
              <w:rPr>
                <w:rFonts w:ascii="Arial" w:hAnsi="Arial" w:cs="Arial"/>
                <w:color w:val="282828"/>
                <w:w w:val="105"/>
                <w:sz w:val="16"/>
                <w:szCs w:val="16"/>
                <w:u w:val="single"/>
              </w:rPr>
              <w:t>other</w:t>
            </w:r>
            <w:r w:rsidR="72D420CD" w:rsidRPr="3CAB1237">
              <w:rPr>
                <w:rFonts w:ascii="Arial" w:hAnsi="Arial" w:cs="Arial"/>
                <w:color w:val="282828"/>
                <w:w w:val="105"/>
                <w:sz w:val="16"/>
                <w:szCs w:val="16"/>
                <w:u w:val="single"/>
              </w:rPr>
              <w:t xml:space="preserve"> EU/EEA country</w:t>
            </w:r>
            <w:r w:rsidRPr="3CAB1237">
              <w:rPr>
                <w:rFonts w:ascii="Arial" w:hAnsi="Arial" w:cs="Arial"/>
                <w:color w:val="282828"/>
                <w:w w:val="105"/>
                <w:sz w:val="16"/>
                <w:szCs w:val="16"/>
                <w:u w:val="single"/>
              </w:rPr>
              <w:t>:</w:t>
            </w:r>
            <w:r w:rsidRPr="0024673D">
              <w:rPr>
                <w:rFonts w:ascii="Calibri" w:hAnsi="Calibri" w:cs="Calibri"/>
                <w:color w:val="000000"/>
                <w:shd w:val="clear" w:color="auto" w:fill="FFFFFF"/>
              </w:rPr>
              <w:t xml:space="preserve"> </w:t>
            </w:r>
            <w:r w:rsidRPr="0024673D">
              <w:rPr>
                <w:rFonts w:ascii="Arial" w:hAnsi="Arial" w:cs="Arial"/>
                <w:color w:val="282828"/>
                <w:w w:val="105"/>
                <w:sz w:val="16"/>
                <w:szCs w:val="16"/>
              </w:rPr>
              <w:t xml:space="preserve">Membership in the Norwegian national insurance </w:t>
            </w:r>
            <w:r w:rsidRPr="3CAB1237">
              <w:rPr>
                <w:rFonts w:ascii="Arial" w:hAnsi="Arial" w:cs="Arial"/>
                <w:color w:val="282828"/>
                <w:w w:val="105"/>
                <w:sz w:val="16"/>
                <w:szCs w:val="16"/>
              </w:rPr>
              <w:t xml:space="preserve">normally </w:t>
            </w:r>
            <w:r w:rsidRPr="0024673D">
              <w:rPr>
                <w:rFonts w:ascii="Arial" w:hAnsi="Arial" w:cs="Arial"/>
                <w:color w:val="282828"/>
                <w:w w:val="105"/>
                <w:sz w:val="16"/>
                <w:szCs w:val="16"/>
              </w:rPr>
              <w:t>applies when working for NTNU as a state university</w:t>
            </w:r>
            <w:r w:rsidRPr="3CAB1237">
              <w:rPr>
                <w:rFonts w:ascii="Arial" w:hAnsi="Arial" w:cs="Arial"/>
                <w:color w:val="282828"/>
                <w:w w:val="105"/>
                <w:sz w:val="16"/>
                <w:szCs w:val="16"/>
              </w:rPr>
              <w:t xml:space="preserve"> and the employee must </w:t>
            </w:r>
            <w:r w:rsidRPr="0024673D">
              <w:rPr>
                <w:rFonts w:ascii="Arial" w:hAnsi="Arial" w:cs="Arial"/>
                <w:color w:val="282828"/>
                <w:w w:val="105"/>
                <w:sz w:val="16"/>
                <w:szCs w:val="16"/>
              </w:rPr>
              <w:t>apply</w:t>
            </w:r>
            <w:r w:rsidRPr="3CAB1237">
              <w:rPr>
                <w:rFonts w:ascii="Arial" w:hAnsi="Arial" w:cs="Arial"/>
                <w:color w:val="282828"/>
                <w:w w:val="105"/>
                <w:sz w:val="16"/>
                <w:szCs w:val="16"/>
              </w:rPr>
              <w:t xml:space="preserve"> </w:t>
            </w:r>
            <w:r w:rsidRPr="0024673D">
              <w:rPr>
                <w:rFonts w:ascii="Arial" w:hAnsi="Arial" w:cs="Arial"/>
                <w:color w:val="282828"/>
                <w:w w:val="105"/>
                <w:sz w:val="16"/>
                <w:szCs w:val="16"/>
              </w:rPr>
              <w:t>for a Norwegian A1.</w:t>
            </w:r>
            <w:r w:rsidR="61A9F5CB" w:rsidRPr="3CAB1237">
              <w:rPr>
                <w:rFonts w:ascii="Arial" w:hAnsi="Arial" w:cs="Arial"/>
                <w:color w:val="282828"/>
                <w:w w:val="105"/>
                <w:sz w:val="16"/>
                <w:szCs w:val="16"/>
              </w:rPr>
              <w:t xml:space="preserve"> </w:t>
            </w:r>
          </w:p>
        </w:tc>
      </w:tr>
      <w:tr w:rsidR="00D76933" w:rsidRPr="001C45B7" w14:paraId="0CC8EA38" w14:textId="77777777" w:rsidTr="1EF9CB93">
        <w:tc>
          <w:tcPr>
            <w:tcW w:w="4248" w:type="dxa"/>
            <w:shd w:val="clear" w:color="auto" w:fill="D0CECE" w:themeFill="background2" w:themeFillShade="E6"/>
          </w:tcPr>
          <w:p w14:paraId="17737174" w14:textId="77777777" w:rsidR="00D76933" w:rsidRPr="001C45B7" w:rsidRDefault="00D76933" w:rsidP="00545007">
            <w:pPr>
              <w:rPr>
                <w:rFonts w:ascii="Arial" w:hAnsi="Arial" w:cs="Arial"/>
                <w:b/>
                <w:sz w:val="20"/>
                <w:szCs w:val="20"/>
              </w:rPr>
            </w:pPr>
            <w:r w:rsidRPr="001C45B7">
              <w:rPr>
                <w:rFonts w:ascii="Arial" w:hAnsi="Arial" w:cs="Arial"/>
                <w:b/>
                <w:sz w:val="20"/>
                <w:szCs w:val="20"/>
              </w:rPr>
              <w:t>Insurance</w:t>
            </w:r>
          </w:p>
        </w:tc>
        <w:tc>
          <w:tcPr>
            <w:tcW w:w="5148" w:type="dxa"/>
          </w:tcPr>
          <w:p w14:paraId="42D429F6" w14:textId="26474B89" w:rsidR="00D76933" w:rsidRPr="00602D7B" w:rsidRDefault="00D76933" w:rsidP="1BD12834">
            <w:pPr>
              <w:pStyle w:val="Listeavsnitt"/>
              <w:numPr>
                <w:ilvl w:val="0"/>
                <w:numId w:val="8"/>
              </w:numPr>
              <w:rPr>
                <w:rFonts w:ascii="Arial" w:hAnsi="Arial" w:cs="Arial"/>
                <w:sz w:val="16"/>
                <w:szCs w:val="16"/>
              </w:rPr>
            </w:pPr>
            <w:r w:rsidRPr="1BD12834">
              <w:rPr>
                <w:rFonts w:ascii="Arial" w:hAnsi="Arial" w:cs="Arial"/>
                <w:sz w:val="16"/>
                <w:szCs w:val="16"/>
                <w:u w:val="single"/>
              </w:rPr>
              <w:t>Employees from</w:t>
            </w:r>
            <w:r w:rsidRPr="1BD12834">
              <w:rPr>
                <w:rFonts w:ascii="Arial" w:hAnsi="Arial" w:cs="Arial"/>
                <w:color w:val="FF0000"/>
                <w:sz w:val="16"/>
                <w:szCs w:val="16"/>
                <w:u w:val="single"/>
              </w:rPr>
              <w:t xml:space="preserve"> </w:t>
            </w:r>
            <w:r w:rsidRPr="1BD12834">
              <w:rPr>
                <w:rFonts w:ascii="Arial" w:hAnsi="Arial" w:cs="Arial"/>
                <w:sz w:val="16"/>
                <w:szCs w:val="16"/>
                <w:u w:val="single"/>
              </w:rPr>
              <w:t>outside EU/EEA:</w:t>
            </w:r>
            <w:r w:rsidRPr="1BD12834">
              <w:rPr>
                <w:rFonts w:ascii="Arial" w:hAnsi="Arial" w:cs="Arial"/>
                <w:sz w:val="16"/>
                <w:szCs w:val="16"/>
              </w:rPr>
              <w:t xml:space="preserve"> As </w:t>
            </w:r>
            <w:r w:rsidR="5152A7D7" w:rsidRPr="1BD12834">
              <w:rPr>
                <w:rFonts w:ascii="Arial" w:hAnsi="Arial" w:cs="Arial"/>
                <w:sz w:val="16"/>
                <w:szCs w:val="16"/>
              </w:rPr>
              <w:t>a non-member</w:t>
            </w:r>
            <w:r w:rsidRPr="1BD12834">
              <w:rPr>
                <w:rFonts w:ascii="Arial" w:hAnsi="Arial" w:cs="Arial"/>
                <w:sz w:val="16"/>
                <w:szCs w:val="16"/>
              </w:rPr>
              <w:t xml:space="preserve"> of the Norwegian social security system</w:t>
            </w:r>
            <w:r w:rsidR="4AEC1173" w:rsidRPr="1BD12834">
              <w:rPr>
                <w:rFonts w:ascii="Arial" w:hAnsi="Arial" w:cs="Arial"/>
                <w:sz w:val="16"/>
                <w:szCs w:val="16"/>
              </w:rPr>
              <w:t xml:space="preserve">, </w:t>
            </w:r>
            <w:r w:rsidRPr="1BD12834">
              <w:rPr>
                <w:rFonts w:ascii="Arial" w:hAnsi="Arial" w:cs="Arial"/>
                <w:sz w:val="16"/>
                <w:szCs w:val="16"/>
              </w:rPr>
              <w:t xml:space="preserve">the employee is </w:t>
            </w:r>
            <w:r w:rsidRPr="1BD12834">
              <w:rPr>
                <w:rFonts w:ascii="Arial" w:hAnsi="Arial" w:cs="Arial"/>
                <w:i/>
                <w:iCs/>
                <w:sz w:val="16"/>
                <w:szCs w:val="16"/>
              </w:rPr>
              <w:t xml:space="preserve">not </w:t>
            </w:r>
            <w:r w:rsidRPr="1BD12834">
              <w:rPr>
                <w:rFonts w:ascii="Arial" w:hAnsi="Arial" w:cs="Arial"/>
                <w:sz w:val="16"/>
                <w:szCs w:val="16"/>
              </w:rPr>
              <w:t xml:space="preserve">covered by a group life insurance </w:t>
            </w:r>
            <w:r w:rsidR="7835302D" w:rsidRPr="1BD12834">
              <w:rPr>
                <w:rFonts w:ascii="Arial" w:hAnsi="Arial" w:cs="Arial"/>
                <w:sz w:val="16"/>
                <w:szCs w:val="16"/>
              </w:rPr>
              <w:t>through</w:t>
            </w:r>
            <w:r w:rsidRPr="1BD12834">
              <w:rPr>
                <w:rFonts w:ascii="Arial" w:hAnsi="Arial" w:cs="Arial"/>
                <w:sz w:val="16"/>
                <w:szCs w:val="16"/>
              </w:rPr>
              <w:t xml:space="preserve"> the Norwegian Public Service Pension Fund (</w:t>
            </w:r>
            <w:proofErr w:type="spellStart"/>
            <w:r w:rsidRPr="1BD12834">
              <w:rPr>
                <w:rFonts w:ascii="Arial" w:hAnsi="Arial" w:cs="Arial"/>
                <w:sz w:val="16"/>
                <w:szCs w:val="16"/>
              </w:rPr>
              <w:t>Statens</w:t>
            </w:r>
            <w:proofErr w:type="spellEnd"/>
            <w:r w:rsidRPr="1BD12834">
              <w:rPr>
                <w:rFonts w:ascii="Arial" w:hAnsi="Arial" w:cs="Arial"/>
                <w:sz w:val="16"/>
                <w:szCs w:val="16"/>
              </w:rPr>
              <w:t xml:space="preserve"> </w:t>
            </w:r>
            <w:proofErr w:type="spellStart"/>
            <w:r w:rsidRPr="1BD12834">
              <w:rPr>
                <w:rFonts w:ascii="Arial" w:hAnsi="Arial" w:cs="Arial"/>
                <w:sz w:val="16"/>
                <w:szCs w:val="16"/>
              </w:rPr>
              <w:t>pensjonskasse</w:t>
            </w:r>
            <w:proofErr w:type="spellEnd"/>
            <w:r w:rsidRPr="1BD12834">
              <w:rPr>
                <w:rFonts w:ascii="Arial" w:hAnsi="Arial" w:cs="Arial"/>
                <w:sz w:val="16"/>
                <w:szCs w:val="16"/>
              </w:rPr>
              <w:t xml:space="preserve">), </w:t>
            </w:r>
            <w:r w:rsidR="37A199C2" w:rsidRPr="1BD12834">
              <w:rPr>
                <w:rFonts w:ascii="Arial" w:hAnsi="Arial" w:cs="Arial"/>
                <w:sz w:val="16"/>
                <w:szCs w:val="16"/>
              </w:rPr>
              <w:t>or the</w:t>
            </w:r>
            <w:r w:rsidRPr="1BD12834">
              <w:rPr>
                <w:rFonts w:ascii="Arial" w:hAnsi="Arial" w:cs="Arial"/>
                <w:sz w:val="16"/>
                <w:szCs w:val="16"/>
              </w:rPr>
              <w:t xml:space="preserve"> Norwegian occupational injury insurance. </w:t>
            </w:r>
          </w:p>
          <w:p w14:paraId="605A8C65" w14:textId="4CD3DA43" w:rsidR="00D76933" w:rsidRPr="0024673D" w:rsidRDefault="00D76933" w:rsidP="1BD12834">
            <w:pPr>
              <w:pStyle w:val="Listeavsnitt"/>
              <w:numPr>
                <w:ilvl w:val="0"/>
                <w:numId w:val="7"/>
              </w:numPr>
              <w:rPr>
                <w:rFonts w:ascii="Arial" w:hAnsi="Arial" w:cs="Arial"/>
                <w:sz w:val="16"/>
                <w:szCs w:val="16"/>
              </w:rPr>
            </w:pPr>
            <w:r w:rsidRPr="1BD12834">
              <w:rPr>
                <w:rFonts w:ascii="Arial" w:hAnsi="Arial" w:cs="Arial"/>
                <w:sz w:val="16"/>
                <w:szCs w:val="16"/>
                <w:u w:val="single"/>
              </w:rPr>
              <w:t>Employees from EU/EEA</w:t>
            </w:r>
            <w:r w:rsidR="18132524" w:rsidRPr="1BD12834">
              <w:rPr>
                <w:rFonts w:ascii="Arial" w:hAnsi="Arial" w:cs="Arial"/>
                <w:sz w:val="16"/>
                <w:szCs w:val="16"/>
                <w:u w:val="single"/>
              </w:rPr>
              <w:t xml:space="preserve"> working in an</w:t>
            </w:r>
            <w:r w:rsidR="3A88BEAE" w:rsidRPr="1BD12834">
              <w:rPr>
                <w:rFonts w:ascii="Arial" w:hAnsi="Arial" w:cs="Arial"/>
                <w:sz w:val="16"/>
                <w:szCs w:val="16"/>
                <w:u w:val="single"/>
              </w:rPr>
              <w:t>other</w:t>
            </w:r>
            <w:r w:rsidR="18132524" w:rsidRPr="1BD12834">
              <w:rPr>
                <w:rFonts w:ascii="Arial" w:hAnsi="Arial" w:cs="Arial"/>
                <w:sz w:val="16"/>
                <w:szCs w:val="16"/>
                <w:u w:val="single"/>
              </w:rPr>
              <w:t xml:space="preserve"> EU/EEA country</w:t>
            </w:r>
            <w:r w:rsidRPr="1BD12834">
              <w:rPr>
                <w:rFonts w:ascii="Arial" w:hAnsi="Arial" w:cs="Arial"/>
                <w:sz w:val="16"/>
                <w:szCs w:val="16"/>
                <w:u w:val="single"/>
              </w:rPr>
              <w:t>:</w:t>
            </w:r>
            <w:r w:rsidRPr="1BD12834">
              <w:rPr>
                <w:rFonts w:ascii="Arial" w:hAnsi="Arial" w:cs="Arial"/>
                <w:sz w:val="16"/>
                <w:szCs w:val="16"/>
              </w:rPr>
              <w:t xml:space="preserve"> Membership in the Norwegian social security normally applies, and </w:t>
            </w:r>
            <w:r w:rsidR="1C39EA1B" w:rsidRPr="1BD12834">
              <w:rPr>
                <w:rFonts w:ascii="Arial" w:hAnsi="Arial" w:cs="Arial"/>
                <w:sz w:val="16"/>
                <w:szCs w:val="16"/>
              </w:rPr>
              <w:t xml:space="preserve">the </w:t>
            </w:r>
            <w:r w:rsidRPr="1BD12834">
              <w:rPr>
                <w:rFonts w:ascii="Arial" w:hAnsi="Arial" w:cs="Arial"/>
                <w:sz w:val="16"/>
                <w:szCs w:val="16"/>
              </w:rPr>
              <w:t>employee is thus covered by group life insurance in the Norwegian Public Service Pension Fund (</w:t>
            </w:r>
            <w:proofErr w:type="spellStart"/>
            <w:r w:rsidRPr="1BD12834">
              <w:rPr>
                <w:rFonts w:ascii="Arial" w:hAnsi="Arial" w:cs="Arial"/>
                <w:sz w:val="16"/>
                <w:szCs w:val="16"/>
              </w:rPr>
              <w:t>Statens</w:t>
            </w:r>
            <w:proofErr w:type="spellEnd"/>
            <w:r w:rsidRPr="1BD12834">
              <w:rPr>
                <w:rFonts w:ascii="Arial" w:hAnsi="Arial" w:cs="Arial"/>
                <w:sz w:val="16"/>
                <w:szCs w:val="16"/>
              </w:rPr>
              <w:t xml:space="preserve"> </w:t>
            </w:r>
            <w:proofErr w:type="spellStart"/>
            <w:r w:rsidRPr="1BD12834">
              <w:rPr>
                <w:rFonts w:ascii="Arial" w:hAnsi="Arial" w:cs="Arial"/>
                <w:sz w:val="16"/>
                <w:szCs w:val="16"/>
              </w:rPr>
              <w:t>Pensjonskasse</w:t>
            </w:r>
            <w:proofErr w:type="spellEnd"/>
            <w:r w:rsidRPr="1BD12834">
              <w:rPr>
                <w:rFonts w:ascii="Arial" w:hAnsi="Arial" w:cs="Arial"/>
                <w:sz w:val="16"/>
                <w:szCs w:val="16"/>
              </w:rPr>
              <w:t>) and by the Norwegian occupational injury insurance</w:t>
            </w:r>
          </w:p>
        </w:tc>
      </w:tr>
      <w:tr w:rsidR="00D76933" w:rsidRPr="004A7AE0" w14:paraId="7127D1FA" w14:textId="77777777" w:rsidTr="1EF9CB93">
        <w:tc>
          <w:tcPr>
            <w:tcW w:w="4248" w:type="dxa"/>
            <w:shd w:val="clear" w:color="auto" w:fill="D0CECE" w:themeFill="background2" w:themeFillShade="E6"/>
          </w:tcPr>
          <w:p w14:paraId="12CE0C8F" w14:textId="77777777" w:rsidR="00D76933" w:rsidRPr="001C45B7" w:rsidRDefault="00D76933" w:rsidP="00545007">
            <w:pPr>
              <w:rPr>
                <w:rFonts w:ascii="Arial" w:hAnsi="Arial" w:cs="Arial"/>
                <w:b/>
                <w:sz w:val="20"/>
                <w:szCs w:val="20"/>
              </w:rPr>
            </w:pPr>
            <w:r w:rsidRPr="001C45B7">
              <w:rPr>
                <w:rFonts w:ascii="Arial" w:hAnsi="Arial" w:cs="Arial"/>
                <w:b/>
                <w:sz w:val="20"/>
                <w:szCs w:val="20"/>
              </w:rPr>
              <w:t xml:space="preserve">Occupational pension </w:t>
            </w:r>
          </w:p>
          <w:p w14:paraId="05C495DB" w14:textId="77777777" w:rsidR="00D76933" w:rsidRPr="001C45B7" w:rsidRDefault="00D76933" w:rsidP="00545007">
            <w:pPr>
              <w:rPr>
                <w:rFonts w:ascii="Arial" w:hAnsi="Arial" w:cs="Arial"/>
                <w:b/>
                <w:sz w:val="20"/>
                <w:szCs w:val="20"/>
              </w:rPr>
            </w:pPr>
          </w:p>
          <w:p w14:paraId="61B5A61C" w14:textId="77777777" w:rsidR="00D76933" w:rsidRPr="001C45B7" w:rsidRDefault="00D76933" w:rsidP="00545007">
            <w:pPr>
              <w:rPr>
                <w:rFonts w:ascii="Arial" w:hAnsi="Arial" w:cs="Arial"/>
                <w:b/>
                <w:sz w:val="20"/>
                <w:szCs w:val="20"/>
              </w:rPr>
            </w:pPr>
          </w:p>
        </w:tc>
        <w:tc>
          <w:tcPr>
            <w:tcW w:w="5148" w:type="dxa"/>
          </w:tcPr>
          <w:p w14:paraId="10B258D1" w14:textId="3DC1E73F" w:rsidR="00D76933" w:rsidRDefault="00D76933" w:rsidP="3CAB1237">
            <w:pPr>
              <w:pStyle w:val="Listeavsnitt"/>
              <w:numPr>
                <w:ilvl w:val="0"/>
                <w:numId w:val="4"/>
              </w:numPr>
              <w:rPr>
                <w:rFonts w:ascii="Arial" w:hAnsi="Arial" w:cs="Arial"/>
                <w:sz w:val="16"/>
                <w:szCs w:val="16"/>
              </w:rPr>
            </w:pPr>
            <w:r w:rsidRPr="1EF9CB93">
              <w:rPr>
                <w:rFonts w:ascii="Arial" w:hAnsi="Arial" w:cs="Arial"/>
                <w:sz w:val="16"/>
                <w:szCs w:val="16"/>
                <w:u w:val="single"/>
              </w:rPr>
              <w:t>Employees from</w:t>
            </w:r>
            <w:r w:rsidRPr="1EF9CB93">
              <w:rPr>
                <w:rFonts w:ascii="Arial" w:hAnsi="Arial" w:cs="Arial"/>
                <w:color w:val="FF0000"/>
                <w:sz w:val="16"/>
                <w:szCs w:val="16"/>
                <w:u w:val="single"/>
              </w:rPr>
              <w:t xml:space="preserve"> </w:t>
            </w:r>
            <w:r w:rsidRPr="1EF9CB93">
              <w:rPr>
                <w:rFonts w:ascii="Arial" w:hAnsi="Arial" w:cs="Arial"/>
                <w:sz w:val="16"/>
                <w:szCs w:val="16"/>
                <w:u w:val="single"/>
              </w:rPr>
              <w:t>outside EU/EEA:</w:t>
            </w:r>
            <w:r w:rsidRPr="1EF9CB93">
              <w:rPr>
                <w:rFonts w:ascii="Arial" w:hAnsi="Arial" w:cs="Arial"/>
                <w:sz w:val="16"/>
                <w:szCs w:val="16"/>
              </w:rPr>
              <w:t xml:space="preserve"> </w:t>
            </w:r>
            <w:r w:rsidR="6084E922" w:rsidRPr="1EF9CB93">
              <w:rPr>
                <w:rFonts w:ascii="Arial" w:hAnsi="Arial" w:cs="Arial"/>
                <w:sz w:val="16"/>
                <w:szCs w:val="16"/>
              </w:rPr>
              <w:t>As a non-member of the Norwegian social security scheme, t</w:t>
            </w:r>
            <w:r w:rsidRPr="1EF9CB93">
              <w:rPr>
                <w:rFonts w:ascii="Arial" w:hAnsi="Arial" w:cs="Arial"/>
                <w:sz w:val="16"/>
                <w:szCs w:val="16"/>
              </w:rPr>
              <w:t xml:space="preserve">he employee </w:t>
            </w:r>
            <w:r w:rsidR="4E99407A" w:rsidRPr="1EF9CB93">
              <w:rPr>
                <w:rFonts w:ascii="Arial" w:hAnsi="Arial" w:cs="Arial"/>
                <w:sz w:val="16"/>
                <w:szCs w:val="16"/>
              </w:rPr>
              <w:t>is</w:t>
            </w:r>
            <w:r w:rsidRPr="1EF9CB93">
              <w:rPr>
                <w:rFonts w:ascii="Arial" w:hAnsi="Arial" w:cs="Arial"/>
                <w:sz w:val="16"/>
                <w:szCs w:val="16"/>
              </w:rPr>
              <w:t xml:space="preserve"> </w:t>
            </w:r>
            <w:r w:rsidRPr="1EF9CB93">
              <w:rPr>
                <w:rFonts w:ascii="Arial" w:hAnsi="Arial" w:cs="Arial"/>
                <w:i/>
                <w:iCs/>
                <w:sz w:val="16"/>
                <w:szCs w:val="16"/>
              </w:rPr>
              <w:t>not</w:t>
            </w:r>
            <w:r w:rsidRPr="1EF9CB93">
              <w:rPr>
                <w:rFonts w:ascii="Arial" w:hAnsi="Arial" w:cs="Arial"/>
                <w:sz w:val="16"/>
                <w:szCs w:val="16"/>
              </w:rPr>
              <w:t xml:space="preserve"> covered by the Norwegian Public Service Pension Fund</w:t>
            </w:r>
            <w:r w:rsidR="7E91430F" w:rsidRPr="1EF9CB93">
              <w:rPr>
                <w:rFonts w:ascii="Arial" w:hAnsi="Arial" w:cs="Arial"/>
                <w:sz w:val="16"/>
                <w:szCs w:val="16"/>
              </w:rPr>
              <w:t>s</w:t>
            </w:r>
            <w:r w:rsidRPr="1EF9CB93">
              <w:rPr>
                <w:rFonts w:ascii="Arial" w:hAnsi="Arial" w:cs="Arial"/>
                <w:sz w:val="16"/>
                <w:szCs w:val="16"/>
              </w:rPr>
              <w:t xml:space="preserve"> (</w:t>
            </w:r>
            <w:proofErr w:type="spellStart"/>
            <w:r w:rsidRPr="1EF9CB93">
              <w:rPr>
                <w:rFonts w:ascii="Arial" w:hAnsi="Arial" w:cs="Arial"/>
                <w:sz w:val="16"/>
                <w:szCs w:val="16"/>
              </w:rPr>
              <w:t>Statens</w:t>
            </w:r>
            <w:proofErr w:type="spellEnd"/>
            <w:r w:rsidRPr="1EF9CB93">
              <w:rPr>
                <w:rFonts w:ascii="Arial" w:hAnsi="Arial" w:cs="Arial"/>
                <w:sz w:val="16"/>
                <w:szCs w:val="16"/>
              </w:rPr>
              <w:t xml:space="preserve"> </w:t>
            </w:r>
            <w:proofErr w:type="spellStart"/>
            <w:r w:rsidRPr="1EF9CB93">
              <w:rPr>
                <w:rFonts w:ascii="Arial" w:hAnsi="Arial" w:cs="Arial"/>
                <w:sz w:val="16"/>
                <w:szCs w:val="16"/>
              </w:rPr>
              <w:t>Pensjonskasse</w:t>
            </w:r>
            <w:proofErr w:type="spellEnd"/>
            <w:r w:rsidRPr="1EF9CB93">
              <w:rPr>
                <w:rFonts w:ascii="Arial" w:hAnsi="Arial" w:cs="Arial"/>
                <w:sz w:val="16"/>
                <w:szCs w:val="16"/>
              </w:rPr>
              <w:t>) occupational pension scheme</w:t>
            </w:r>
            <w:r w:rsidR="07BAB651" w:rsidRPr="1EF9CB93">
              <w:rPr>
                <w:rFonts w:ascii="Arial" w:hAnsi="Arial" w:cs="Arial"/>
                <w:sz w:val="16"/>
                <w:szCs w:val="16"/>
              </w:rPr>
              <w:t>.</w:t>
            </w:r>
          </w:p>
          <w:p w14:paraId="2505F8D5" w14:textId="2E012FDF" w:rsidR="00D76933" w:rsidRPr="002B6418" w:rsidRDefault="00D76933" w:rsidP="1BD12834">
            <w:pPr>
              <w:pStyle w:val="Listeavsnitt"/>
              <w:numPr>
                <w:ilvl w:val="0"/>
                <w:numId w:val="2"/>
              </w:numPr>
              <w:rPr>
                <w:rFonts w:ascii="Arial" w:hAnsi="Arial" w:cs="Arial"/>
                <w:sz w:val="16"/>
                <w:szCs w:val="16"/>
                <w:u w:val="single"/>
              </w:rPr>
            </w:pPr>
            <w:r w:rsidRPr="1BD12834">
              <w:rPr>
                <w:rFonts w:ascii="Arial" w:hAnsi="Arial" w:cs="Arial"/>
                <w:sz w:val="16"/>
                <w:szCs w:val="16"/>
                <w:u w:val="single"/>
              </w:rPr>
              <w:t>Employees from</w:t>
            </w:r>
            <w:r w:rsidR="63144F99" w:rsidRPr="1BD12834">
              <w:rPr>
                <w:rFonts w:ascii="Arial" w:hAnsi="Arial" w:cs="Arial"/>
                <w:sz w:val="16"/>
                <w:szCs w:val="16"/>
                <w:u w:val="single"/>
              </w:rPr>
              <w:t xml:space="preserve"> </w:t>
            </w:r>
            <w:r w:rsidRPr="1BD12834">
              <w:rPr>
                <w:rFonts w:ascii="Arial" w:hAnsi="Arial" w:cs="Arial"/>
                <w:sz w:val="16"/>
                <w:szCs w:val="16"/>
                <w:u w:val="single"/>
              </w:rPr>
              <w:t>EU/EEA</w:t>
            </w:r>
            <w:r w:rsidR="7A5AB38D" w:rsidRPr="1BD12834">
              <w:rPr>
                <w:rFonts w:ascii="Arial" w:hAnsi="Arial" w:cs="Arial"/>
                <w:sz w:val="16"/>
                <w:szCs w:val="16"/>
                <w:u w:val="single"/>
              </w:rPr>
              <w:t xml:space="preserve"> working in</w:t>
            </w:r>
            <w:r w:rsidR="67D392C8" w:rsidRPr="1BD12834">
              <w:rPr>
                <w:rFonts w:ascii="Arial" w:hAnsi="Arial" w:cs="Arial"/>
                <w:sz w:val="16"/>
                <w:szCs w:val="16"/>
                <w:u w:val="single"/>
              </w:rPr>
              <w:t xml:space="preserve"> an</w:t>
            </w:r>
            <w:r w:rsidR="48B32708" w:rsidRPr="1BD12834">
              <w:rPr>
                <w:rFonts w:ascii="Arial" w:hAnsi="Arial" w:cs="Arial"/>
                <w:sz w:val="16"/>
                <w:szCs w:val="16"/>
                <w:u w:val="single"/>
              </w:rPr>
              <w:t>other</w:t>
            </w:r>
            <w:r w:rsidR="67D392C8" w:rsidRPr="1BD12834">
              <w:rPr>
                <w:rFonts w:ascii="Arial" w:hAnsi="Arial" w:cs="Arial"/>
                <w:sz w:val="16"/>
                <w:szCs w:val="16"/>
                <w:u w:val="single"/>
              </w:rPr>
              <w:t xml:space="preserve"> EU/EEA country</w:t>
            </w:r>
            <w:r w:rsidRPr="1BD12834">
              <w:rPr>
                <w:rFonts w:ascii="Arial" w:hAnsi="Arial" w:cs="Arial"/>
                <w:sz w:val="16"/>
                <w:szCs w:val="16"/>
                <w:u w:val="single"/>
              </w:rPr>
              <w:t>:</w:t>
            </w:r>
            <w:r w:rsidRPr="1BD12834">
              <w:rPr>
                <w:rFonts w:ascii="Arial" w:hAnsi="Arial" w:cs="Arial"/>
                <w:sz w:val="16"/>
                <w:szCs w:val="16"/>
              </w:rPr>
              <w:t xml:space="preserve"> </w:t>
            </w:r>
            <w:r w:rsidR="0F6EEF2A" w:rsidRPr="1BD12834">
              <w:rPr>
                <w:rFonts w:ascii="Arial" w:hAnsi="Arial" w:cs="Arial"/>
                <w:sz w:val="16"/>
                <w:szCs w:val="16"/>
              </w:rPr>
              <w:t xml:space="preserve">As a member of the Norwegian social security scheme, </w:t>
            </w:r>
            <w:r w:rsidRPr="1BD12834">
              <w:rPr>
                <w:rFonts w:ascii="Arial" w:hAnsi="Arial" w:cs="Arial"/>
                <w:sz w:val="16"/>
                <w:szCs w:val="16"/>
              </w:rPr>
              <w:t>the employee is covered by the Norwegian Public Service Pension Fund</w:t>
            </w:r>
            <w:r w:rsidR="21B934CB" w:rsidRPr="1BD12834">
              <w:rPr>
                <w:rFonts w:ascii="Arial" w:hAnsi="Arial" w:cs="Arial"/>
                <w:sz w:val="16"/>
                <w:szCs w:val="16"/>
              </w:rPr>
              <w:t>s</w:t>
            </w:r>
            <w:r w:rsidRPr="1BD12834">
              <w:rPr>
                <w:rFonts w:ascii="Arial" w:hAnsi="Arial" w:cs="Arial"/>
                <w:sz w:val="16"/>
                <w:szCs w:val="16"/>
              </w:rPr>
              <w:t xml:space="preserve"> (</w:t>
            </w:r>
            <w:proofErr w:type="spellStart"/>
            <w:r w:rsidRPr="1BD12834">
              <w:rPr>
                <w:rFonts w:ascii="Arial" w:hAnsi="Arial" w:cs="Arial"/>
                <w:sz w:val="16"/>
                <w:szCs w:val="16"/>
              </w:rPr>
              <w:t>Statens</w:t>
            </w:r>
            <w:proofErr w:type="spellEnd"/>
            <w:r w:rsidRPr="1BD12834">
              <w:rPr>
                <w:rFonts w:ascii="Arial" w:hAnsi="Arial" w:cs="Arial"/>
                <w:sz w:val="16"/>
                <w:szCs w:val="16"/>
              </w:rPr>
              <w:t xml:space="preserve"> </w:t>
            </w:r>
            <w:proofErr w:type="spellStart"/>
            <w:r w:rsidRPr="1BD12834">
              <w:rPr>
                <w:rFonts w:ascii="Arial" w:hAnsi="Arial" w:cs="Arial"/>
                <w:sz w:val="16"/>
                <w:szCs w:val="16"/>
              </w:rPr>
              <w:t>Pensjonskasse</w:t>
            </w:r>
            <w:proofErr w:type="spellEnd"/>
            <w:r w:rsidRPr="1BD12834">
              <w:rPr>
                <w:rFonts w:ascii="Arial" w:hAnsi="Arial" w:cs="Arial"/>
                <w:sz w:val="16"/>
                <w:szCs w:val="16"/>
              </w:rPr>
              <w:t>) occupational pension scheme</w:t>
            </w:r>
            <w:r w:rsidR="54151F56" w:rsidRPr="1BD12834">
              <w:rPr>
                <w:rFonts w:ascii="Arial" w:hAnsi="Arial" w:cs="Arial"/>
                <w:sz w:val="16"/>
                <w:szCs w:val="16"/>
              </w:rPr>
              <w:t>.</w:t>
            </w:r>
            <w:r w:rsidRPr="1BD12834">
              <w:rPr>
                <w:rFonts w:ascii="Arial" w:hAnsi="Arial" w:cs="Arial"/>
                <w:sz w:val="16"/>
                <w:szCs w:val="16"/>
              </w:rPr>
              <w:t xml:space="preserve"> </w:t>
            </w:r>
            <w:r w:rsidR="17DAA833" w:rsidRPr="1BD12834">
              <w:rPr>
                <w:rFonts w:ascii="Arial" w:hAnsi="Arial" w:cs="Arial"/>
                <w:sz w:val="16"/>
                <w:szCs w:val="16"/>
              </w:rPr>
              <w:t xml:space="preserve"> A compulsory salary deduction of 2%</w:t>
            </w:r>
            <w:r w:rsidR="17DAA833" w:rsidRPr="1BD12834">
              <w:rPr>
                <w:rFonts w:ascii="Arial" w:eastAsia="Times New Roman" w:hAnsi="Arial" w:cs="Arial"/>
                <w:sz w:val="16"/>
                <w:szCs w:val="16"/>
              </w:rPr>
              <w:t xml:space="preserve"> from the salary is th</w:t>
            </w:r>
            <w:r w:rsidR="2ED09FB5" w:rsidRPr="1BD12834">
              <w:rPr>
                <w:rFonts w:ascii="Arial" w:eastAsia="Times New Roman" w:hAnsi="Arial" w:cs="Arial"/>
                <w:sz w:val="16"/>
                <w:szCs w:val="16"/>
              </w:rPr>
              <w:t>us</w:t>
            </w:r>
            <w:r w:rsidR="17DAA833" w:rsidRPr="1BD12834">
              <w:rPr>
                <w:rFonts w:ascii="Arial" w:eastAsia="Times New Roman" w:hAnsi="Arial" w:cs="Arial"/>
                <w:sz w:val="16"/>
                <w:szCs w:val="16"/>
              </w:rPr>
              <w:t xml:space="preserve"> every month </w:t>
            </w:r>
            <w:r w:rsidR="26F9A02B" w:rsidRPr="1BD12834">
              <w:rPr>
                <w:rFonts w:ascii="Arial" w:eastAsia="Times New Roman" w:hAnsi="Arial" w:cs="Arial"/>
                <w:sz w:val="16"/>
                <w:szCs w:val="16"/>
              </w:rPr>
              <w:t>to the Norwegian Public Service Pension Fund</w:t>
            </w:r>
            <w:r w:rsidR="17DAA833" w:rsidRPr="1BD12834">
              <w:rPr>
                <w:rFonts w:ascii="Arial" w:eastAsia="Times New Roman" w:hAnsi="Arial" w:cs="Arial"/>
                <w:sz w:val="16"/>
                <w:szCs w:val="16"/>
              </w:rPr>
              <w:t>.</w:t>
            </w:r>
          </w:p>
        </w:tc>
      </w:tr>
    </w:tbl>
    <w:p w14:paraId="1720CAD0" w14:textId="17ED003E" w:rsidR="0042051E" w:rsidRPr="005A4F61" w:rsidRDefault="0042051E" w:rsidP="0042051E">
      <w:pPr>
        <w:rPr>
          <w:rFonts w:ascii="Arial" w:hAnsi="Arial" w:cs="Arial"/>
          <w:bCs/>
          <w:i/>
          <w:iCs/>
          <w:sz w:val="16"/>
          <w:szCs w:val="16"/>
        </w:rPr>
      </w:pPr>
      <w:bookmarkStart w:id="3" w:name="_Hlk25227149"/>
      <w:bookmarkEnd w:id="2"/>
      <w:r w:rsidRPr="0042051E">
        <w:rPr>
          <w:rFonts w:ascii="Arial" w:hAnsi="Arial" w:cs="Arial"/>
          <w:bCs/>
          <w:i/>
          <w:iCs/>
          <w:sz w:val="16"/>
          <w:szCs w:val="16"/>
        </w:rPr>
        <w:t>This contract may be subject to change</w:t>
      </w:r>
    </w:p>
    <w:p w14:paraId="1431E931" w14:textId="77777777" w:rsidR="0042051E" w:rsidRPr="005A4F61" w:rsidRDefault="0042051E" w:rsidP="0042051E">
      <w:pPr>
        <w:rPr>
          <w:rFonts w:ascii="Arial" w:hAnsi="Arial" w:cs="Arial"/>
          <w:b/>
          <w:sz w:val="16"/>
          <w:szCs w:val="16"/>
        </w:rPr>
      </w:pPr>
    </w:p>
    <w:p w14:paraId="1614CB5D" w14:textId="77777777" w:rsidR="0083310F" w:rsidRDefault="0083310F" w:rsidP="0042051E">
      <w:pPr>
        <w:rPr>
          <w:rFonts w:ascii="Arial" w:hAnsi="Arial" w:cs="Arial"/>
          <w:bCs/>
          <w:sz w:val="16"/>
          <w:szCs w:val="16"/>
        </w:rPr>
      </w:pPr>
    </w:p>
    <w:p w14:paraId="11306796" w14:textId="77777777" w:rsidR="0083310F" w:rsidRDefault="0083310F" w:rsidP="0042051E">
      <w:pPr>
        <w:rPr>
          <w:rFonts w:ascii="Arial" w:hAnsi="Arial" w:cs="Arial"/>
          <w:bCs/>
          <w:sz w:val="16"/>
          <w:szCs w:val="16"/>
        </w:rPr>
      </w:pPr>
    </w:p>
    <w:p w14:paraId="5A76D9E8" w14:textId="36CA7D29" w:rsidR="0042051E" w:rsidRPr="005A4F61" w:rsidRDefault="0042051E" w:rsidP="0042051E">
      <w:pPr>
        <w:rPr>
          <w:rFonts w:ascii="Arial" w:hAnsi="Arial" w:cs="Arial"/>
          <w:bCs/>
          <w:sz w:val="16"/>
          <w:szCs w:val="16"/>
        </w:rPr>
      </w:pPr>
      <w:r w:rsidRPr="005A4F61">
        <w:rPr>
          <w:rFonts w:ascii="Arial" w:hAnsi="Arial" w:cs="Arial"/>
          <w:bCs/>
          <w:sz w:val="16"/>
          <w:szCs w:val="16"/>
        </w:rPr>
        <w:t>Place and date: _________________________</w:t>
      </w:r>
    </w:p>
    <w:p w14:paraId="3A9C0F52" w14:textId="16CC59FC" w:rsidR="0042051E" w:rsidRDefault="0042051E" w:rsidP="0042051E">
      <w:pPr>
        <w:rPr>
          <w:rFonts w:ascii="Arial" w:hAnsi="Arial" w:cs="Arial"/>
          <w:bCs/>
          <w:sz w:val="16"/>
          <w:szCs w:val="16"/>
        </w:rPr>
      </w:pPr>
    </w:p>
    <w:p w14:paraId="38A4E473" w14:textId="28DCE9B1" w:rsidR="0083310F" w:rsidRDefault="0083310F" w:rsidP="0042051E">
      <w:pPr>
        <w:rPr>
          <w:rFonts w:ascii="Arial" w:hAnsi="Arial" w:cs="Arial"/>
          <w:bCs/>
          <w:sz w:val="16"/>
          <w:szCs w:val="16"/>
        </w:rPr>
      </w:pPr>
    </w:p>
    <w:p w14:paraId="3DFE03F1" w14:textId="54EA09D1" w:rsidR="0083310F" w:rsidRDefault="0083310F" w:rsidP="0042051E">
      <w:pPr>
        <w:rPr>
          <w:rFonts w:ascii="Arial" w:hAnsi="Arial" w:cs="Arial"/>
          <w:bCs/>
          <w:sz w:val="16"/>
          <w:szCs w:val="16"/>
        </w:rPr>
      </w:pPr>
    </w:p>
    <w:p w14:paraId="31878BE4" w14:textId="77777777" w:rsidR="0083310F" w:rsidRPr="005A4F61" w:rsidRDefault="0083310F" w:rsidP="0042051E">
      <w:pPr>
        <w:rPr>
          <w:rFonts w:ascii="Arial" w:hAnsi="Arial" w:cs="Arial"/>
          <w:bCs/>
          <w:sz w:val="16"/>
          <w:szCs w:val="16"/>
        </w:rPr>
      </w:pPr>
    </w:p>
    <w:p w14:paraId="100490DD" w14:textId="0899DB30" w:rsidR="0042051E" w:rsidRPr="005A4F61" w:rsidRDefault="0042051E" w:rsidP="0042051E">
      <w:pPr>
        <w:rPr>
          <w:rFonts w:ascii="Arial" w:hAnsi="Arial" w:cs="Arial"/>
          <w:bCs/>
          <w:sz w:val="16"/>
          <w:szCs w:val="16"/>
        </w:rPr>
      </w:pPr>
      <w:r w:rsidRPr="005A4F61">
        <w:rPr>
          <w:rFonts w:ascii="Arial" w:hAnsi="Arial" w:cs="Arial"/>
          <w:bCs/>
          <w:sz w:val="16"/>
          <w:szCs w:val="16"/>
        </w:rPr>
        <w:t>___________________________</w:t>
      </w:r>
      <w:r w:rsidRPr="005A4F61">
        <w:rPr>
          <w:rFonts w:ascii="Arial" w:hAnsi="Arial" w:cs="Arial"/>
          <w:bCs/>
          <w:sz w:val="16"/>
          <w:szCs w:val="16"/>
        </w:rPr>
        <w:tab/>
      </w:r>
      <w:r w:rsidRPr="005A4F61">
        <w:rPr>
          <w:rFonts w:ascii="Arial" w:hAnsi="Arial" w:cs="Arial"/>
          <w:bCs/>
          <w:sz w:val="16"/>
          <w:szCs w:val="16"/>
        </w:rPr>
        <w:tab/>
      </w:r>
      <w:r w:rsidRPr="005A4F61">
        <w:rPr>
          <w:rFonts w:ascii="Arial" w:hAnsi="Arial" w:cs="Arial"/>
          <w:bCs/>
          <w:sz w:val="16"/>
          <w:szCs w:val="16"/>
        </w:rPr>
        <w:tab/>
      </w:r>
      <w:r w:rsidR="005A4F61">
        <w:rPr>
          <w:rFonts w:ascii="Arial" w:hAnsi="Arial" w:cs="Arial"/>
          <w:bCs/>
          <w:sz w:val="16"/>
          <w:szCs w:val="16"/>
        </w:rPr>
        <w:t xml:space="preserve">                                               </w:t>
      </w:r>
      <w:r w:rsidRPr="005A4F61">
        <w:rPr>
          <w:rFonts w:ascii="Arial" w:hAnsi="Arial" w:cs="Arial"/>
          <w:bCs/>
          <w:sz w:val="16"/>
          <w:szCs w:val="16"/>
        </w:rPr>
        <w:t>____________________________</w:t>
      </w:r>
    </w:p>
    <w:p w14:paraId="613DE347" w14:textId="60D10AD4" w:rsidR="00935C3B" w:rsidRPr="00935C3B" w:rsidRDefault="0042051E" w:rsidP="5C2A3380">
      <w:pPr>
        <w:rPr>
          <w:rFonts w:ascii="Arial" w:hAnsi="Arial" w:cs="Arial"/>
          <w:i/>
          <w:iCs/>
          <w:sz w:val="18"/>
          <w:szCs w:val="18"/>
        </w:rPr>
      </w:pPr>
      <w:r w:rsidRPr="5C2A3380">
        <w:rPr>
          <w:rFonts w:ascii="Arial" w:hAnsi="Arial" w:cs="Arial"/>
          <w:sz w:val="16"/>
          <w:szCs w:val="16"/>
        </w:rPr>
        <w:t>Signature</w:t>
      </w:r>
      <w:r w:rsidR="005A4F61" w:rsidRPr="5C2A3380">
        <w:rPr>
          <w:rFonts w:ascii="Arial" w:hAnsi="Arial" w:cs="Arial"/>
          <w:sz w:val="16"/>
          <w:szCs w:val="16"/>
        </w:rPr>
        <w:t xml:space="preserve">, </w:t>
      </w:r>
      <w:r w:rsidRPr="5C2A3380">
        <w:rPr>
          <w:rFonts w:ascii="Arial" w:hAnsi="Arial" w:cs="Arial"/>
          <w:sz w:val="16"/>
          <w:szCs w:val="16"/>
        </w:rPr>
        <w:t>Employer</w:t>
      </w:r>
      <w:r w:rsidR="00935C3B">
        <w:tab/>
      </w:r>
      <w:r w:rsidR="00935C3B">
        <w:tab/>
      </w:r>
      <w:r w:rsidR="00935C3B">
        <w:tab/>
      </w:r>
      <w:r w:rsidRPr="5C2A3380">
        <w:rPr>
          <w:rFonts w:ascii="Arial" w:hAnsi="Arial" w:cs="Arial"/>
          <w:sz w:val="16"/>
          <w:szCs w:val="16"/>
        </w:rPr>
        <w:t xml:space="preserve">             </w:t>
      </w:r>
      <w:r w:rsidR="005A4F61" w:rsidRPr="5C2A3380">
        <w:rPr>
          <w:rFonts w:ascii="Arial" w:hAnsi="Arial" w:cs="Arial"/>
          <w:sz w:val="16"/>
          <w:szCs w:val="16"/>
        </w:rPr>
        <w:t xml:space="preserve">                                                   </w:t>
      </w:r>
      <w:r w:rsidRPr="5C2A3380">
        <w:rPr>
          <w:rFonts w:ascii="Arial" w:hAnsi="Arial" w:cs="Arial"/>
          <w:sz w:val="16"/>
          <w:szCs w:val="16"/>
        </w:rPr>
        <w:t>Signature</w:t>
      </w:r>
      <w:r w:rsidR="00023C63">
        <w:rPr>
          <w:rFonts w:ascii="Arial" w:hAnsi="Arial" w:cs="Arial"/>
          <w:sz w:val="16"/>
          <w:szCs w:val="16"/>
        </w:rPr>
        <w:t>,</w:t>
      </w:r>
      <w:r w:rsidRPr="5C2A3380">
        <w:rPr>
          <w:rFonts w:ascii="Arial" w:hAnsi="Arial" w:cs="Arial"/>
          <w:sz w:val="16"/>
          <w:szCs w:val="16"/>
        </w:rPr>
        <w:t xml:space="preserve"> Employee</w:t>
      </w:r>
      <w:bookmarkEnd w:id="3"/>
    </w:p>
    <w:p w14:paraId="0E65897A" w14:textId="77777777" w:rsidR="0083310F" w:rsidRDefault="0083310F" w:rsidP="1EF9CB93">
      <w:pPr>
        <w:rPr>
          <w:rFonts w:ascii="Arial" w:hAnsi="Arial" w:cs="Arial"/>
          <w:i/>
          <w:iCs/>
          <w:sz w:val="18"/>
          <w:szCs w:val="18"/>
        </w:rPr>
      </w:pPr>
    </w:p>
    <w:p w14:paraId="506470DD" w14:textId="72DD2842" w:rsidR="00275CE4" w:rsidRPr="007A2C5A" w:rsidRDefault="00275CE4">
      <w:pPr>
        <w:rPr>
          <w:rFonts w:ascii="Arial" w:hAnsi="Arial" w:cs="Arial"/>
          <w:i/>
          <w:iCs/>
          <w:sz w:val="18"/>
          <w:szCs w:val="18"/>
        </w:rPr>
      </w:pPr>
    </w:p>
    <w:sectPr w:rsidR="00275CE4" w:rsidRPr="007A2C5A">
      <w:head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6F78" w14:textId="77777777" w:rsidR="00EF7406" w:rsidRDefault="00EF7406" w:rsidP="00F61D4D">
      <w:pPr>
        <w:spacing w:after="0" w:line="240" w:lineRule="auto"/>
      </w:pPr>
      <w:r>
        <w:separator/>
      </w:r>
    </w:p>
  </w:endnote>
  <w:endnote w:type="continuationSeparator" w:id="0">
    <w:p w14:paraId="060F5D8E" w14:textId="77777777" w:rsidR="00EF7406" w:rsidRDefault="00EF7406" w:rsidP="00F6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B407" w14:textId="77777777" w:rsidR="00EF7406" w:rsidRDefault="00EF7406" w:rsidP="00F61D4D">
      <w:pPr>
        <w:spacing w:after="0" w:line="240" w:lineRule="auto"/>
      </w:pPr>
      <w:bookmarkStart w:id="0" w:name="_Hlk115088462"/>
      <w:bookmarkEnd w:id="0"/>
      <w:r>
        <w:separator/>
      </w:r>
    </w:p>
  </w:footnote>
  <w:footnote w:type="continuationSeparator" w:id="0">
    <w:p w14:paraId="73C1CB08" w14:textId="77777777" w:rsidR="00EF7406" w:rsidRDefault="00EF7406" w:rsidP="00F61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D652" w14:textId="3C0153BB" w:rsidR="00F61D4D" w:rsidRDefault="00E0115E" w:rsidP="00E0115E">
    <w:pPr>
      <w:pStyle w:val="Topptekst"/>
    </w:pPr>
    <w:r>
      <w:rPr>
        <w:noProof/>
      </w:rPr>
      <w:drawing>
        <wp:inline distT="0" distB="0" distL="0" distR="0" wp14:anchorId="19F5FD7C" wp14:editId="02EBA08A">
          <wp:extent cx="381000"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54" cy="479345"/>
                  </a:xfrm>
                  <a:prstGeom prst="rect">
                    <a:avLst/>
                  </a:prstGeom>
                  <a:noFill/>
                  <a:ln>
                    <a:noFill/>
                  </a:ln>
                </pic:spPr>
              </pic:pic>
            </a:graphicData>
          </a:graphic>
        </wp:inline>
      </w:drawing>
    </w:r>
  </w:p>
  <w:p w14:paraId="1C3AE1C8" w14:textId="77777777" w:rsidR="00F61D4D" w:rsidRDefault="00F61D4D" w:rsidP="00F61D4D">
    <w:pPr>
      <w:pStyle w:val="Topptekst"/>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7E7D"/>
    <w:multiLevelType w:val="hybridMultilevel"/>
    <w:tmpl w:val="C6AC6D76"/>
    <w:lvl w:ilvl="0" w:tplc="E38C0458">
      <w:start w:val="1"/>
      <w:numFmt w:val="decimal"/>
      <w:lvlText w:val="%1."/>
      <w:lvlJc w:val="left"/>
      <w:pPr>
        <w:ind w:left="720" w:hanging="360"/>
      </w:pPr>
      <w:rPr>
        <w:rFonts w:ascii="Arial" w:eastAsiaTheme="minorHAnsi" w:hAnsi="Arial" w:cs="Aria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67FA66"/>
    <w:multiLevelType w:val="hybridMultilevel"/>
    <w:tmpl w:val="DC38CBC2"/>
    <w:lvl w:ilvl="0" w:tplc="6B0AF250">
      <w:start w:val="1"/>
      <w:numFmt w:val="bullet"/>
      <w:lvlText w:val=""/>
      <w:lvlJc w:val="left"/>
      <w:pPr>
        <w:ind w:left="720" w:hanging="360"/>
      </w:pPr>
      <w:rPr>
        <w:rFonts w:ascii="Symbol" w:hAnsi="Symbol" w:hint="default"/>
      </w:rPr>
    </w:lvl>
    <w:lvl w:ilvl="1" w:tplc="ABF43696">
      <w:start w:val="1"/>
      <w:numFmt w:val="bullet"/>
      <w:lvlText w:val="o"/>
      <w:lvlJc w:val="left"/>
      <w:pPr>
        <w:ind w:left="1440" w:hanging="360"/>
      </w:pPr>
      <w:rPr>
        <w:rFonts w:ascii="Courier New" w:hAnsi="Courier New" w:hint="default"/>
      </w:rPr>
    </w:lvl>
    <w:lvl w:ilvl="2" w:tplc="771ABE44">
      <w:start w:val="1"/>
      <w:numFmt w:val="bullet"/>
      <w:lvlText w:val=""/>
      <w:lvlJc w:val="left"/>
      <w:pPr>
        <w:ind w:left="2160" w:hanging="360"/>
      </w:pPr>
      <w:rPr>
        <w:rFonts w:ascii="Wingdings" w:hAnsi="Wingdings" w:hint="default"/>
      </w:rPr>
    </w:lvl>
    <w:lvl w:ilvl="3" w:tplc="AF76B54C">
      <w:start w:val="1"/>
      <w:numFmt w:val="bullet"/>
      <w:lvlText w:val=""/>
      <w:lvlJc w:val="left"/>
      <w:pPr>
        <w:ind w:left="2880" w:hanging="360"/>
      </w:pPr>
      <w:rPr>
        <w:rFonts w:ascii="Symbol" w:hAnsi="Symbol" w:hint="default"/>
      </w:rPr>
    </w:lvl>
    <w:lvl w:ilvl="4" w:tplc="DA86EA0C">
      <w:start w:val="1"/>
      <w:numFmt w:val="bullet"/>
      <w:lvlText w:val="o"/>
      <w:lvlJc w:val="left"/>
      <w:pPr>
        <w:ind w:left="3600" w:hanging="360"/>
      </w:pPr>
      <w:rPr>
        <w:rFonts w:ascii="Courier New" w:hAnsi="Courier New" w:hint="default"/>
      </w:rPr>
    </w:lvl>
    <w:lvl w:ilvl="5" w:tplc="6414E4C8">
      <w:start w:val="1"/>
      <w:numFmt w:val="bullet"/>
      <w:lvlText w:val=""/>
      <w:lvlJc w:val="left"/>
      <w:pPr>
        <w:ind w:left="4320" w:hanging="360"/>
      </w:pPr>
      <w:rPr>
        <w:rFonts w:ascii="Wingdings" w:hAnsi="Wingdings" w:hint="default"/>
      </w:rPr>
    </w:lvl>
    <w:lvl w:ilvl="6" w:tplc="57269D3C">
      <w:start w:val="1"/>
      <w:numFmt w:val="bullet"/>
      <w:lvlText w:val=""/>
      <w:lvlJc w:val="left"/>
      <w:pPr>
        <w:ind w:left="5040" w:hanging="360"/>
      </w:pPr>
      <w:rPr>
        <w:rFonts w:ascii="Symbol" w:hAnsi="Symbol" w:hint="default"/>
      </w:rPr>
    </w:lvl>
    <w:lvl w:ilvl="7" w:tplc="855E06FE">
      <w:start w:val="1"/>
      <w:numFmt w:val="bullet"/>
      <w:lvlText w:val="o"/>
      <w:lvlJc w:val="left"/>
      <w:pPr>
        <w:ind w:left="5760" w:hanging="360"/>
      </w:pPr>
      <w:rPr>
        <w:rFonts w:ascii="Courier New" w:hAnsi="Courier New" w:hint="default"/>
      </w:rPr>
    </w:lvl>
    <w:lvl w:ilvl="8" w:tplc="9CC49646">
      <w:start w:val="1"/>
      <w:numFmt w:val="bullet"/>
      <w:lvlText w:val=""/>
      <w:lvlJc w:val="left"/>
      <w:pPr>
        <w:ind w:left="6480" w:hanging="360"/>
      </w:pPr>
      <w:rPr>
        <w:rFonts w:ascii="Wingdings" w:hAnsi="Wingdings" w:hint="default"/>
      </w:rPr>
    </w:lvl>
  </w:abstractNum>
  <w:abstractNum w:abstractNumId="2" w15:restartNumberingAfterBreak="0">
    <w:nsid w:val="0C2D9E67"/>
    <w:multiLevelType w:val="hybridMultilevel"/>
    <w:tmpl w:val="137CF96A"/>
    <w:lvl w:ilvl="0" w:tplc="2110D3B6">
      <w:start w:val="1"/>
      <w:numFmt w:val="bullet"/>
      <w:lvlText w:val="-"/>
      <w:lvlJc w:val="left"/>
      <w:pPr>
        <w:ind w:left="720" w:hanging="360"/>
      </w:pPr>
      <w:rPr>
        <w:rFonts w:ascii="Calibri" w:hAnsi="Calibri" w:hint="default"/>
      </w:rPr>
    </w:lvl>
    <w:lvl w:ilvl="1" w:tplc="94C4905E">
      <w:start w:val="1"/>
      <w:numFmt w:val="bullet"/>
      <w:lvlText w:val="o"/>
      <w:lvlJc w:val="left"/>
      <w:pPr>
        <w:ind w:left="1440" w:hanging="360"/>
      </w:pPr>
      <w:rPr>
        <w:rFonts w:ascii="Courier New" w:hAnsi="Courier New" w:hint="default"/>
      </w:rPr>
    </w:lvl>
    <w:lvl w:ilvl="2" w:tplc="E0000AFE">
      <w:start w:val="1"/>
      <w:numFmt w:val="bullet"/>
      <w:lvlText w:val=""/>
      <w:lvlJc w:val="left"/>
      <w:pPr>
        <w:ind w:left="2160" w:hanging="360"/>
      </w:pPr>
      <w:rPr>
        <w:rFonts w:ascii="Wingdings" w:hAnsi="Wingdings" w:hint="default"/>
      </w:rPr>
    </w:lvl>
    <w:lvl w:ilvl="3" w:tplc="372855E8">
      <w:start w:val="1"/>
      <w:numFmt w:val="bullet"/>
      <w:lvlText w:val=""/>
      <w:lvlJc w:val="left"/>
      <w:pPr>
        <w:ind w:left="2880" w:hanging="360"/>
      </w:pPr>
      <w:rPr>
        <w:rFonts w:ascii="Symbol" w:hAnsi="Symbol" w:hint="default"/>
      </w:rPr>
    </w:lvl>
    <w:lvl w:ilvl="4" w:tplc="4044E580">
      <w:start w:val="1"/>
      <w:numFmt w:val="bullet"/>
      <w:lvlText w:val="o"/>
      <w:lvlJc w:val="left"/>
      <w:pPr>
        <w:ind w:left="3600" w:hanging="360"/>
      </w:pPr>
      <w:rPr>
        <w:rFonts w:ascii="Courier New" w:hAnsi="Courier New" w:hint="default"/>
      </w:rPr>
    </w:lvl>
    <w:lvl w:ilvl="5" w:tplc="1618F204">
      <w:start w:val="1"/>
      <w:numFmt w:val="bullet"/>
      <w:lvlText w:val=""/>
      <w:lvlJc w:val="left"/>
      <w:pPr>
        <w:ind w:left="4320" w:hanging="360"/>
      </w:pPr>
      <w:rPr>
        <w:rFonts w:ascii="Wingdings" w:hAnsi="Wingdings" w:hint="default"/>
      </w:rPr>
    </w:lvl>
    <w:lvl w:ilvl="6" w:tplc="1FB240BA">
      <w:start w:val="1"/>
      <w:numFmt w:val="bullet"/>
      <w:lvlText w:val=""/>
      <w:lvlJc w:val="left"/>
      <w:pPr>
        <w:ind w:left="5040" w:hanging="360"/>
      </w:pPr>
      <w:rPr>
        <w:rFonts w:ascii="Symbol" w:hAnsi="Symbol" w:hint="default"/>
      </w:rPr>
    </w:lvl>
    <w:lvl w:ilvl="7" w:tplc="79A8C308">
      <w:start w:val="1"/>
      <w:numFmt w:val="bullet"/>
      <w:lvlText w:val="o"/>
      <w:lvlJc w:val="left"/>
      <w:pPr>
        <w:ind w:left="5760" w:hanging="360"/>
      </w:pPr>
      <w:rPr>
        <w:rFonts w:ascii="Courier New" w:hAnsi="Courier New" w:hint="default"/>
      </w:rPr>
    </w:lvl>
    <w:lvl w:ilvl="8" w:tplc="84F2BC1E">
      <w:start w:val="1"/>
      <w:numFmt w:val="bullet"/>
      <w:lvlText w:val=""/>
      <w:lvlJc w:val="left"/>
      <w:pPr>
        <w:ind w:left="6480" w:hanging="360"/>
      </w:pPr>
      <w:rPr>
        <w:rFonts w:ascii="Wingdings" w:hAnsi="Wingdings" w:hint="default"/>
      </w:rPr>
    </w:lvl>
  </w:abstractNum>
  <w:abstractNum w:abstractNumId="3" w15:restartNumberingAfterBreak="0">
    <w:nsid w:val="0E9A5AA5"/>
    <w:multiLevelType w:val="hybridMultilevel"/>
    <w:tmpl w:val="6C824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F314DE"/>
    <w:multiLevelType w:val="hybridMultilevel"/>
    <w:tmpl w:val="82186B44"/>
    <w:lvl w:ilvl="0" w:tplc="3328CB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5C46C"/>
    <w:multiLevelType w:val="hybridMultilevel"/>
    <w:tmpl w:val="53C6583A"/>
    <w:lvl w:ilvl="0" w:tplc="01EE6718">
      <w:start w:val="1"/>
      <w:numFmt w:val="decimal"/>
      <w:lvlText w:val="%1."/>
      <w:lvlJc w:val="left"/>
      <w:pPr>
        <w:ind w:left="720" w:hanging="360"/>
      </w:pPr>
    </w:lvl>
    <w:lvl w:ilvl="1" w:tplc="84A42A20">
      <w:start w:val="1"/>
      <w:numFmt w:val="lowerLetter"/>
      <w:lvlText w:val="%2."/>
      <w:lvlJc w:val="left"/>
      <w:pPr>
        <w:ind w:left="1440" w:hanging="360"/>
      </w:pPr>
    </w:lvl>
    <w:lvl w:ilvl="2" w:tplc="5F6E52AC">
      <w:start w:val="1"/>
      <w:numFmt w:val="lowerRoman"/>
      <w:lvlText w:val="%3."/>
      <w:lvlJc w:val="right"/>
      <w:pPr>
        <w:ind w:left="2160" w:hanging="180"/>
      </w:pPr>
    </w:lvl>
    <w:lvl w:ilvl="3" w:tplc="0EE02776">
      <w:start w:val="1"/>
      <w:numFmt w:val="decimal"/>
      <w:lvlText w:val="%4."/>
      <w:lvlJc w:val="left"/>
      <w:pPr>
        <w:ind w:left="2880" w:hanging="360"/>
      </w:pPr>
    </w:lvl>
    <w:lvl w:ilvl="4" w:tplc="31A2914A">
      <w:start w:val="1"/>
      <w:numFmt w:val="lowerLetter"/>
      <w:lvlText w:val="%5."/>
      <w:lvlJc w:val="left"/>
      <w:pPr>
        <w:ind w:left="3600" w:hanging="360"/>
      </w:pPr>
    </w:lvl>
    <w:lvl w:ilvl="5" w:tplc="25A8FFA2">
      <w:start w:val="1"/>
      <w:numFmt w:val="lowerRoman"/>
      <w:lvlText w:val="%6."/>
      <w:lvlJc w:val="right"/>
      <w:pPr>
        <w:ind w:left="4320" w:hanging="180"/>
      </w:pPr>
    </w:lvl>
    <w:lvl w:ilvl="6" w:tplc="B530A82C">
      <w:start w:val="1"/>
      <w:numFmt w:val="decimal"/>
      <w:lvlText w:val="%7."/>
      <w:lvlJc w:val="left"/>
      <w:pPr>
        <w:ind w:left="5040" w:hanging="360"/>
      </w:pPr>
    </w:lvl>
    <w:lvl w:ilvl="7" w:tplc="2EA00F52">
      <w:start w:val="1"/>
      <w:numFmt w:val="lowerLetter"/>
      <w:lvlText w:val="%8."/>
      <w:lvlJc w:val="left"/>
      <w:pPr>
        <w:ind w:left="5760" w:hanging="360"/>
      </w:pPr>
    </w:lvl>
    <w:lvl w:ilvl="8" w:tplc="FB34C4D8">
      <w:start w:val="1"/>
      <w:numFmt w:val="lowerRoman"/>
      <w:lvlText w:val="%9."/>
      <w:lvlJc w:val="right"/>
      <w:pPr>
        <w:ind w:left="6480" w:hanging="180"/>
      </w:pPr>
    </w:lvl>
  </w:abstractNum>
  <w:abstractNum w:abstractNumId="6" w15:restartNumberingAfterBreak="0">
    <w:nsid w:val="432F23DE"/>
    <w:multiLevelType w:val="hybridMultilevel"/>
    <w:tmpl w:val="5C405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A636988"/>
    <w:multiLevelType w:val="hybridMultilevel"/>
    <w:tmpl w:val="C98ECDE4"/>
    <w:lvl w:ilvl="0" w:tplc="DCEE17E4">
      <w:start w:val="2"/>
      <w:numFmt w:val="decimal"/>
      <w:lvlText w:val="%1."/>
      <w:lvlJc w:val="left"/>
      <w:pPr>
        <w:tabs>
          <w:tab w:val="num" w:pos="445"/>
        </w:tabs>
        <w:ind w:left="445" w:hanging="360"/>
      </w:pPr>
      <w:rPr>
        <w:rFonts w:hint="default"/>
        <w:color w:val="auto"/>
      </w:rPr>
    </w:lvl>
    <w:lvl w:ilvl="1" w:tplc="04140019">
      <w:start w:val="1"/>
      <w:numFmt w:val="lowerLetter"/>
      <w:lvlText w:val="%2."/>
      <w:lvlJc w:val="left"/>
      <w:pPr>
        <w:tabs>
          <w:tab w:val="num" w:pos="1165"/>
        </w:tabs>
        <w:ind w:left="1165" w:hanging="360"/>
      </w:pPr>
    </w:lvl>
    <w:lvl w:ilvl="2" w:tplc="0414001B" w:tentative="1">
      <w:start w:val="1"/>
      <w:numFmt w:val="lowerRoman"/>
      <w:lvlText w:val="%3."/>
      <w:lvlJc w:val="right"/>
      <w:pPr>
        <w:tabs>
          <w:tab w:val="num" w:pos="1885"/>
        </w:tabs>
        <w:ind w:left="1885" w:hanging="180"/>
      </w:pPr>
    </w:lvl>
    <w:lvl w:ilvl="3" w:tplc="0414000F" w:tentative="1">
      <w:start w:val="1"/>
      <w:numFmt w:val="decimal"/>
      <w:lvlText w:val="%4."/>
      <w:lvlJc w:val="left"/>
      <w:pPr>
        <w:tabs>
          <w:tab w:val="num" w:pos="2605"/>
        </w:tabs>
        <w:ind w:left="2605" w:hanging="360"/>
      </w:pPr>
    </w:lvl>
    <w:lvl w:ilvl="4" w:tplc="04140019" w:tentative="1">
      <w:start w:val="1"/>
      <w:numFmt w:val="lowerLetter"/>
      <w:lvlText w:val="%5."/>
      <w:lvlJc w:val="left"/>
      <w:pPr>
        <w:tabs>
          <w:tab w:val="num" w:pos="3325"/>
        </w:tabs>
        <w:ind w:left="3325" w:hanging="360"/>
      </w:pPr>
    </w:lvl>
    <w:lvl w:ilvl="5" w:tplc="0414001B" w:tentative="1">
      <w:start w:val="1"/>
      <w:numFmt w:val="lowerRoman"/>
      <w:lvlText w:val="%6."/>
      <w:lvlJc w:val="right"/>
      <w:pPr>
        <w:tabs>
          <w:tab w:val="num" w:pos="4045"/>
        </w:tabs>
        <w:ind w:left="4045" w:hanging="180"/>
      </w:pPr>
    </w:lvl>
    <w:lvl w:ilvl="6" w:tplc="0414000F" w:tentative="1">
      <w:start w:val="1"/>
      <w:numFmt w:val="decimal"/>
      <w:lvlText w:val="%7."/>
      <w:lvlJc w:val="left"/>
      <w:pPr>
        <w:tabs>
          <w:tab w:val="num" w:pos="4765"/>
        </w:tabs>
        <w:ind w:left="4765" w:hanging="360"/>
      </w:pPr>
    </w:lvl>
    <w:lvl w:ilvl="7" w:tplc="04140019" w:tentative="1">
      <w:start w:val="1"/>
      <w:numFmt w:val="lowerLetter"/>
      <w:lvlText w:val="%8."/>
      <w:lvlJc w:val="left"/>
      <w:pPr>
        <w:tabs>
          <w:tab w:val="num" w:pos="5485"/>
        </w:tabs>
        <w:ind w:left="5485" w:hanging="360"/>
      </w:pPr>
    </w:lvl>
    <w:lvl w:ilvl="8" w:tplc="0414001B" w:tentative="1">
      <w:start w:val="1"/>
      <w:numFmt w:val="lowerRoman"/>
      <w:lvlText w:val="%9."/>
      <w:lvlJc w:val="right"/>
      <w:pPr>
        <w:tabs>
          <w:tab w:val="num" w:pos="6205"/>
        </w:tabs>
        <w:ind w:left="6205" w:hanging="180"/>
      </w:pPr>
    </w:lvl>
  </w:abstractNum>
  <w:abstractNum w:abstractNumId="8" w15:restartNumberingAfterBreak="0">
    <w:nsid w:val="656C3A95"/>
    <w:multiLevelType w:val="hybridMultilevel"/>
    <w:tmpl w:val="13BC9866"/>
    <w:lvl w:ilvl="0" w:tplc="8C9836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B5CF9E4"/>
    <w:multiLevelType w:val="hybridMultilevel"/>
    <w:tmpl w:val="1006FDA8"/>
    <w:lvl w:ilvl="0" w:tplc="D4623160">
      <w:start w:val="1"/>
      <w:numFmt w:val="bullet"/>
      <w:lvlText w:val=""/>
      <w:lvlJc w:val="left"/>
      <w:pPr>
        <w:ind w:left="720" w:hanging="360"/>
      </w:pPr>
      <w:rPr>
        <w:rFonts w:ascii="Symbol" w:hAnsi="Symbol" w:hint="default"/>
      </w:rPr>
    </w:lvl>
    <w:lvl w:ilvl="1" w:tplc="7A84B922">
      <w:start w:val="1"/>
      <w:numFmt w:val="bullet"/>
      <w:lvlText w:val="o"/>
      <w:lvlJc w:val="left"/>
      <w:pPr>
        <w:ind w:left="1440" w:hanging="360"/>
      </w:pPr>
      <w:rPr>
        <w:rFonts w:ascii="Courier New" w:hAnsi="Courier New" w:hint="default"/>
      </w:rPr>
    </w:lvl>
    <w:lvl w:ilvl="2" w:tplc="BBA2B5C0">
      <w:start w:val="1"/>
      <w:numFmt w:val="bullet"/>
      <w:lvlText w:val=""/>
      <w:lvlJc w:val="left"/>
      <w:pPr>
        <w:ind w:left="2160" w:hanging="360"/>
      </w:pPr>
      <w:rPr>
        <w:rFonts w:ascii="Wingdings" w:hAnsi="Wingdings" w:hint="default"/>
      </w:rPr>
    </w:lvl>
    <w:lvl w:ilvl="3" w:tplc="188E72EA">
      <w:start w:val="1"/>
      <w:numFmt w:val="bullet"/>
      <w:lvlText w:val=""/>
      <w:lvlJc w:val="left"/>
      <w:pPr>
        <w:ind w:left="2880" w:hanging="360"/>
      </w:pPr>
      <w:rPr>
        <w:rFonts w:ascii="Symbol" w:hAnsi="Symbol" w:hint="default"/>
      </w:rPr>
    </w:lvl>
    <w:lvl w:ilvl="4" w:tplc="079A11CC">
      <w:start w:val="1"/>
      <w:numFmt w:val="bullet"/>
      <w:lvlText w:val="o"/>
      <w:lvlJc w:val="left"/>
      <w:pPr>
        <w:ind w:left="3600" w:hanging="360"/>
      </w:pPr>
      <w:rPr>
        <w:rFonts w:ascii="Courier New" w:hAnsi="Courier New" w:hint="default"/>
      </w:rPr>
    </w:lvl>
    <w:lvl w:ilvl="5" w:tplc="FEF483F6">
      <w:start w:val="1"/>
      <w:numFmt w:val="bullet"/>
      <w:lvlText w:val=""/>
      <w:lvlJc w:val="left"/>
      <w:pPr>
        <w:ind w:left="4320" w:hanging="360"/>
      </w:pPr>
      <w:rPr>
        <w:rFonts w:ascii="Wingdings" w:hAnsi="Wingdings" w:hint="default"/>
      </w:rPr>
    </w:lvl>
    <w:lvl w:ilvl="6" w:tplc="E3385654">
      <w:start w:val="1"/>
      <w:numFmt w:val="bullet"/>
      <w:lvlText w:val=""/>
      <w:lvlJc w:val="left"/>
      <w:pPr>
        <w:ind w:left="5040" w:hanging="360"/>
      </w:pPr>
      <w:rPr>
        <w:rFonts w:ascii="Symbol" w:hAnsi="Symbol" w:hint="default"/>
      </w:rPr>
    </w:lvl>
    <w:lvl w:ilvl="7" w:tplc="65642444">
      <w:start w:val="1"/>
      <w:numFmt w:val="bullet"/>
      <w:lvlText w:val="o"/>
      <w:lvlJc w:val="left"/>
      <w:pPr>
        <w:ind w:left="5760" w:hanging="360"/>
      </w:pPr>
      <w:rPr>
        <w:rFonts w:ascii="Courier New" w:hAnsi="Courier New" w:hint="default"/>
      </w:rPr>
    </w:lvl>
    <w:lvl w:ilvl="8" w:tplc="92F2DCF8">
      <w:start w:val="1"/>
      <w:numFmt w:val="bullet"/>
      <w:lvlText w:val=""/>
      <w:lvlJc w:val="left"/>
      <w:pPr>
        <w:ind w:left="6480" w:hanging="360"/>
      </w:pPr>
      <w:rPr>
        <w:rFonts w:ascii="Wingdings" w:hAnsi="Wingdings" w:hint="default"/>
      </w:rPr>
    </w:lvl>
  </w:abstractNum>
  <w:abstractNum w:abstractNumId="10" w15:restartNumberingAfterBreak="0">
    <w:nsid w:val="722704B7"/>
    <w:multiLevelType w:val="hybridMultilevel"/>
    <w:tmpl w:val="15BACA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12022693">
    <w:abstractNumId w:val="5"/>
  </w:num>
  <w:num w:numId="2" w16cid:durableId="19285867">
    <w:abstractNumId w:val="1"/>
  </w:num>
  <w:num w:numId="3" w16cid:durableId="1147668845">
    <w:abstractNumId w:val="2"/>
  </w:num>
  <w:num w:numId="4" w16cid:durableId="1374765700">
    <w:abstractNumId w:val="9"/>
  </w:num>
  <w:num w:numId="5" w16cid:durableId="2053773307">
    <w:abstractNumId w:val="4"/>
  </w:num>
  <w:num w:numId="6" w16cid:durableId="827136164">
    <w:abstractNumId w:val="10"/>
  </w:num>
  <w:num w:numId="7" w16cid:durableId="1127821963">
    <w:abstractNumId w:val="6"/>
  </w:num>
  <w:num w:numId="8" w16cid:durableId="492451446">
    <w:abstractNumId w:val="3"/>
  </w:num>
  <w:num w:numId="9" w16cid:durableId="459884198">
    <w:abstractNumId w:val="7"/>
  </w:num>
  <w:num w:numId="10" w16cid:durableId="931813189">
    <w:abstractNumId w:val="0"/>
  </w:num>
  <w:num w:numId="11" w16cid:durableId="18463622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7B"/>
    <w:rsid w:val="00012F9F"/>
    <w:rsid w:val="00023C63"/>
    <w:rsid w:val="00074C21"/>
    <w:rsid w:val="000868E6"/>
    <w:rsid w:val="00087D26"/>
    <w:rsid w:val="00094E39"/>
    <w:rsid w:val="000A21E1"/>
    <w:rsid w:val="000A5638"/>
    <w:rsid w:val="000A7DC3"/>
    <w:rsid w:val="000B38B0"/>
    <w:rsid w:val="000C4122"/>
    <w:rsid w:val="000C71A3"/>
    <w:rsid w:val="000C7449"/>
    <w:rsid w:val="000F6EE7"/>
    <w:rsid w:val="001180FE"/>
    <w:rsid w:val="00142424"/>
    <w:rsid w:val="00144FF3"/>
    <w:rsid w:val="00161DC5"/>
    <w:rsid w:val="00162EE3"/>
    <w:rsid w:val="00164259"/>
    <w:rsid w:val="0018662C"/>
    <w:rsid w:val="001C27A6"/>
    <w:rsid w:val="001C45B7"/>
    <w:rsid w:val="001C645E"/>
    <w:rsid w:val="001D078E"/>
    <w:rsid w:val="00207BCA"/>
    <w:rsid w:val="0024673D"/>
    <w:rsid w:val="00264E16"/>
    <w:rsid w:val="00275CE4"/>
    <w:rsid w:val="002920D6"/>
    <w:rsid w:val="002B018B"/>
    <w:rsid w:val="002B4C45"/>
    <w:rsid w:val="002B6418"/>
    <w:rsid w:val="002B758A"/>
    <w:rsid w:val="002C1726"/>
    <w:rsid w:val="002D2745"/>
    <w:rsid w:val="00302A60"/>
    <w:rsid w:val="00316CE5"/>
    <w:rsid w:val="00332BEF"/>
    <w:rsid w:val="00347836"/>
    <w:rsid w:val="0038087F"/>
    <w:rsid w:val="003967AC"/>
    <w:rsid w:val="00397442"/>
    <w:rsid w:val="003A2592"/>
    <w:rsid w:val="003B0AA5"/>
    <w:rsid w:val="003D03AA"/>
    <w:rsid w:val="003D070F"/>
    <w:rsid w:val="004204F0"/>
    <w:rsid w:val="0042051E"/>
    <w:rsid w:val="00441B22"/>
    <w:rsid w:val="00471006"/>
    <w:rsid w:val="00481F2A"/>
    <w:rsid w:val="00483ECD"/>
    <w:rsid w:val="004B7B63"/>
    <w:rsid w:val="004F40AE"/>
    <w:rsid w:val="00514564"/>
    <w:rsid w:val="00515EC8"/>
    <w:rsid w:val="00522C28"/>
    <w:rsid w:val="005649B3"/>
    <w:rsid w:val="00565C0F"/>
    <w:rsid w:val="00572095"/>
    <w:rsid w:val="00574A27"/>
    <w:rsid w:val="005A4F61"/>
    <w:rsid w:val="005A770B"/>
    <w:rsid w:val="005B0916"/>
    <w:rsid w:val="005B4F17"/>
    <w:rsid w:val="005C6D24"/>
    <w:rsid w:val="005E2AC0"/>
    <w:rsid w:val="005EB227"/>
    <w:rsid w:val="00600B22"/>
    <w:rsid w:val="00602D7B"/>
    <w:rsid w:val="006308AB"/>
    <w:rsid w:val="006318AA"/>
    <w:rsid w:val="00645EB6"/>
    <w:rsid w:val="0065069C"/>
    <w:rsid w:val="006554AE"/>
    <w:rsid w:val="00691F87"/>
    <w:rsid w:val="006A0DF5"/>
    <w:rsid w:val="006A36E4"/>
    <w:rsid w:val="006D794E"/>
    <w:rsid w:val="00710139"/>
    <w:rsid w:val="00717F34"/>
    <w:rsid w:val="00734878"/>
    <w:rsid w:val="00734D44"/>
    <w:rsid w:val="00743F35"/>
    <w:rsid w:val="00776BD6"/>
    <w:rsid w:val="00795CA0"/>
    <w:rsid w:val="007A2C5A"/>
    <w:rsid w:val="007A5818"/>
    <w:rsid w:val="007A6B0B"/>
    <w:rsid w:val="007B2A4C"/>
    <w:rsid w:val="007C6785"/>
    <w:rsid w:val="007D335D"/>
    <w:rsid w:val="007E18EE"/>
    <w:rsid w:val="00814672"/>
    <w:rsid w:val="0082356D"/>
    <w:rsid w:val="0083310F"/>
    <w:rsid w:val="008346DC"/>
    <w:rsid w:val="00846D0A"/>
    <w:rsid w:val="00855633"/>
    <w:rsid w:val="00870F59"/>
    <w:rsid w:val="00873EA2"/>
    <w:rsid w:val="00883610"/>
    <w:rsid w:val="00887580"/>
    <w:rsid w:val="00891FD3"/>
    <w:rsid w:val="008B162D"/>
    <w:rsid w:val="008E1DA1"/>
    <w:rsid w:val="00916474"/>
    <w:rsid w:val="00920505"/>
    <w:rsid w:val="00935C3B"/>
    <w:rsid w:val="009529CF"/>
    <w:rsid w:val="009656DE"/>
    <w:rsid w:val="009853DF"/>
    <w:rsid w:val="00992012"/>
    <w:rsid w:val="009B4929"/>
    <w:rsid w:val="009B541C"/>
    <w:rsid w:val="009D2EA4"/>
    <w:rsid w:val="009E2C2A"/>
    <w:rsid w:val="009F4C7D"/>
    <w:rsid w:val="009F549E"/>
    <w:rsid w:val="00A028CD"/>
    <w:rsid w:val="00A05D9D"/>
    <w:rsid w:val="00A10801"/>
    <w:rsid w:val="00A26DC5"/>
    <w:rsid w:val="00A30F37"/>
    <w:rsid w:val="00A362B4"/>
    <w:rsid w:val="00A46002"/>
    <w:rsid w:val="00A54494"/>
    <w:rsid w:val="00A632D7"/>
    <w:rsid w:val="00A876D2"/>
    <w:rsid w:val="00A9300D"/>
    <w:rsid w:val="00AC240F"/>
    <w:rsid w:val="00AC7B43"/>
    <w:rsid w:val="00AD5DC0"/>
    <w:rsid w:val="00AD6459"/>
    <w:rsid w:val="00B01146"/>
    <w:rsid w:val="00B13636"/>
    <w:rsid w:val="00B403D4"/>
    <w:rsid w:val="00B70DBD"/>
    <w:rsid w:val="00B75226"/>
    <w:rsid w:val="00BF655B"/>
    <w:rsid w:val="00C015C2"/>
    <w:rsid w:val="00C5029E"/>
    <w:rsid w:val="00C62D38"/>
    <w:rsid w:val="00C678C6"/>
    <w:rsid w:val="00C72DD8"/>
    <w:rsid w:val="00C73D12"/>
    <w:rsid w:val="00C914EF"/>
    <w:rsid w:val="00CC7909"/>
    <w:rsid w:val="00CF7B2C"/>
    <w:rsid w:val="00D366AD"/>
    <w:rsid w:val="00D465AE"/>
    <w:rsid w:val="00D500A6"/>
    <w:rsid w:val="00D54A8C"/>
    <w:rsid w:val="00D72BF4"/>
    <w:rsid w:val="00D74E82"/>
    <w:rsid w:val="00D76933"/>
    <w:rsid w:val="00DA5E0D"/>
    <w:rsid w:val="00DA631E"/>
    <w:rsid w:val="00DB6160"/>
    <w:rsid w:val="00DC4673"/>
    <w:rsid w:val="00DE6ED7"/>
    <w:rsid w:val="00E0115E"/>
    <w:rsid w:val="00E173F3"/>
    <w:rsid w:val="00E44057"/>
    <w:rsid w:val="00E81706"/>
    <w:rsid w:val="00E87048"/>
    <w:rsid w:val="00EA2FD7"/>
    <w:rsid w:val="00EB2982"/>
    <w:rsid w:val="00EB642E"/>
    <w:rsid w:val="00EC29AB"/>
    <w:rsid w:val="00EC4620"/>
    <w:rsid w:val="00EE307B"/>
    <w:rsid w:val="00EF3BC5"/>
    <w:rsid w:val="00EF7406"/>
    <w:rsid w:val="00F56BEC"/>
    <w:rsid w:val="00F61D4D"/>
    <w:rsid w:val="00F63DB7"/>
    <w:rsid w:val="00F71BC4"/>
    <w:rsid w:val="00F75CDC"/>
    <w:rsid w:val="00F95B9C"/>
    <w:rsid w:val="00F964B4"/>
    <w:rsid w:val="00F968BB"/>
    <w:rsid w:val="00FA5294"/>
    <w:rsid w:val="00FC670D"/>
    <w:rsid w:val="00FD0809"/>
    <w:rsid w:val="00FE30D3"/>
    <w:rsid w:val="00FFE71C"/>
    <w:rsid w:val="010BA764"/>
    <w:rsid w:val="0119657F"/>
    <w:rsid w:val="01CC23AF"/>
    <w:rsid w:val="01F69518"/>
    <w:rsid w:val="01FB6B53"/>
    <w:rsid w:val="023412A3"/>
    <w:rsid w:val="02578333"/>
    <w:rsid w:val="0270999F"/>
    <w:rsid w:val="02960DF4"/>
    <w:rsid w:val="035054C4"/>
    <w:rsid w:val="04510641"/>
    <w:rsid w:val="04F35CCB"/>
    <w:rsid w:val="05399BBE"/>
    <w:rsid w:val="0567A2E3"/>
    <w:rsid w:val="059B8870"/>
    <w:rsid w:val="05A35A3D"/>
    <w:rsid w:val="05AD9243"/>
    <w:rsid w:val="05C79E6D"/>
    <w:rsid w:val="06418E9F"/>
    <w:rsid w:val="06435B01"/>
    <w:rsid w:val="066289B9"/>
    <w:rsid w:val="06A78827"/>
    <w:rsid w:val="06B988EA"/>
    <w:rsid w:val="06F6E1CA"/>
    <w:rsid w:val="07932ED7"/>
    <w:rsid w:val="07BAB651"/>
    <w:rsid w:val="07F5527D"/>
    <w:rsid w:val="08072A87"/>
    <w:rsid w:val="080F05F6"/>
    <w:rsid w:val="0836346B"/>
    <w:rsid w:val="08AEFF1A"/>
    <w:rsid w:val="08F6E26A"/>
    <w:rsid w:val="090162B8"/>
    <w:rsid w:val="09246139"/>
    <w:rsid w:val="0AAC2637"/>
    <w:rsid w:val="0AB58A37"/>
    <w:rsid w:val="0ABDD3BA"/>
    <w:rsid w:val="0AC0319A"/>
    <w:rsid w:val="0B16CC24"/>
    <w:rsid w:val="0B25B7FA"/>
    <w:rsid w:val="0BDAFFB5"/>
    <w:rsid w:val="0C1FE324"/>
    <w:rsid w:val="0C59A41B"/>
    <w:rsid w:val="0C8A4D4B"/>
    <w:rsid w:val="0DA55BCF"/>
    <w:rsid w:val="0DD3BADF"/>
    <w:rsid w:val="0DDB77A4"/>
    <w:rsid w:val="0DDBED97"/>
    <w:rsid w:val="0DF5747C"/>
    <w:rsid w:val="0E9EE03E"/>
    <w:rsid w:val="0EBB64DD"/>
    <w:rsid w:val="0ECA69F2"/>
    <w:rsid w:val="0F0616FC"/>
    <w:rsid w:val="0F555856"/>
    <w:rsid w:val="0F6EEF2A"/>
    <w:rsid w:val="0FF6AB30"/>
    <w:rsid w:val="1013024C"/>
    <w:rsid w:val="10580D94"/>
    <w:rsid w:val="109D340E"/>
    <w:rsid w:val="10AB3D00"/>
    <w:rsid w:val="10AE79C0"/>
    <w:rsid w:val="1120E8C0"/>
    <w:rsid w:val="1189D166"/>
    <w:rsid w:val="13BD96AC"/>
    <w:rsid w:val="13BFA939"/>
    <w:rsid w:val="1402E49C"/>
    <w:rsid w:val="1427071A"/>
    <w:rsid w:val="143BD8D4"/>
    <w:rsid w:val="143C5CF6"/>
    <w:rsid w:val="14588982"/>
    <w:rsid w:val="1573C55E"/>
    <w:rsid w:val="15836D24"/>
    <w:rsid w:val="15AC3876"/>
    <w:rsid w:val="160777C8"/>
    <w:rsid w:val="16171905"/>
    <w:rsid w:val="167AD759"/>
    <w:rsid w:val="168FB573"/>
    <w:rsid w:val="16A35CFB"/>
    <w:rsid w:val="16E29BD1"/>
    <w:rsid w:val="17667F4B"/>
    <w:rsid w:val="177180E2"/>
    <w:rsid w:val="17DAA833"/>
    <w:rsid w:val="18132524"/>
    <w:rsid w:val="185FE700"/>
    <w:rsid w:val="18B0AA32"/>
    <w:rsid w:val="18F31F21"/>
    <w:rsid w:val="18F44E11"/>
    <w:rsid w:val="194014A9"/>
    <w:rsid w:val="198D615B"/>
    <w:rsid w:val="19A0BC35"/>
    <w:rsid w:val="19ED25BE"/>
    <w:rsid w:val="1A2AEDF7"/>
    <w:rsid w:val="1A901E72"/>
    <w:rsid w:val="1ABD17FE"/>
    <w:rsid w:val="1ADBE50A"/>
    <w:rsid w:val="1B27A550"/>
    <w:rsid w:val="1B43BE66"/>
    <w:rsid w:val="1B4D255D"/>
    <w:rsid w:val="1B9FD454"/>
    <w:rsid w:val="1BB058E4"/>
    <w:rsid w:val="1BCA1857"/>
    <w:rsid w:val="1BD12834"/>
    <w:rsid w:val="1C39EA1B"/>
    <w:rsid w:val="1C651258"/>
    <w:rsid w:val="1CC2C16A"/>
    <w:rsid w:val="1CE6933D"/>
    <w:rsid w:val="1D198AA8"/>
    <w:rsid w:val="1D4320B6"/>
    <w:rsid w:val="1D65F579"/>
    <w:rsid w:val="1D8857EB"/>
    <w:rsid w:val="1DB9BF06"/>
    <w:rsid w:val="1E69F4D2"/>
    <w:rsid w:val="1EDA065E"/>
    <w:rsid w:val="1EE2AC1F"/>
    <w:rsid w:val="1EE8A6E7"/>
    <w:rsid w:val="1EF9CB93"/>
    <w:rsid w:val="1F2004FF"/>
    <w:rsid w:val="1F8AFD71"/>
    <w:rsid w:val="1F958AD6"/>
    <w:rsid w:val="1FA67255"/>
    <w:rsid w:val="1FEF4E73"/>
    <w:rsid w:val="20A42D5C"/>
    <w:rsid w:val="20FA2A5F"/>
    <w:rsid w:val="20FDFDDE"/>
    <w:rsid w:val="2126CDD2"/>
    <w:rsid w:val="2159C543"/>
    <w:rsid w:val="21B934CB"/>
    <w:rsid w:val="2336143F"/>
    <w:rsid w:val="23567B1B"/>
    <w:rsid w:val="23FF85C0"/>
    <w:rsid w:val="2468A2D4"/>
    <w:rsid w:val="2482C750"/>
    <w:rsid w:val="2563B059"/>
    <w:rsid w:val="25CAFBEA"/>
    <w:rsid w:val="25D97984"/>
    <w:rsid w:val="25DE9F1B"/>
    <w:rsid w:val="26037449"/>
    <w:rsid w:val="26107472"/>
    <w:rsid w:val="26328301"/>
    <w:rsid w:val="26710402"/>
    <w:rsid w:val="26DCA20C"/>
    <w:rsid w:val="26F9A02B"/>
    <w:rsid w:val="272A10D0"/>
    <w:rsid w:val="27B3497F"/>
    <w:rsid w:val="282D83FD"/>
    <w:rsid w:val="28493C10"/>
    <w:rsid w:val="2880E8A4"/>
    <w:rsid w:val="28A00E00"/>
    <w:rsid w:val="293CCC32"/>
    <w:rsid w:val="29C81EDF"/>
    <w:rsid w:val="2A5A6D5C"/>
    <w:rsid w:val="2A8C4053"/>
    <w:rsid w:val="2B7CDFAC"/>
    <w:rsid w:val="2B8427E9"/>
    <w:rsid w:val="2B8706FE"/>
    <w:rsid w:val="2D31B6AA"/>
    <w:rsid w:val="2D59A16C"/>
    <w:rsid w:val="2D7003B1"/>
    <w:rsid w:val="2D9550F4"/>
    <w:rsid w:val="2DC636AF"/>
    <w:rsid w:val="2DCDC946"/>
    <w:rsid w:val="2E3E9B46"/>
    <w:rsid w:val="2E6B0007"/>
    <w:rsid w:val="2E82B530"/>
    <w:rsid w:val="2E85F2F5"/>
    <w:rsid w:val="2EC03849"/>
    <w:rsid w:val="2ED09FB5"/>
    <w:rsid w:val="2EEB20CE"/>
    <w:rsid w:val="2F06A464"/>
    <w:rsid w:val="2F7CC856"/>
    <w:rsid w:val="30282BC9"/>
    <w:rsid w:val="3091422E"/>
    <w:rsid w:val="309F186E"/>
    <w:rsid w:val="30B3AD44"/>
    <w:rsid w:val="30FAF94B"/>
    <w:rsid w:val="31059AFB"/>
    <w:rsid w:val="31583B32"/>
    <w:rsid w:val="317D232E"/>
    <w:rsid w:val="31D7E05C"/>
    <w:rsid w:val="3234FE88"/>
    <w:rsid w:val="32365548"/>
    <w:rsid w:val="328AC8E2"/>
    <w:rsid w:val="32FCC3A8"/>
    <w:rsid w:val="345AC176"/>
    <w:rsid w:val="35535BD4"/>
    <w:rsid w:val="35542C8E"/>
    <w:rsid w:val="3561D82D"/>
    <w:rsid w:val="368004E3"/>
    <w:rsid w:val="36EF2C35"/>
    <w:rsid w:val="373D42DA"/>
    <w:rsid w:val="37684E7B"/>
    <w:rsid w:val="376FFD9D"/>
    <w:rsid w:val="378F9892"/>
    <w:rsid w:val="379B0EC7"/>
    <w:rsid w:val="37A199C2"/>
    <w:rsid w:val="37F3CEDF"/>
    <w:rsid w:val="3837D356"/>
    <w:rsid w:val="383E76C0"/>
    <w:rsid w:val="3873A539"/>
    <w:rsid w:val="390BCDFE"/>
    <w:rsid w:val="3980478D"/>
    <w:rsid w:val="39C47FC6"/>
    <w:rsid w:val="3A0B0A4C"/>
    <w:rsid w:val="3A2D576A"/>
    <w:rsid w:val="3A88BEAE"/>
    <w:rsid w:val="3A98270F"/>
    <w:rsid w:val="3B78D579"/>
    <w:rsid w:val="3B98C704"/>
    <w:rsid w:val="3BA6DAAD"/>
    <w:rsid w:val="3BAB45FB"/>
    <w:rsid w:val="3BBE6E78"/>
    <w:rsid w:val="3BC59812"/>
    <w:rsid w:val="3C17FE6E"/>
    <w:rsid w:val="3CAB1237"/>
    <w:rsid w:val="3CD61E0A"/>
    <w:rsid w:val="3CDC6B13"/>
    <w:rsid w:val="3D2E7EE8"/>
    <w:rsid w:val="3D80F575"/>
    <w:rsid w:val="3D8B42AB"/>
    <w:rsid w:val="3E6E8333"/>
    <w:rsid w:val="3E71EE6B"/>
    <w:rsid w:val="3F382326"/>
    <w:rsid w:val="3FAF402C"/>
    <w:rsid w:val="40B89637"/>
    <w:rsid w:val="40CA23A7"/>
    <w:rsid w:val="415F3B69"/>
    <w:rsid w:val="41CB4585"/>
    <w:rsid w:val="41E24221"/>
    <w:rsid w:val="41E35674"/>
    <w:rsid w:val="4265F408"/>
    <w:rsid w:val="42E12C05"/>
    <w:rsid w:val="42FE912D"/>
    <w:rsid w:val="432713A8"/>
    <w:rsid w:val="4387880C"/>
    <w:rsid w:val="438EA203"/>
    <w:rsid w:val="4401C469"/>
    <w:rsid w:val="443A2700"/>
    <w:rsid w:val="4442AE5B"/>
    <w:rsid w:val="44650EC5"/>
    <w:rsid w:val="4478D2C6"/>
    <w:rsid w:val="44B9A150"/>
    <w:rsid w:val="44C6E07D"/>
    <w:rsid w:val="44E6979A"/>
    <w:rsid w:val="452A7264"/>
    <w:rsid w:val="453B2BEE"/>
    <w:rsid w:val="454996AC"/>
    <w:rsid w:val="456A2DBC"/>
    <w:rsid w:val="45F23E8C"/>
    <w:rsid w:val="45F420AC"/>
    <w:rsid w:val="463DF21F"/>
    <w:rsid w:val="4677DCC7"/>
    <w:rsid w:val="46872775"/>
    <w:rsid w:val="4694C9A2"/>
    <w:rsid w:val="46A9289A"/>
    <w:rsid w:val="46BF28CE"/>
    <w:rsid w:val="470897F0"/>
    <w:rsid w:val="473399C8"/>
    <w:rsid w:val="47F14212"/>
    <w:rsid w:val="485AF92F"/>
    <w:rsid w:val="48B32708"/>
    <w:rsid w:val="48D1C961"/>
    <w:rsid w:val="48D5358C"/>
    <w:rsid w:val="49501E3A"/>
    <w:rsid w:val="499E58DD"/>
    <w:rsid w:val="49B85B27"/>
    <w:rsid w:val="4A2BE68E"/>
    <w:rsid w:val="4A3D0D67"/>
    <w:rsid w:val="4A40AF67"/>
    <w:rsid w:val="4A7FE4E6"/>
    <w:rsid w:val="4AEC1173"/>
    <w:rsid w:val="4B4FE171"/>
    <w:rsid w:val="4B9BE98F"/>
    <w:rsid w:val="4BFDF806"/>
    <w:rsid w:val="4C2A6D13"/>
    <w:rsid w:val="4C4EB1A2"/>
    <w:rsid w:val="4CC86146"/>
    <w:rsid w:val="4CD28975"/>
    <w:rsid w:val="4CE59B3D"/>
    <w:rsid w:val="4DA94145"/>
    <w:rsid w:val="4DE15EFE"/>
    <w:rsid w:val="4DF87906"/>
    <w:rsid w:val="4E58A1A3"/>
    <w:rsid w:val="4E69C64F"/>
    <w:rsid w:val="4E96A760"/>
    <w:rsid w:val="4E99407A"/>
    <w:rsid w:val="4EB8A188"/>
    <w:rsid w:val="4EEF531B"/>
    <w:rsid w:val="4F00F80D"/>
    <w:rsid w:val="4F2477FE"/>
    <w:rsid w:val="503C73AA"/>
    <w:rsid w:val="50563255"/>
    <w:rsid w:val="5064BE8F"/>
    <w:rsid w:val="50718520"/>
    <w:rsid w:val="50788177"/>
    <w:rsid w:val="5152A7D7"/>
    <w:rsid w:val="519272F7"/>
    <w:rsid w:val="52008699"/>
    <w:rsid w:val="5205C899"/>
    <w:rsid w:val="520CD155"/>
    <w:rsid w:val="527815A1"/>
    <w:rsid w:val="52D8276B"/>
    <w:rsid w:val="53116DDE"/>
    <w:rsid w:val="534524F8"/>
    <w:rsid w:val="534C34D5"/>
    <w:rsid w:val="54151F56"/>
    <w:rsid w:val="54790BA2"/>
    <w:rsid w:val="549C6AE3"/>
    <w:rsid w:val="54A27022"/>
    <w:rsid w:val="55204FC4"/>
    <w:rsid w:val="55560DF3"/>
    <w:rsid w:val="55567473"/>
    <w:rsid w:val="55E78AD7"/>
    <w:rsid w:val="564F91FA"/>
    <w:rsid w:val="565DB8C0"/>
    <w:rsid w:val="5674D834"/>
    <w:rsid w:val="5693BAB4"/>
    <w:rsid w:val="56D9669F"/>
    <w:rsid w:val="56DD3A1E"/>
    <w:rsid w:val="56F537EB"/>
    <w:rsid w:val="571DE587"/>
    <w:rsid w:val="573E4E1E"/>
    <w:rsid w:val="57C0A14D"/>
    <w:rsid w:val="57EB625B"/>
    <w:rsid w:val="57ED6C61"/>
    <w:rsid w:val="585A79E3"/>
    <w:rsid w:val="58711AD5"/>
    <w:rsid w:val="58E157E7"/>
    <w:rsid w:val="592B733E"/>
    <w:rsid w:val="59318D5C"/>
    <w:rsid w:val="5968086C"/>
    <w:rsid w:val="5985FB5B"/>
    <w:rsid w:val="598CB3C1"/>
    <w:rsid w:val="59CA5B2F"/>
    <w:rsid w:val="5A4F607D"/>
    <w:rsid w:val="5AA284E0"/>
    <w:rsid w:val="5B288422"/>
    <w:rsid w:val="5B338B29"/>
    <w:rsid w:val="5B5036DD"/>
    <w:rsid w:val="5B54CA64"/>
    <w:rsid w:val="5BABAB2A"/>
    <w:rsid w:val="5C013C2E"/>
    <w:rsid w:val="5C2A3380"/>
    <w:rsid w:val="5C8680D1"/>
    <w:rsid w:val="5CA1519E"/>
    <w:rsid w:val="5CC1BA35"/>
    <w:rsid w:val="5CC45483"/>
    <w:rsid w:val="5CCCC773"/>
    <w:rsid w:val="5D482719"/>
    <w:rsid w:val="5DAD8FA2"/>
    <w:rsid w:val="5DD11BA3"/>
    <w:rsid w:val="5E076771"/>
    <w:rsid w:val="5E11E792"/>
    <w:rsid w:val="5E6024E4"/>
    <w:rsid w:val="5E6897D4"/>
    <w:rsid w:val="5F10736C"/>
    <w:rsid w:val="5F6CEC04"/>
    <w:rsid w:val="5F89D85E"/>
    <w:rsid w:val="5FB124BF"/>
    <w:rsid w:val="60448E34"/>
    <w:rsid w:val="6084E922"/>
    <w:rsid w:val="60AC43CD"/>
    <w:rsid w:val="6104F8DC"/>
    <w:rsid w:val="61A9F5CB"/>
    <w:rsid w:val="61D8F357"/>
    <w:rsid w:val="61EAB0E4"/>
    <w:rsid w:val="620DDE5F"/>
    <w:rsid w:val="62101406"/>
    <w:rsid w:val="6234C1D4"/>
    <w:rsid w:val="62A2C75C"/>
    <w:rsid w:val="63144F99"/>
    <w:rsid w:val="635FDC49"/>
    <w:rsid w:val="6360D868"/>
    <w:rsid w:val="63FEF997"/>
    <w:rsid w:val="63FF4939"/>
    <w:rsid w:val="6424B319"/>
    <w:rsid w:val="648EBD94"/>
    <w:rsid w:val="64FBACAA"/>
    <w:rsid w:val="658BC83F"/>
    <w:rsid w:val="659E7E06"/>
    <w:rsid w:val="663F31D5"/>
    <w:rsid w:val="66A748A1"/>
    <w:rsid w:val="6751A0E9"/>
    <w:rsid w:val="676658D4"/>
    <w:rsid w:val="679CADB2"/>
    <w:rsid w:val="67D392C8"/>
    <w:rsid w:val="6807072A"/>
    <w:rsid w:val="682AA381"/>
    <w:rsid w:val="682EB9E5"/>
    <w:rsid w:val="684834DB"/>
    <w:rsid w:val="69038F05"/>
    <w:rsid w:val="6927A061"/>
    <w:rsid w:val="69AFD72A"/>
    <w:rsid w:val="69B67A83"/>
    <w:rsid w:val="6A7121D6"/>
    <w:rsid w:val="6B40F8D3"/>
    <w:rsid w:val="6B782114"/>
    <w:rsid w:val="6BDCBFE3"/>
    <w:rsid w:val="6BF4972D"/>
    <w:rsid w:val="6C10DC3A"/>
    <w:rsid w:val="6C2A9689"/>
    <w:rsid w:val="6CDA784D"/>
    <w:rsid w:val="6CDFBFF2"/>
    <w:rsid w:val="6D995CD4"/>
    <w:rsid w:val="6DAA3509"/>
    <w:rsid w:val="6DCBA0F2"/>
    <w:rsid w:val="6E288B59"/>
    <w:rsid w:val="6ECB4EFB"/>
    <w:rsid w:val="6ED9739B"/>
    <w:rsid w:val="6F46056A"/>
    <w:rsid w:val="6FAA802C"/>
    <w:rsid w:val="6FEF5F97"/>
    <w:rsid w:val="70263313"/>
    <w:rsid w:val="705BE634"/>
    <w:rsid w:val="710341B4"/>
    <w:rsid w:val="711E4EEF"/>
    <w:rsid w:val="7229619E"/>
    <w:rsid w:val="72BA1F50"/>
    <w:rsid w:val="72D2B7A4"/>
    <w:rsid w:val="72D420CD"/>
    <w:rsid w:val="7339EB53"/>
    <w:rsid w:val="7381DB4B"/>
    <w:rsid w:val="738559A0"/>
    <w:rsid w:val="739DCC1B"/>
    <w:rsid w:val="73AA7334"/>
    <w:rsid w:val="73EDA4ED"/>
    <w:rsid w:val="73FFA912"/>
    <w:rsid w:val="74A8A807"/>
    <w:rsid w:val="74ED77B8"/>
    <w:rsid w:val="75A7CABD"/>
    <w:rsid w:val="75C2FEF5"/>
    <w:rsid w:val="75E7D783"/>
    <w:rsid w:val="76C2955E"/>
    <w:rsid w:val="76DFBDC9"/>
    <w:rsid w:val="76EF6920"/>
    <w:rsid w:val="7704F8C3"/>
    <w:rsid w:val="7746E41E"/>
    <w:rsid w:val="77766CF3"/>
    <w:rsid w:val="7783A7E4"/>
    <w:rsid w:val="78177FA3"/>
    <w:rsid w:val="782A10A8"/>
    <w:rsid w:val="782B138B"/>
    <w:rsid w:val="7835302D"/>
    <w:rsid w:val="787E870B"/>
    <w:rsid w:val="78960111"/>
    <w:rsid w:val="78BDE34F"/>
    <w:rsid w:val="797461D6"/>
    <w:rsid w:val="79BEE953"/>
    <w:rsid w:val="7A5AB38D"/>
    <w:rsid w:val="7AAA23FA"/>
    <w:rsid w:val="7ABB48A6"/>
    <w:rsid w:val="7AF7D111"/>
    <w:rsid w:val="7B0EA00D"/>
    <w:rsid w:val="7B250CA8"/>
    <w:rsid w:val="7B3D8115"/>
    <w:rsid w:val="7BF7B9B8"/>
    <w:rsid w:val="7C0102F8"/>
    <w:rsid w:val="7C55C575"/>
    <w:rsid w:val="7CC0DD09"/>
    <w:rsid w:val="7D9BC300"/>
    <w:rsid w:val="7DA86C8C"/>
    <w:rsid w:val="7DC84659"/>
    <w:rsid w:val="7DF2E968"/>
    <w:rsid w:val="7E59E291"/>
    <w:rsid w:val="7E91430F"/>
    <w:rsid w:val="7E9459FE"/>
    <w:rsid w:val="7EFEF40C"/>
    <w:rsid w:val="7EFFC9FF"/>
    <w:rsid w:val="7F7AAA06"/>
    <w:rsid w:val="7F934D50"/>
    <w:rsid w:val="7FB52660"/>
    <w:rsid w:val="7FD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B74126"/>
  <w15:chartTrackingRefBased/>
  <w15:docId w15:val="{B7D724B6-2A82-497C-BCED-2680543E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E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61D4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61D4D"/>
  </w:style>
  <w:style w:type="paragraph" w:styleId="Bunntekst">
    <w:name w:val="footer"/>
    <w:basedOn w:val="Normal"/>
    <w:link w:val="BunntekstTegn"/>
    <w:uiPriority w:val="99"/>
    <w:unhideWhenUsed/>
    <w:rsid w:val="00F61D4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61D4D"/>
  </w:style>
  <w:style w:type="table" w:customStyle="1" w:styleId="TableGrid1">
    <w:name w:val="Table Grid1"/>
    <w:basedOn w:val="Vanligtabell"/>
    <w:next w:val="Tabellrutenett"/>
    <w:uiPriority w:val="39"/>
    <w:rsid w:val="0071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Vanligtabell"/>
    <w:next w:val="Tabellrutenett"/>
    <w:uiPriority w:val="39"/>
    <w:rsid w:val="0071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70F5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70F59"/>
    <w:rPr>
      <w:rFonts w:ascii="Segoe UI" w:hAnsi="Segoe UI" w:cs="Segoe UI"/>
      <w:sz w:val="18"/>
      <w:szCs w:val="18"/>
    </w:rPr>
  </w:style>
  <w:style w:type="character" w:styleId="Merknadsreferanse">
    <w:name w:val="annotation reference"/>
    <w:basedOn w:val="Standardskriftforavsnitt"/>
    <w:semiHidden/>
    <w:unhideWhenUsed/>
    <w:rsid w:val="005C6D24"/>
    <w:rPr>
      <w:sz w:val="16"/>
      <w:szCs w:val="16"/>
    </w:rPr>
  </w:style>
  <w:style w:type="paragraph" w:styleId="Merknadstekst">
    <w:name w:val="annotation text"/>
    <w:basedOn w:val="Normal"/>
    <w:link w:val="MerknadstekstTegn"/>
    <w:uiPriority w:val="99"/>
    <w:unhideWhenUsed/>
    <w:rsid w:val="005C6D24"/>
    <w:pPr>
      <w:spacing w:line="240" w:lineRule="auto"/>
    </w:pPr>
    <w:rPr>
      <w:sz w:val="20"/>
      <w:szCs w:val="20"/>
    </w:rPr>
  </w:style>
  <w:style w:type="character" w:customStyle="1" w:styleId="MerknadstekstTegn">
    <w:name w:val="Merknadstekst Tegn"/>
    <w:basedOn w:val="Standardskriftforavsnitt"/>
    <w:link w:val="Merknadstekst"/>
    <w:uiPriority w:val="99"/>
    <w:rsid w:val="005C6D24"/>
    <w:rPr>
      <w:sz w:val="20"/>
      <w:szCs w:val="20"/>
    </w:rPr>
  </w:style>
  <w:style w:type="paragraph" w:styleId="Kommentaremne">
    <w:name w:val="annotation subject"/>
    <w:basedOn w:val="Merknadstekst"/>
    <w:next w:val="Merknadstekst"/>
    <w:link w:val="KommentaremneTegn"/>
    <w:uiPriority w:val="99"/>
    <w:semiHidden/>
    <w:unhideWhenUsed/>
    <w:rsid w:val="005C6D24"/>
    <w:rPr>
      <w:b/>
      <w:bCs/>
    </w:rPr>
  </w:style>
  <w:style w:type="character" w:customStyle="1" w:styleId="KommentaremneTegn">
    <w:name w:val="Kommentaremne Tegn"/>
    <w:basedOn w:val="MerknadstekstTegn"/>
    <w:link w:val="Kommentaremne"/>
    <w:uiPriority w:val="99"/>
    <w:semiHidden/>
    <w:rsid w:val="005C6D24"/>
    <w:rPr>
      <w:b/>
      <w:bCs/>
      <w:sz w:val="20"/>
      <w:szCs w:val="20"/>
    </w:rPr>
  </w:style>
  <w:style w:type="paragraph" w:styleId="Listeavsnitt">
    <w:name w:val="List Paragraph"/>
    <w:basedOn w:val="Normal"/>
    <w:uiPriority w:val="34"/>
    <w:qFormat/>
    <w:rsid w:val="00441B22"/>
    <w:pPr>
      <w:ind w:left="720"/>
      <w:contextualSpacing/>
    </w:pPr>
  </w:style>
  <w:style w:type="paragraph" w:customStyle="1" w:styleId="paragraph">
    <w:name w:val="paragraph"/>
    <w:basedOn w:val="Normal"/>
    <w:rsid w:val="00275CE4"/>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normaltextrun">
    <w:name w:val="normaltextrun"/>
    <w:basedOn w:val="Standardskriftforavsnitt"/>
    <w:rsid w:val="00275CE4"/>
  </w:style>
  <w:style w:type="character" w:customStyle="1" w:styleId="eop">
    <w:name w:val="eop"/>
    <w:basedOn w:val="Standardskriftforavsnitt"/>
    <w:rsid w:val="00275CE4"/>
  </w:style>
  <w:style w:type="character" w:customStyle="1" w:styleId="cf01">
    <w:name w:val="cf01"/>
    <w:basedOn w:val="Standardskriftforavsnitt"/>
    <w:rsid w:val="00A10801"/>
    <w:rPr>
      <w:rFonts w:ascii="Segoe UI" w:hAnsi="Segoe UI" w:cs="Segoe UI" w:hint="default"/>
      <w:sz w:val="18"/>
      <w:szCs w:val="18"/>
    </w:rPr>
  </w:style>
  <w:style w:type="character" w:styleId="Hyperkobling">
    <w:name w:val="Hyperlink"/>
    <w:basedOn w:val="Standardskriftforavsnitt"/>
    <w:uiPriority w:val="99"/>
    <w:unhideWhenUsed/>
    <w:rsid w:val="005E2AC0"/>
    <w:rPr>
      <w:color w:val="0563C1" w:themeColor="hyperlink"/>
      <w:u w:val="single"/>
    </w:rPr>
  </w:style>
  <w:style w:type="character" w:styleId="Ulstomtale">
    <w:name w:val="Unresolved Mention"/>
    <w:basedOn w:val="Standardskriftforavsnitt"/>
    <w:uiPriority w:val="99"/>
    <w:semiHidden/>
    <w:unhideWhenUsed/>
    <w:rsid w:val="005E2AC0"/>
    <w:rPr>
      <w:color w:val="605E5C"/>
      <w:shd w:val="clear" w:color="auto" w:fill="E1DFDD"/>
    </w:rPr>
  </w:style>
  <w:style w:type="character" w:styleId="Fulgthyperkobling">
    <w:name w:val="FollowedHyperlink"/>
    <w:basedOn w:val="Standardskriftforavsnitt"/>
    <w:uiPriority w:val="99"/>
    <w:semiHidden/>
    <w:unhideWhenUsed/>
    <w:rsid w:val="00087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3153">
      <w:bodyDiv w:val="1"/>
      <w:marLeft w:val="0"/>
      <w:marRight w:val="0"/>
      <w:marTop w:val="0"/>
      <w:marBottom w:val="0"/>
      <w:divBdr>
        <w:top w:val="none" w:sz="0" w:space="0" w:color="auto"/>
        <w:left w:val="none" w:sz="0" w:space="0" w:color="auto"/>
        <w:bottom w:val="none" w:sz="0" w:space="0" w:color="auto"/>
        <w:right w:val="none" w:sz="0" w:space="0" w:color="auto"/>
      </w:divBdr>
      <w:divsChild>
        <w:div w:id="235208808">
          <w:marLeft w:val="0"/>
          <w:marRight w:val="0"/>
          <w:marTop w:val="0"/>
          <w:marBottom w:val="0"/>
          <w:divBdr>
            <w:top w:val="none" w:sz="0" w:space="0" w:color="auto"/>
            <w:left w:val="none" w:sz="0" w:space="0" w:color="auto"/>
            <w:bottom w:val="none" w:sz="0" w:space="0" w:color="auto"/>
            <w:right w:val="none" w:sz="0" w:space="0" w:color="auto"/>
          </w:divBdr>
          <w:divsChild>
            <w:div w:id="1439062970">
              <w:marLeft w:val="0"/>
              <w:marRight w:val="0"/>
              <w:marTop w:val="0"/>
              <w:marBottom w:val="0"/>
              <w:divBdr>
                <w:top w:val="none" w:sz="0" w:space="0" w:color="auto"/>
                <w:left w:val="none" w:sz="0" w:space="0" w:color="auto"/>
                <w:bottom w:val="none" w:sz="0" w:space="0" w:color="auto"/>
                <w:right w:val="none" w:sz="0" w:space="0" w:color="auto"/>
              </w:divBdr>
            </w:div>
          </w:divsChild>
        </w:div>
        <w:div w:id="561447966">
          <w:marLeft w:val="0"/>
          <w:marRight w:val="0"/>
          <w:marTop w:val="0"/>
          <w:marBottom w:val="0"/>
          <w:divBdr>
            <w:top w:val="none" w:sz="0" w:space="0" w:color="auto"/>
            <w:left w:val="none" w:sz="0" w:space="0" w:color="auto"/>
            <w:bottom w:val="none" w:sz="0" w:space="0" w:color="auto"/>
            <w:right w:val="none" w:sz="0" w:space="0" w:color="auto"/>
          </w:divBdr>
          <w:divsChild>
            <w:div w:id="380403064">
              <w:marLeft w:val="0"/>
              <w:marRight w:val="0"/>
              <w:marTop w:val="0"/>
              <w:marBottom w:val="0"/>
              <w:divBdr>
                <w:top w:val="none" w:sz="0" w:space="0" w:color="auto"/>
                <w:left w:val="none" w:sz="0" w:space="0" w:color="auto"/>
                <w:bottom w:val="none" w:sz="0" w:space="0" w:color="auto"/>
                <w:right w:val="none" w:sz="0" w:space="0" w:color="auto"/>
              </w:divBdr>
            </w:div>
          </w:divsChild>
        </w:div>
        <w:div w:id="1875538894">
          <w:marLeft w:val="0"/>
          <w:marRight w:val="0"/>
          <w:marTop w:val="0"/>
          <w:marBottom w:val="0"/>
          <w:divBdr>
            <w:top w:val="none" w:sz="0" w:space="0" w:color="auto"/>
            <w:left w:val="none" w:sz="0" w:space="0" w:color="auto"/>
            <w:bottom w:val="none" w:sz="0" w:space="0" w:color="auto"/>
            <w:right w:val="none" w:sz="0" w:space="0" w:color="auto"/>
          </w:divBdr>
          <w:divsChild>
            <w:div w:id="2107726677">
              <w:marLeft w:val="0"/>
              <w:marRight w:val="0"/>
              <w:marTop w:val="0"/>
              <w:marBottom w:val="0"/>
              <w:divBdr>
                <w:top w:val="none" w:sz="0" w:space="0" w:color="auto"/>
                <w:left w:val="none" w:sz="0" w:space="0" w:color="auto"/>
                <w:bottom w:val="none" w:sz="0" w:space="0" w:color="auto"/>
                <w:right w:val="none" w:sz="0" w:space="0" w:color="auto"/>
              </w:divBdr>
            </w:div>
          </w:divsChild>
        </w:div>
        <w:div w:id="1609268292">
          <w:marLeft w:val="0"/>
          <w:marRight w:val="0"/>
          <w:marTop w:val="0"/>
          <w:marBottom w:val="0"/>
          <w:divBdr>
            <w:top w:val="none" w:sz="0" w:space="0" w:color="auto"/>
            <w:left w:val="none" w:sz="0" w:space="0" w:color="auto"/>
            <w:bottom w:val="none" w:sz="0" w:space="0" w:color="auto"/>
            <w:right w:val="none" w:sz="0" w:space="0" w:color="auto"/>
          </w:divBdr>
          <w:divsChild>
            <w:div w:id="1512910550">
              <w:marLeft w:val="0"/>
              <w:marRight w:val="0"/>
              <w:marTop w:val="0"/>
              <w:marBottom w:val="0"/>
              <w:divBdr>
                <w:top w:val="none" w:sz="0" w:space="0" w:color="auto"/>
                <w:left w:val="none" w:sz="0" w:space="0" w:color="auto"/>
                <w:bottom w:val="none" w:sz="0" w:space="0" w:color="auto"/>
                <w:right w:val="none" w:sz="0" w:space="0" w:color="auto"/>
              </w:divBdr>
            </w:div>
          </w:divsChild>
        </w:div>
        <w:div w:id="531191399">
          <w:marLeft w:val="0"/>
          <w:marRight w:val="0"/>
          <w:marTop w:val="0"/>
          <w:marBottom w:val="0"/>
          <w:divBdr>
            <w:top w:val="none" w:sz="0" w:space="0" w:color="auto"/>
            <w:left w:val="none" w:sz="0" w:space="0" w:color="auto"/>
            <w:bottom w:val="none" w:sz="0" w:space="0" w:color="auto"/>
            <w:right w:val="none" w:sz="0" w:space="0" w:color="auto"/>
          </w:divBdr>
          <w:divsChild>
            <w:div w:id="1679961622">
              <w:marLeft w:val="0"/>
              <w:marRight w:val="0"/>
              <w:marTop w:val="0"/>
              <w:marBottom w:val="0"/>
              <w:divBdr>
                <w:top w:val="none" w:sz="0" w:space="0" w:color="auto"/>
                <w:left w:val="none" w:sz="0" w:space="0" w:color="auto"/>
                <w:bottom w:val="none" w:sz="0" w:space="0" w:color="auto"/>
                <w:right w:val="none" w:sz="0" w:space="0" w:color="auto"/>
              </w:divBdr>
            </w:div>
          </w:divsChild>
        </w:div>
        <w:div w:id="1212108516">
          <w:marLeft w:val="0"/>
          <w:marRight w:val="0"/>
          <w:marTop w:val="0"/>
          <w:marBottom w:val="0"/>
          <w:divBdr>
            <w:top w:val="none" w:sz="0" w:space="0" w:color="auto"/>
            <w:left w:val="none" w:sz="0" w:space="0" w:color="auto"/>
            <w:bottom w:val="none" w:sz="0" w:space="0" w:color="auto"/>
            <w:right w:val="none" w:sz="0" w:space="0" w:color="auto"/>
          </w:divBdr>
          <w:divsChild>
            <w:div w:id="1317613663">
              <w:marLeft w:val="0"/>
              <w:marRight w:val="0"/>
              <w:marTop w:val="0"/>
              <w:marBottom w:val="0"/>
              <w:divBdr>
                <w:top w:val="none" w:sz="0" w:space="0" w:color="auto"/>
                <w:left w:val="none" w:sz="0" w:space="0" w:color="auto"/>
                <w:bottom w:val="none" w:sz="0" w:space="0" w:color="auto"/>
                <w:right w:val="none" w:sz="0" w:space="0" w:color="auto"/>
              </w:divBdr>
            </w:div>
          </w:divsChild>
        </w:div>
        <w:div w:id="1637491008">
          <w:marLeft w:val="0"/>
          <w:marRight w:val="0"/>
          <w:marTop w:val="0"/>
          <w:marBottom w:val="0"/>
          <w:divBdr>
            <w:top w:val="none" w:sz="0" w:space="0" w:color="auto"/>
            <w:left w:val="none" w:sz="0" w:space="0" w:color="auto"/>
            <w:bottom w:val="none" w:sz="0" w:space="0" w:color="auto"/>
            <w:right w:val="none" w:sz="0" w:space="0" w:color="auto"/>
          </w:divBdr>
          <w:divsChild>
            <w:div w:id="774056348">
              <w:marLeft w:val="0"/>
              <w:marRight w:val="0"/>
              <w:marTop w:val="0"/>
              <w:marBottom w:val="0"/>
              <w:divBdr>
                <w:top w:val="none" w:sz="0" w:space="0" w:color="auto"/>
                <w:left w:val="none" w:sz="0" w:space="0" w:color="auto"/>
                <w:bottom w:val="none" w:sz="0" w:space="0" w:color="auto"/>
                <w:right w:val="none" w:sz="0" w:space="0" w:color="auto"/>
              </w:divBdr>
            </w:div>
          </w:divsChild>
        </w:div>
        <w:div w:id="615210807">
          <w:marLeft w:val="0"/>
          <w:marRight w:val="0"/>
          <w:marTop w:val="0"/>
          <w:marBottom w:val="0"/>
          <w:divBdr>
            <w:top w:val="none" w:sz="0" w:space="0" w:color="auto"/>
            <w:left w:val="none" w:sz="0" w:space="0" w:color="auto"/>
            <w:bottom w:val="none" w:sz="0" w:space="0" w:color="auto"/>
            <w:right w:val="none" w:sz="0" w:space="0" w:color="auto"/>
          </w:divBdr>
          <w:divsChild>
            <w:div w:id="467284423">
              <w:marLeft w:val="0"/>
              <w:marRight w:val="0"/>
              <w:marTop w:val="0"/>
              <w:marBottom w:val="0"/>
              <w:divBdr>
                <w:top w:val="none" w:sz="0" w:space="0" w:color="auto"/>
                <w:left w:val="none" w:sz="0" w:space="0" w:color="auto"/>
                <w:bottom w:val="none" w:sz="0" w:space="0" w:color="auto"/>
                <w:right w:val="none" w:sz="0" w:space="0" w:color="auto"/>
              </w:divBdr>
            </w:div>
          </w:divsChild>
        </w:div>
        <w:div w:id="1750804426">
          <w:marLeft w:val="0"/>
          <w:marRight w:val="0"/>
          <w:marTop w:val="0"/>
          <w:marBottom w:val="0"/>
          <w:divBdr>
            <w:top w:val="none" w:sz="0" w:space="0" w:color="auto"/>
            <w:left w:val="none" w:sz="0" w:space="0" w:color="auto"/>
            <w:bottom w:val="none" w:sz="0" w:space="0" w:color="auto"/>
            <w:right w:val="none" w:sz="0" w:space="0" w:color="auto"/>
          </w:divBdr>
          <w:divsChild>
            <w:div w:id="1906987230">
              <w:marLeft w:val="0"/>
              <w:marRight w:val="0"/>
              <w:marTop w:val="0"/>
              <w:marBottom w:val="0"/>
              <w:divBdr>
                <w:top w:val="none" w:sz="0" w:space="0" w:color="auto"/>
                <w:left w:val="none" w:sz="0" w:space="0" w:color="auto"/>
                <w:bottom w:val="none" w:sz="0" w:space="0" w:color="auto"/>
                <w:right w:val="none" w:sz="0" w:space="0" w:color="auto"/>
              </w:divBdr>
            </w:div>
          </w:divsChild>
        </w:div>
        <w:div w:id="1543401953">
          <w:marLeft w:val="0"/>
          <w:marRight w:val="0"/>
          <w:marTop w:val="0"/>
          <w:marBottom w:val="0"/>
          <w:divBdr>
            <w:top w:val="none" w:sz="0" w:space="0" w:color="auto"/>
            <w:left w:val="none" w:sz="0" w:space="0" w:color="auto"/>
            <w:bottom w:val="none" w:sz="0" w:space="0" w:color="auto"/>
            <w:right w:val="none" w:sz="0" w:space="0" w:color="auto"/>
          </w:divBdr>
          <w:divsChild>
            <w:div w:id="1997412920">
              <w:marLeft w:val="0"/>
              <w:marRight w:val="0"/>
              <w:marTop w:val="0"/>
              <w:marBottom w:val="0"/>
              <w:divBdr>
                <w:top w:val="none" w:sz="0" w:space="0" w:color="auto"/>
                <w:left w:val="none" w:sz="0" w:space="0" w:color="auto"/>
                <w:bottom w:val="none" w:sz="0" w:space="0" w:color="auto"/>
                <w:right w:val="none" w:sz="0" w:space="0" w:color="auto"/>
              </w:divBdr>
            </w:div>
          </w:divsChild>
        </w:div>
        <w:div w:id="69160461">
          <w:marLeft w:val="0"/>
          <w:marRight w:val="0"/>
          <w:marTop w:val="0"/>
          <w:marBottom w:val="0"/>
          <w:divBdr>
            <w:top w:val="none" w:sz="0" w:space="0" w:color="auto"/>
            <w:left w:val="none" w:sz="0" w:space="0" w:color="auto"/>
            <w:bottom w:val="none" w:sz="0" w:space="0" w:color="auto"/>
            <w:right w:val="none" w:sz="0" w:space="0" w:color="auto"/>
          </w:divBdr>
          <w:divsChild>
            <w:div w:id="1248777">
              <w:marLeft w:val="0"/>
              <w:marRight w:val="0"/>
              <w:marTop w:val="0"/>
              <w:marBottom w:val="0"/>
              <w:divBdr>
                <w:top w:val="none" w:sz="0" w:space="0" w:color="auto"/>
                <w:left w:val="none" w:sz="0" w:space="0" w:color="auto"/>
                <w:bottom w:val="none" w:sz="0" w:space="0" w:color="auto"/>
                <w:right w:val="none" w:sz="0" w:space="0" w:color="auto"/>
              </w:divBdr>
            </w:div>
          </w:divsChild>
        </w:div>
        <w:div w:id="642538436">
          <w:marLeft w:val="0"/>
          <w:marRight w:val="0"/>
          <w:marTop w:val="0"/>
          <w:marBottom w:val="0"/>
          <w:divBdr>
            <w:top w:val="none" w:sz="0" w:space="0" w:color="auto"/>
            <w:left w:val="none" w:sz="0" w:space="0" w:color="auto"/>
            <w:bottom w:val="none" w:sz="0" w:space="0" w:color="auto"/>
            <w:right w:val="none" w:sz="0" w:space="0" w:color="auto"/>
          </w:divBdr>
          <w:divsChild>
            <w:div w:id="2019960107">
              <w:marLeft w:val="0"/>
              <w:marRight w:val="0"/>
              <w:marTop w:val="0"/>
              <w:marBottom w:val="0"/>
              <w:divBdr>
                <w:top w:val="none" w:sz="0" w:space="0" w:color="auto"/>
                <w:left w:val="none" w:sz="0" w:space="0" w:color="auto"/>
                <w:bottom w:val="none" w:sz="0" w:space="0" w:color="auto"/>
                <w:right w:val="none" w:sz="0" w:space="0" w:color="auto"/>
              </w:divBdr>
            </w:div>
            <w:div w:id="108204172">
              <w:marLeft w:val="0"/>
              <w:marRight w:val="0"/>
              <w:marTop w:val="0"/>
              <w:marBottom w:val="0"/>
              <w:divBdr>
                <w:top w:val="none" w:sz="0" w:space="0" w:color="auto"/>
                <w:left w:val="none" w:sz="0" w:space="0" w:color="auto"/>
                <w:bottom w:val="none" w:sz="0" w:space="0" w:color="auto"/>
                <w:right w:val="none" w:sz="0" w:space="0" w:color="auto"/>
              </w:divBdr>
            </w:div>
            <w:div w:id="1725254771">
              <w:marLeft w:val="0"/>
              <w:marRight w:val="0"/>
              <w:marTop w:val="0"/>
              <w:marBottom w:val="0"/>
              <w:divBdr>
                <w:top w:val="none" w:sz="0" w:space="0" w:color="auto"/>
                <w:left w:val="none" w:sz="0" w:space="0" w:color="auto"/>
                <w:bottom w:val="none" w:sz="0" w:space="0" w:color="auto"/>
                <w:right w:val="none" w:sz="0" w:space="0" w:color="auto"/>
              </w:divBdr>
            </w:div>
            <w:div w:id="1770465150">
              <w:marLeft w:val="0"/>
              <w:marRight w:val="0"/>
              <w:marTop w:val="0"/>
              <w:marBottom w:val="0"/>
              <w:divBdr>
                <w:top w:val="none" w:sz="0" w:space="0" w:color="auto"/>
                <w:left w:val="none" w:sz="0" w:space="0" w:color="auto"/>
                <w:bottom w:val="none" w:sz="0" w:space="0" w:color="auto"/>
                <w:right w:val="none" w:sz="0" w:space="0" w:color="auto"/>
              </w:divBdr>
            </w:div>
          </w:divsChild>
        </w:div>
        <w:div w:id="1123843780">
          <w:marLeft w:val="0"/>
          <w:marRight w:val="0"/>
          <w:marTop w:val="0"/>
          <w:marBottom w:val="0"/>
          <w:divBdr>
            <w:top w:val="none" w:sz="0" w:space="0" w:color="auto"/>
            <w:left w:val="none" w:sz="0" w:space="0" w:color="auto"/>
            <w:bottom w:val="none" w:sz="0" w:space="0" w:color="auto"/>
            <w:right w:val="none" w:sz="0" w:space="0" w:color="auto"/>
          </w:divBdr>
          <w:divsChild>
            <w:div w:id="346640681">
              <w:marLeft w:val="0"/>
              <w:marRight w:val="0"/>
              <w:marTop w:val="0"/>
              <w:marBottom w:val="0"/>
              <w:divBdr>
                <w:top w:val="none" w:sz="0" w:space="0" w:color="auto"/>
                <w:left w:val="none" w:sz="0" w:space="0" w:color="auto"/>
                <w:bottom w:val="none" w:sz="0" w:space="0" w:color="auto"/>
                <w:right w:val="none" w:sz="0" w:space="0" w:color="auto"/>
              </w:divBdr>
            </w:div>
          </w:divsChild>
        </w:div>
        <w:div w:id="1162769360">
          <w:marLeft w:val="0"/>
          <w:marRight w:val="0"/>
          <w:marTop w:val="0"/>
          <w:marBottom w:val="0"/>
          <w:divBdr>
            <w:top w:val="none" w:sz="0" w:space="0" w:color="auto"/>
            <w:left w:val="none" w:sz="0" w:space="0" w:color="auto"/>
            <w:bottom w:val="none" w:sz="0" w:space="0" w:color="auto"/>
            <w:right w:val="none" w:sz="0" w:space="0" w:color="auto"/>
          </w:divBdr>
          <w:divsChild>
            <w:div w:id="1612126158">
              <w:marLeft w:val="0"/>
              <w:marRight w:val="0"/>
              <w:marTop w:val="0"/>
              <w:marBottom w:val="0"/>
              <w:divBdr>
                <w:top w:val="none" w:sz="0" w:space="0" w:color="auto"/>
                <w:left w:val="none" w:sz="0" w:space="0" w:color="auto"/>
                <w:bottom w:val="none" w:sz="0" w:space="0" w:color="auto"/>
                <w:right w:val="none" w:sz="0" w:space="0" w:color="auto"/>
              </w:divBdr>
            </w:div>
          </w:divsChild>
        </w:div>
        <w:div w:id="1455370660">
          <w:marLeft w:val="0"/>
          <w:marRight w:val="0"/>
          <w:marTop w:val="0"/>
          <w:marBottom w:val="0"/>
          <w:divBdr>
            <w:top w:val="none" w:sz="0" w:space="0" w:color="auto"/>
            <w:left w:val="none" w:sz="0" w:space="0" w:color="auto"/>
            <w:bottom w:val="none" w:sz="0" w:space="0" w:color="auto"/>
            <w:right w:val="none" w:sz="0" w:space="0" w:color="auto"/>
          </w:divBdr>
          <w:divsChild>
            <w:div w:id="504562514">
              <w:marLeft w:val="0"/>
              <w:marRight w:val="0"/>
              <w:marTop w:val="0"/>
              <w:marBottom w:val="0"/>
              <w:divBdr>
                <w:top w:val="none" w:sz="0" w:space="0" w:color="auto"/>
                <w:left w:val="none" w:sz="0" w:space="0" w:color="auto"/>
                <w:bottom w:val="none" w:sz="0" w:space="0" w:color="auto"/>
                <w:right w:val="none" w:sz="0" w:space="0" w:color="auto"/>
              </w:divBdr>
            </w:div>
          </w:divsChild>
        </w:div>
        <w:div w:id="622735867">
          <w:marLeft w:val="0"/>
          <w:marRight w:val="0"/>
          <w:marTop w:val="0"/>
          <w:marBottom w:val="0"/>
          <w:divBdr>
            <w:top w:val="none" w:sz="0" w:space="0" w:color="auto"/>
            <w:left w:val="none" w:sz="0" w:space="0" w:color="auto"/>
            <w:bottom w:val="none" w:sz="0" w:space="0" w:color="auto"/>
            <w:right w:val="none" w:sz="0" w:space="0" w:color="auto"/>
          </w:divBdr>
          <w:divsChild>
            <w:div w:id="655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7174">
      <w:bodyDiv w:val="1"/>
      <w:marLeft w:val="0"/>
      <w:marRight w:val="0"/>
      <w:marTop w:val="0"/>
      <w:marBottom w:val="0"/>
      <w:divBdr>
        <w:top w:val="none" w:sz="0" w:space="0" w:color="auto"/>
        <w:left w:val="none" w:sz="0" w:space="0" w:color="auto"/>
        <w:bottom w:val="none" w:sz="0" w:space="0" w:color="auto"/>
        <w:right w:val="none" w:sz="0" w:space="0" w:color="auto"/>
      </w:divBdr>
      <w:divsChild>
        <w:div w:id="288820953">
          <w:marLeft w:val="0"/>
          <w:marRight w:val="0"/>
          <w:marTop w:val="0"/>
          <w:marBottom w:val="0"/>
          <w:divBdr>
            <w:top w:val="none" w:sz="0" w:space="0" w:color="auto"/>
            <w:left w:val="none" w:sz="0" w:space="0" w:color="auto"/>
            <w:bottom w:val="none" w:sz="0" w:space="0" w:color="auto"/>
            <w:right w:val="none" w:sz="0" w:space="0" w:color="auto"/>
          </w:divBdr>
        </w:div>
        <w:div w:id="211768123">
          <w:marLeft w:val="0"/>
          <w:marRight w:val="0"/>
          <w:marTop w:val="0"/>
          <w:marBottom w:val="0"/>
          <w:divBdr>
            <w:top w:val="none" w:sz="0" w:space="0" w:color="auto"/>
            <w:left w:val="none" w:sz="0" w:space="0" w:color="auto"/>
            <w:bottom w:val="none" w:sz="0" w:space="0" w:color="auto"/>
            <w:right w:val="none" w:sz="0" w:space="0" w:color="auto"/>
          </w:divBdr>
          <w:divsChild>
            <w:div w:id="88698775">
              <w:marLeft w:val="-75"/>
              <w:marRight w:val="0"/>
              <w:marTop w:val="30"/>
              <w:marBottom w:val="30"/>
              <w:divBdr>
                <w:top w:val="none" w:sz="0" w:space="0" w:color="auto"/>
                <w:left w:val="none" w:sz="0" w:space="0" w:color="auto"/>
                <w:bottom w:val="none" w:sz="0" w:space="0" w:color="auto"/>
                <w:right w:val="none" w:sz="0" w:space="0" w:color="auto"/>
              </w:divBdr>
              <w:divsChild>
                <w:div w:id="324020962">
                  <w:marLeft w:val="0"/>
                  <w:marRight w:val="0"/>
                  <w:marTop w:val="0"/>
                  <w:marBottom w:val="0"/>
                  <w:divBdr>
                    <w:top w:val="none" w:sz="0" w:space="0" w:color="auto"/>
                    <w:left w:val="none" w:sz="0" w:space="0" w:color="auto"/>
                    <w:bottom w:val="none" w:sz="0" w:space="0" w:color="auto"/>
                    <w:right w:val="none" w:sz="0" w:space="0" w:color="auto"/>
                  </w:divBdr>
                  <w:divsChild>
                    <w:div w:id="582497317">
                      <w:marLeft w:val="0"/>
                      <w:marRight w:val="0"/>
                      <w:marTop w:val="0"/>
                      <w:marBottom w:val="0"/>
                      <w:divBdr>
                        <w:top w:val="none" w:sz="0" w:space="0" w:color="auto"/>
                        <w:left w:val="none" w:sz="0" w:space="0" w:color="auto"/>
                        <w:bottom w:val="none" w:sz="0" w:space="0" w:color="auto"/>
                        <w:right w:val="none" w:sz="0" w:space="0" w:color="auto"/>
                      </w:divBdr>
                    </w:div>
                  </w:divsChild>
                </w:div>
                <w:div w:id="1526480590">
                  <w:marLeft w:val="0"/>
                  <w:marRight w:val="0"/>
                  <w:marTop w:val="0"/>
                  <w:marBottom w:val="0"/>
                  <w:divBdr>
                    <w:top w:val="none" w:sz="0" w:space="0" w:color="auto"/>
                    <w:left w:val="none" w:sz="0" w:space="0" w:color="auto"/>
                    <w:bottom w:val="none" w:sz="0" w:space="0" w:color="auto"/>
                    <w:right w:val="none" w:sz="0" w:space="0" w:color="auto"/>
                  </w:divBdr>
                  <w:divsChild>
                    <w:div w:id="973869510">
                      <w:marLeft w:val="0"/>
                      <w:marRight w:val="0"/>
                      <w:marTop w:val="0"/>
                      <w:marBottom w:val="0"/>
                      <w:divBdr>
                        <w:top w:val="none" w:sz="0" w:space="0" w:color="auto"/>
                        <w:left w:val="none" w:sz="0" w:space="0" w:color="auto"/>
                        <w:bottom w:val="none" w:sz="0" w:space="0" w:color="auto"/>
                        <w:right w:val="none" w:sz="0" w:space="0" w:color="auto"/>
                      </w:divBdr>
                    </w:div>
                  </w:divsChild>
                </w:div>
                <w:div w:id="512844149">
                  <w:marLeft w:val="0"/>
                  <w:marRight w:val="0"/>
                  <w:marTop w:val="0"/>
                  <w:marBottom w:val="0"/>
                  <w:divBdr>
                    <w:top w:val="none" w:sz="0" w:space="0" w:color="auto"/>
                    <w:left w:val="none" w:sz="0" w:space="0" w:color="auto"/>
                    <w:bottom w:val="none" w:sz="0" w:space="0" w:color="auto"/>
                    <w:right w:val="none" w:sz="0" w:space="0" w:color="auto"/>
                  </w:divBdr>
                  <w:divsChild>
                    <w:div w:id="193079820">
                      <w:marLeft w:val="0"/>
                      <w:marRight w:val="0"/>
                      <w:marTop w:val="0"/>
                      <w:marBottom w:val="0"/>
                      <w:divBdr>
                        <w:top w:val="none" w:sz="0" w:space="0" w:color="auto"/>
                        <w:left w:val="none" w:sz="0" w:space="0" w:color="auto"/>
                        <w:bottom w:val="none" w:sz="0" w:space="0" w:color="auto"/>
                        <w:right w:val="none" w:sz="0" w:space="0" w:color="auto"/>
                      </w:divBdr>
                    </w:div>
                  </w:divsChild>
                </w:div>
                <w:div w:id="1408764911">
                  <w:marLeft w:val="0"/>
                  <w:marRight w:val="0"/>
                  <w:marTop w:val="0"/>
                  <w:marBottom w:val="0"/>
                  <w:divBdr>
                    <w:top w:val="none" w:sz="0" w:space="0" w:color="auto"/>
                    <w:left w:val="none" w:sz="0" w:space="0" w:color="auto"/>
                    <w:bottom w:val="none" w:sz="0" w:space="0" w:color="auto"/>
                    <w:right w:val="none" w:sz="0" w:space="0" w:color="auto"/>
                  </w:divBdr>
                  <w:divsChild>
                    <w:div w:id="1557664074">
                      <w:marLeft w:val="0"/>
                      <w:marRight w:val="0"/>
                      <w:marTop w:val="0"/>
                      <w:marBottom w:val="0"/>
                      <w:divBdr>
                        <w:top w:val="none" w:sz="0" w:space="0" w:color="auto"/>
                        <w:left w:val="none" w:sz="0" w:space="0" w:color="auto"/>
                        <w:bottom w:val="none" w:sz="0" w:space="0" w:color="auto"/>
                        <w:right w:val="none" w:sz="0" w:space="0" w:color="auto"/>
                      </w:divBdr>
                    </w:div>
                  </w:divsChild>
                </w:div>
                <w:div w:id="1796213001">
                  <w:marLeft w:val="0"/>
                  <w:marRight w:val="0"/>
                  <w:marTop w:val="0"/>
                  <w:marBottom w:val="0"/>
                  <w:divBdr>
                    <w:top w:val="none" w:sz="0" w:space="0" w:color="auto"/>
                    <w:left w:val="none" w:sz="0" w:space="0" w:color="auto"/>
                    <w:bottom w:val="none" w:sz="0" w:space="0" w:color="auto"/>
                    <w:right w:val="none" w:sz="0" w:space="0" w:color="auto"/>
                  </w:divBdr>
                  <w:divsChild>
                    <w:div w:id="1263105555">
                      <w:marLeft w:val="0"/>
                      <w:marRight w:val="0"/>
                      <w:marTop w:val="0"/>
                      <w:marBottom w:val="0"/>
                      <w:divBdr>
                        <w:top w:val="none" w:sz="0" w:space="0" w:color="auto"/>
                        <w:left w:val="none" w:sz="0" w:space="0" w:color="auto"/>
                        <w:bottom w:val="none" w:sz="0" w:space="0" w:color="auto"/>
                        <w:right w:val="none" w:sz="0" w:space="0" w:color="auto"/>
                      </w:divBdr>
                    </w:div>
                  </w:divsChild>
                </w:div>
                <w:div w:id="380135524">
                  <w:marLeft w:val="0"/>
                  <w:marRight w:val="0"/>
                  <w:marTop w:val="0"/>
                  <w:marBottom w:val="0"/>
                  <w:divBdr>
                    <w:top w:val="none" w:sz="0" w:space="0" w:color="auto"/>
                    <w:left w:val="none" w:sz="0" w:space="0" w:color="auto"/>
                    <w:bottom w:val="none" w:sz="0" w:space="0" w:color="auto"/>
                    <w:right w:val="none" w:sz="0" w:space="0" w:color="auto"/>
                  </w:divBdr>
                  <w:divsChild>
                    <w:div w:id="761026256">
                      <w:marLeft w:val="0"/>
                      <w:marRight w:val="0"/>
                      <w:marTop w:val="0"/>
                      <w:marBottom w:val="0"/>
                      <w:divBdr>
                        <w:top w:val="none" w:sz="0" w:space="0" w:color="auto"/>
                        <w:left w:val="none" w:sz="0" w:space="0" w:color="auto"/>
                        <w:bottom w:val="none" w:sz="0" w:space="0" w:color="auto"/>
                        <w:right w:val="none" w:sz="0" w:space="0" w:color="auto"/>
                      </w:divBdr>
                    </w:div>
                  </w:divsChild>
                </w:div>
                <w:div w:id="1642542492">
                  <w:marLeft w:val="0"/>
                  <w:marRight w:val="0"/>
                  <w:marTop w:val="0"/>
                  <w:marBottom w:val="0"/>
                  <w:divBdr>
                    <w:top w:val="none" w:sz="0" w:space="0" w:color="auto"/>
                    <w:left w:val="none" w:sz="0" w:space="0" w:color="auto"/>
                    <w:bottom w:val="none" w:sz="0" w:space="0" w:color="auto"/>
                    <w:right w:val="none" w:sz="0" w:space="0" w:color="auto"/>
                  </w:divBdr>
                  <w:divsChild>
                    <w:div w:id="1887721484">
                      <w:marLeft w:val="0"/>
                      <w:marRight w:val="0"/>
                      <w:marTop w:val="0"/>
                      <w:marBottom w:val="0"/>
                      <w:divBdr>
                        <w:top w:val="none" w:sz="0" w:space="0" w:color="auto"/>
                        <w:left w:val="none" w:sz="0" w:space="0" w:color="auto"/>
                        <w:bottom w:val="none" w:sz="0" w:space="0" w:color="auto"/>
                        <w:right w:val="none" w:sz="0" w:space="0" w:color="auto"/>
                      </w:divBdr>
                    </w:div>
                  </w:divsChild>
                </w:div>
                <w:div w:id="144788439">
                  <w:marLeft w:val="0"/>
                  <w:marRight w:val="0"/>
                  <w:marTop w:val="0"/>
                  <w:marBottom w:val="0"/>
                  <w:divBdr>
                    <w:top w:val="none" w:sz="0" w:space="0" w:color="auto"/>
                    <w:left w:val="none" w:sz="0" w:space="0" w:color="auto"/>
                    <w:bottom w:val="none" w:sz="0" w:space="0" w:color="auto"/>
                    <w:right w:val="none" w:sz="0" w:space="0" w:color="auto"/>
                  </w:divBdr>
                  <w:divsChild>
                    <w:div w:id="738525197">
                      <w:marLeft w:val="0"/>
                      <w:marRight w:val="0"/>
                      <w:marTop w:val="0"/>
                      <w:marBottom w:val="0"/>
                      <w:divBdr>
                        <w:top w:val="none" w:sz="0" w:space="0" w:color="auto"/>
                        <w:left w:val="none" w:sz="0" w:space="0" w:color="auto"/>
                        <w:bottom w:val="none" w:sz="0" w:space="0" w:color="auto"/>
                        <w:right w:val="none" w:sz="0" w:space="0" w:color="auto"/>
                      </w:divBdr>
                    </w:div>
                  </w:divsChild>
                </w:div>
                <w:div w:id="1281179467">
                  <w:marLeft w:val="0"/>
                  <w:marRight w:val="0"/>
                  <w:marTop w:val="0"/>
                  <w:marBottom w:val="0"/>
                  <w:divBdr>
                    <w:top w:val="none" w:sz="0" w:space="0" w:color="auto"/>
                    <w:left w:val="none" w:sz="0" w:space="0" w:color="auto"/>
                    <w:bottom w:val="none" w:sz="0" w:space="0" w:color="auto"/>
                    <w:right w:val="none" w:sz="0" w:space="0" w:color="auto"/>
                  </w:divBdr>
                  <w:divsChild>
                    <w:div w:id="584847683">
                      <w:marLeft w:val="0"/>
                      <w:marRight w:val="0"/>
                      <w:marTop w:val="0"/>
                      <w:marBottom w:val="0"/>
                      <w:divBdr>
                        <w:top w:val="none" w:sz="0" w:space="0" w:color="auto"/>
                        <w:left w:val="none" w:sz="0" w:space="0" w:color="auto"/>
                        <w:bottom w:val="none" w:sz="0" w:space="0" w:color="auto"/>
                        <w:right w:val="none" w:sz="0" w:space="0" w:color="auto"/>
                      </w:divBdr>
                    </w:div>
                  </w:divsChild>
                </w:div>
                <w:div w:id="2092386767">
                  <w:marLeft w:val="0"/>
                  <w:marRight w:val="0"/>
                  <w:marTop w:val="0"/>
                  <w:marBottom w:val="0"/>
                  <w:divBdr>
                    <w:top w:val="none" w:sz="0" w:space="0" w:color="auto"/>
                    <w:left w:val="none" w:sz="0" w:space="0" w:color="auto"/>
                    <w:bottom w:val="none" w:sz="0" w:space="0" w:color="auto"/>
                    <w:right w:val="none" w:sz="0" w:space="0" w:color="auto"/>
                  </w:divBdr>
                  <w:divsChild>
                    <w:div w:id="7363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tnu.edu/job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nu.no/wiki/-/wiki/English/Policy+for+intellectual+property+rights+-+IP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nu.no/wiki/-/wiki/English/Regulations+regarding+second+job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7D6FB87BB4779A25AC9075C7D01B6"/>
        <w:category>
          <w:name w:val="Generelt"/>
          <w:gallery w:val="placeholder"/>
        </w:category>
        <w:types>
          <w:type w:val="bbPlcHdr"/>
        </w:types>
        <w:behaviors>
          <w:behavior w:val="content"/>
        </w:behaviors>
        <w:guid w:val="{E853E728-206B-44BD-8990-294040F21192}"/>
      </w:docPartPr>
      <w:docPartBody>
        <w:p w:rsidR="005A1507" w:rsidRDefault="00E50765" w:rsidP="00E50765">
          <w:pPr>
            <w:pStyle w:val="9667D6FB87BB4779A25AC9075C7D01B6"/>
          </w:pPr>
          <w:r w:rsidRPr="00B104B3">
            <w:rPr>
              <w:rStyle w:val="Plassholdertekst"/>
              <w:color w:val="FF0000"/>
            </w:rPr>
            <w:t>finansiering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94"/>
    <w:rsid w:val="001A0CE0"/>
    <w:rsid w:val="005A1507"/>
    <w:rsid w:val="00A54494"/>
    <w:rsid w:val="00E507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uiPriority w:val="99"/>
    <w:semiHidden/>
    <w:rsid w:val="00E50765"/>
    <w:rPr>
      <w:color w:val="808080"/>
    </w:rPr>
  </w:style>
  <w:style w:type="paragraph" w:customStyle="1" w:styleId="9667D6FB87BB4779A25AC9075C7D01B6">
    <w:name w:val="9667D6FB87BB4779A25AC9075C7D01B6"/>
    <w:rsid w:val="00E50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90F1CB484B8A4FB10B6BCD92824E9A" ma:contentTypeVersion="4" ma:contentTypeDescription="Create a new document." ma:contentTypeScope="" ma:versionID="d1dcf0b0941bf71295e3e322ac993f4c">
  <xsd:schema xmlns:xsd="http://www.w3.org/2001/XMLSchema" xmlns:xs="http://www.w3.org/2001/XMLSchema" xmlns:p="http://schemas.microsoft.com/office/2006/metadata/properties" xmlns:ns2="7ef3392e-df7f-438c-93a3-596f3202839c" targetNamespace="http://schemas.microsoft.com/office/2006/metadata/properties" ma:root="true" ma:fieldsID="20efa96f16f46b725f00654259d2d2b6" ns2:_="">
    <xsd:import namespace="7ef3392e-df7f-438c-93a3-596f320283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3392e-df7f-438c-93a3-596f32028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6D38B-61F4-4F28-891C-BEFF55054454}">
  <ds:schemaRefs>
    <ds:schemaRef ds:uri="http://schemas.microsoft.com/sharepoint/v3/contenttype/forms"/>
  </ds:schemaRefs>
</ds:datastoreItem>
</file>

<file path=customXml/itemProps2.xml><?xml version="1.0" encoding="utf-8"?>
<ds:datastoreItem xmlns:ds="http://schemas.openxmlformats.org/officeDocument/2006/customXml" ds:itemID="{296DAE61-8802-4BD5-A16E-9B95388F3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3392e-df7f-438c-93a3-596f32028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B0C3C-5DBF-4D67-A20E-54B7B76AFB5A}">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95db212c-7159-469e-9a84-cfa45bbf87a6"/>
    <ds:schemaRef ds:uri="4339ffa5-64f1-474b-8089-0459ca48dfc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7682</Characters>
  <Application>Microsoft Office Word</Application>
  <DocSecurity>4</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KPMG</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 Ragnhild</dc:creator>
  <cp:keywords/>
  <dc:description/>
  <cp:lastModifiedBy>Edith Søndre</cp:lastModifiedBy>
  <cp:revision>2</cp:revision>
  <cp:lastPrinted>2022-09-26T07:32:00Z</cp:lastPrinted>
  <dcterms:created xsi:type="dcterms:W3CDTF">2023-12-05T11:31:00Z</dcterms:created>
  <dcterms:modified xsi:type="dcterms:W3CDTF">2023-12-05T11:31:00Z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0x0101002C90F1CB484B8A4FB10B6BCD92824E9A</vt:lpwstr>
  </property>
</Properties>
</file>