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1D5" w:rsidRPr="00E0612F" w:rsidRDefault="009561D5" w:rsidP="009561D5">
      <w:pPr>
        <w:spacing w:after="170"/>
        <w:rPr>
          <w:sz w:val="2"/>
        </w:rPr>
      </w:pPr>
    </w:p>
    <w:tbl>
      <w:tblPr>
        <w:tblW w:w="3436" w:type="dxa"/>
        <w:jc w:val="right"/>
        <w:tblLook w:val="0000" w:firstRow="0" w:lastRow="0" w:firstColumn="0" w:lastColumn="0" w:noHBand="0" w:noVBand="0"/>
      </w:tblPr>
      <w:tblGrid>
        <w:gridCol w:w="3436"/>
      </w:tblGrid>
      <w:tr w:rsidR="009561D5" w:rsidRPr="00E0612F" w:rsidTr="00FA1436">
        <w:trPr>
          <w:cantSplit/>
          <w:trHeight w:val="454"/>
          <w:jc w:val="right"/>
        </w:trPr>
        <w:tc>
          <w:tcPr>
            <w:tcW w:w="3436" w:type="dxa"/>
            <w:noWrap/>
          </w:tcPr>
          <w:p w:rsidR="009561D5" w:rsidRPr="00E0612F" w:rsidRDefault="009561D5" w:rsidP="009561D5">
            <w:pPr>
              <w:spacing w:before="50" w:after="50"/>
              <w:ind w:left="0"/>
              <w:rPr>
                <w:color w:val="808080"/>
                <w:sz w:val="20"/>
              </w:rPr>
            </w:pPr>
            <w:bookmarkStart w:id="0" w:name="merknader"/>
            <w:bookmarkEnd w:id="0"/>
          </w:p>
        </w:tc>
      </w:tr>
    </w:tbl>
    <w:p w:rsidR="009561D5" w:rsidRPr="00E0612F" w:rsidRDefault="009561D5" w:rsidP="009561D5">
      <w:pPr>
        <w:spacing w:after="20"/>
        <w:sectPr w:rsidR="009561D5" w:rsidRPr="00E0612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1049" w:bottom="2308" w:left="1049" w:header="567" w:footer="737" w:gutter="0"/>
          <w:cols w:space="708"/>
          <w:titlePg/>
          <w:docGrid w:linePitch="360"/>
        </w:sectPr>
      </w:pPr>
    </w:p>
    <w:p w:rsidR="009561D5" w:rsidRPr="00E0612F" w:rsidRDefault="0063486D" w:rsidP="009561D5">
      <w:pPr>
        <w:spacing w:after="20"/>
      </w:pPr>
      <w:bookmarkStart w:id="32" w:name="firma"/>
      <w:r w:rsidRPr="00E0612F">
        <w:t xml:space="preserve">Fakultetene </w:t>
      </w:r>
      <w:bookmarkEnd w:id="32"/>
      <w:r w:rsidR="00EF5314">
        <w:t>og Vitenskapsmuseet</w:t>
      </w:r>
    </w:p>
    <w:p w:rsidR="009561D5" w:rsidRPr="00E0612F" w:rsidRDefault="009561D5" w:rsidP="009561D5">
      <w:pPr>
        <w:spacing w:after="20"/>
      </w:pPr>
      <w:bookmarkStart w:id="33" w:name="adresse"/>
      <w:bookmarkEnd w:id="33"/>
    </w:p>
    <w:p w:rsidR="00B90C4E" w:rsidRPr="00E0612F" w:rsidRDefault="00B90C4E" w:rsidP="009561D5">
      <w:pPr>
        <w:spacing w:after="20"/>
      </w:pPr>
    </w:p>
    <w:p w:rsidR="009561D5" w:rsidRPr="00E0612F" w:rsidRDefault="0063486D" w:rsidP="00EF5314">
      <w:pPr>
        <w:spacing w:after="20"/>
        <w:rPr>
          <w:color w:val="808080"/>
          <w:sz w:val="20"/>
        </w:rPr>
        <w:sectPr w:rsidR="009561D5" w:rsidRPr="00E0612F">
          <w:type w:val="continuous"/>
          <w:pgSz w:w="11906" w:h="16838" w:code="9"/>
          <w:pgMar w:top="2098" w:right="1049" w:bottom="2557" w:left="1049" w:header="851" w:footer="1021" w:gutter="0"/>
          <w:cols w:num="2" w:space="708" w:equalWidth="0">
            <w:col w:w="4550" w:space="708"/>
            <w:col w:w="4550"/>
          </w:cols>
          <w:titlePg/>
          <w:docGrid w:linePitch="360"/>
        </w:sectPr>
      </w:pPr>
      <w:bookmarkStart w:id="34" w:name="lblAttn"/>
      <w:r w:rsidRPr="00E0612F">
        <w:t xml:space="preserve"> </w:t>
      </w:r>
      <w:bookmarkEnd w:id="34"/>
      <w:r w:rsidR="00E6343C" w:rsidRPr="00E0612F">
        <w:t xml:space="preserve"> </w:t>
      </w:r>
      <w:bookmarkStart w:id="35" w:name="til"/>
      <w:bookmarkEnd w:id="35"/>
    </w:p>
    <w:p w:rsidR="009561D5" w:rsidRPr="00E0612F" w:rsidRDefault="0063486D" w:rsidP="00402E5C">
      <w:pPr>
        <w:keepNext/>
        <w:spacing w:before="840"/>
        <w:ind w:left="0"/>
        <w:outlineLvl w:val="0"/>
        <w:rPr>
          <w:rFonts w:cs="Arial"/>
          <w:b/>
          <w:bCs/>
          <w:kern w:val="32"/>
          <w:sz w:val="30"/>
          <w:szCs w:val="32"/>
        </w:rPr>
      </w:pPr>
      <w:bookmarkStart w:id="36" w:name="overskrift"/>
      <w:r w:rsidRPr="00E0612F">
        <w:rPr>
          <w:rFonts w:cs="Arial"/>
          <w:b/>
          <w:bCs/>
          <w:kern w:val="32"/>
          <w:sz w:val="30"/>
          <w:szCs w:val="32"/>
        </w:rPr>
        <w:t xml:space="preserve">Gjennomgang av EVU-portefølje </w:t>
      </w:r>
      <w:bookmarkEnd w:id="36"/>
    </w:p>
    <w:p w:rsidR="009561D5" w:rsidRPr="00E0612F" w:rsidRDefault="009561D5" w:rsidP="009561D5"/>
    <w:p w:rsidR="00A031F1" w:rsidRPr="00AB0154" w:rsidRDefault="00A12DED" w:rsidP="00A12F17">
      <w:pPr>
        <w:spacing w:after="100" w:afterAutospacing="1"/>
        <w:ind w:left="0" w:right="0"/>
        <w:rPr>
          <w:sz w:val="22"/>
        </w:rPr>
      </w:pPr>
      <w:bookmarkStart w:id="37" w:name="start"/>
      <w:bookmarkEnd w:id="37"/>
      <w:r w:rsidRPr="00AB0154">
        <w:rPr>
          <w:sz w:val="22"/>
        </w:rPr>
        <w:t>Vi viser til gjennomgang av regelverket for finansiering av etter- og videreutdanning</w:t>
      </w:r>
      <w:r w:rsidR="001D0A6B" w:rsidRPr="00AB0154">
        <w:rPr>
          <w:sz w:val="22"/>
        </w:rPr>
        <w:t xml:space="preserve"> (EVU)</w:t>
      </w:r>
      <w:r w:rsidRPr="00AB0154">
        <w:rPr>
          <w:sz w:val="22"/>
        </w:rPr>
        <w:t xml:space="preserve"> i </w:t>
      </w:r>
      <w:r w:rsidR="001D0A6B" w:rsidRPr="00AB0154">
        <w:rPr>
          <w:sz w:val="22"/>
        </w:rPr>
        <w:t xml:space="preserve">fakultetenes </w:t>
      </w:r>
      <w:r w:rsidRPr="00AB0154">
        <w:rPr>
          <w:sz w:val="22"/>
        </w:rPr>
        <w:t>ledergruppe</w:t>
      </w:r>
      <w:r w:rsidR="001D0A6B" w:rsidRPr="00AB0154">
        <w:rPr>
          <w:sz w:val="22"/>
        </w:rPr>
        <w:t>r høsten 2018</w:t>
      </w:r>
      <w:r w:rsidR="00A031F1" w:rsidRPr="00AB0154">
        <w:rPr>
          <w:sz w:val="22"/>
        </w:rPr>
        <w:t xml:space="preserve"> der det ble varslet en gjennomgang av EVU-porteføljen ved NTNU for å sikre at den er i tråd med nasjonalt og internasjonalt regelverk.</w:t>
      </w:r>
      <w:r w:rsidR="00DD5C56" w:rsidRPr="00AB0154">
        <w:rPr>
          <w:sz w:val="22"/>
        </w:rPr>
        <w:t xml:space="preserve"> </w:t>
      </w:r>
    </w:p>
    <w:p w:rsidR="00EF5314" w:rsidRPr="00AB0154" w:rsidRDefault="00EF5314" w:rsidP="00A12F17">
      <w:pPr>
        <w:spacing w:after="100" w:afterAutospacing="1"/>
        <w:ind w:left="0" w:right="0"/>
        <w:rPr>
          <w:sz w:val="22"/>
        </w:rPr>
      </w:pPr>
      <w:r w:rsidRPr="00AB0154">
        <w:rPr>
          <w:sz w:val="22"/>
        </w:rPr>
        <w:t xml:space="preserve">I 2018 ble det </w:t>
      </w:r>
      <w:r w:rsidR="00A031F1" w:rsidRPr="00AB0154">
        <w:rPr>
          <w:sz w:val="22"/>
        </w:rPr>
        <w:t xml:space="preserve">som kjent </w:t>
      </w:r>
      <w:r w:rsidRPr="00AB0154">
        <w:rPr>
          <w:sz w:val="22"/>
        </w:rPr>
        <w:t>gjennomført to utredninger knyttet til regelverket for EVU. Den første ble gjort av en nasjonal arbeidsgruppe nedsatt av Universitets- og høyskolerådet (UHR-Administrasjon) og den andre ble gjort av Reitan</w:t>
      </w:r>
      <w:r w:rsidR="0061778C" w:rsidRPr="00AB0154">
        <w:rPr>
          <w:sz w:val="22"/>
        </w:rPr>
        <w:t>-</w:t>
      </w:r>
      <w:r w:rsidRPr="00AB0154">
        <w:rPr>
          <w:sz w:val="22"/>
        </w:rPr>
        <w:t>utvalget ved NTNU.</w:t>
      </w:r>
      <w:r w:rsidR="002F4C84" w:rsidRPr="00AB0154">
        <w:rPr>
          <w:sz w:val="22"/>
        </w:rPr>
        <w:t xml:space="preserve"> Rapport fra Reitan</w:t>
      </w:r>
      <w:r w:rsidR="0061778C" w:rsidRPr="00AB0154">
        <w:rPr>
          <w:sz w:val="22"/>
        </w:rPr>
        <w:t>-</w:t>
      </w:r>
      <w:r w:rsidR="002F4C84" w:rsidRPr="00AB0154">
        <w:rPr>
          <w:sz w:val="22"/>
        </w:rPr>
        <w:t xml:space="preserve">utvalget </w:t>
      </w:r>
      <w:hyperlink r:id="rId14" w:history="1">
        <w:r w:rsidR="002F4C84" w:rsidRPr="00AB0154">
          <w:rPr>
            <w:rStyle w:val="Hyperkobling"/>
            <w:sz w:val="22"/>
          </w:rPr>
          <w:t>Framtidig utvikling og organisering av NTNUs EVU-virksomhet</w:t>
        </w:r>
      </w:hyperlink>
      <w:r w:rsidR="002F4C84" w:rsidRPr="00AB0154">
        <w:rPr>
          <w:sz w:val="22"/>
        </w:rPr>
        <w:t xml:space="preserve"> (01.12.18) sendes på høring i</w:t>
      </w:r>
      <w:r w:rsidR="004257A0" w:rsidRPr="00AB0154">
        <w:rPr>
          <w:sz w:val="22"/>
        </w:rPr>
        <w:t xml:space="preserve"> slutten av</w:t>
      </w:r>
      <w:r w:rsidR="002F4C84" w:rsidRPr="00AB0154">
        <w:rPr>
          <w:sz w:val="22"/>
        </w:rPr>
        <w:t xml:space="preserve"> januar med frist 1</w:t>
      </w:r>
      <w:r w:rsidR="00430244" w:rsidRPr="00AB0154">
        <w:rPr>
          <w:sz w:val="22"/>
        </w:rPr>
        <w:t>. april</w:t>
      </w:r>
      <w:r w:rsidR="002F4C84" w:rsidRPr="00AB0154">
        <w:rPr>
          <w:sz w:val="22"/>
        </w:rPr>
        <w:t xml:space="preserve"> 2019.</w:t>
      </w:r>
      <w:r w:rsidR="00430244" w:rsidRPr="00AB0154">
        <w:rPr>
          <w:sz w:val="22"/>
        </w:rPr>
        <w:t xml:space="preserve"> Høringsbrev sendes separat fra denne bestillingen.</w:t>
      </w:r>
    </w:p>
    <w:p w:rsidR="00F11FD3" w:rsidRPr="00AB0154" w:rsidRDefault="001D0A6B" w:rsidP="00A12F17">
      <w:pPr>
        <w:spacing w:after="100" w:afterAutospacing="1"/>
        <w:ind w:left="0" w:right="0"/>
        <w:rPr>
          <w:sz w:val="22"/>
        </w:rPr>
      </w:pPr>
      <w:r w:rsidRPr="00AB0154">
        <w:rPr>
          <w:sz w:val="22"/>
        </w:rPr>
        <w:t>Prorektor for utdanning har g</w:t>
      </w:r>
      <w:r w:rsidR="00F11FD3" w:rsidRPr="00AB0154">
        <w:rPr>
          <w:sz w:val="22"/>
        </w:rPr>
        <w:t>i</w:t>
      </w:r>
      <w:r w:rsidRPr="00AB0154">
        <w:rPr>
          <w:sz w:val="22"/>
        </w:rPr>
        <w:t xml:space="preserve">tt Avdeling for Virksomhetsstyring i oppgave å sikre at NTNUs EVU-virksomhet er i tråd </w:t>
      </w:r>
      <w:r w:rsidR="00EE192F" w:rsidRPr="00AB0154">
        <w:rPr>
          <w:sz w:val="22"/>
        </w:rPr>
        <w:t xml:space="preserve">med gjeldende </w:t>
      </w:r>
      <w:r w:rsidRPr="00AB0154">
        <w:rPr>
          <w:sz w:val="22"/>
        </w:rPr>
        <w:t>regelverk</w:t>
      </w:r>
      <w:r w:rsidR="00A031F1" w:rsidRPr="00AB0154">
        <w:rPr>
          <w:sz w:val="22"/>
        </w:rPr>
        <w:t xml:space="preserve">. </w:t>
      </w:r>
      <w:r w:rsidR="002F4C84" w:rsidRPr="00AB0154">
        <w:rPr>
          <w:sz w:val="22"/>
        </w:rPr>
        <w:t xml:space="preserve">Dette brevet er en bestilling </w:t>
      </w:r>
      <w:r w:rsidR="00A031F1" w:rsidRPr="00AB0154">
        <w:rPr>
          <w:sz w:val="22"/>
        </w:rPr>
        <w:t xml:space="preserve">på hva som skal gjøres </w:t>
      </w:r>
      <w:r w:rsidR="002F4C84" w:rsidRPr="00AB0154">
        <w:rPr>
          <w:sz w:val="22"/>
        </w:rPr>
        <w:t>med</w:t>
      </w:r>
      <w:r w:rsidR="00A031F1" w:rsidRPr="00AB0154">
        <w:rPr>
          <w:sz w:val="22"/>
        </w:rPr>
        <w:t xml:space="preserve"> rapporteringsfrist </w:t>
      </w:r>
      <w:r w:rsidR="00A031F1" w:rsidRPr="00AB0154">
        <w:rPr>
          <w:b/>
          <w:sz w:val="22"/>
        </w:rPr>
        <w:t>1</w:t>
      </w:r>
      <w:r w:rsidR="009439DC" w:rsidRPr="00AB0154">
        <w:rPr>
          <w:b/>
          <w:sz w:val="22"/>
        </w:rPr>
        <w:t>5. mai</w:t>
      </w:r>
      <w:r w:rsidR="00A031F1" w:rsidRPr="00AB0154">
        <w:rPr>
          <w:b/>
          <w:sz w:val="22"/>
        </w:rPr>
        <w:t xml:space="preserve"> 2019</w:t>
      </w:r>
      <w:r w:rsidR="00DD5C56" w:rsidRPr="00AB0154">
        <w:rPr>
          <w:sz w:val="22"/>
        </w:rPr>
        <w:t xml:space="preserve">. Det settes </w:t>
      </w:r>
      <w:r w:rsidR="00A031F1" w:rsidRPr="00AB0154">
        <w:rPr>
          <w:b/>
          <w:sz w:val="22"/>
        </w:rPr>
        <w:t xml:space="preserve">to frister for </w:t>
      </w:r>
      <w:r w:rsidR="00CB11BE" w:rsidRPr="00AB0154">
        <w:rPr>
          <w:b/>
          <w:sz w:val="22"/>
        </w:rPr>
        <w:t xml:space="preserve">implementering av endringer </w:t>
      </w:r>
      <w:r w:rsidR="009439DC" w:rsidRPr="00AB0154">
        <w:rPr>
          <w:sz w:val="22"/>
        </w:rPr>
        <w:t xml:space="preserve">(noe høst 2019 og noe </w:t>
      </w:r>
      <w:r w:rsidR="00A031F1" w:rsidRPr="00AB0154">
        <w:rPr>
          <w:sz w:val="22"/>
        </w:rPr>
        <w:t>høst</w:t>
      </w:r>
      <w:r w:rsidR="00FF33FE" w:rsidRPr="00AB0154">
        <w:rPr>
          <w:sz w:val="22"/>
        </w:rPr>
        <w:t xml:space="preserve"> 2020)</w:t>
      </w:r>
      <w:r w:rsidR="00DD5C56" w:rsidRPr="00AB0154">
        <w:rPr>
          <w:sz w:val="22"/>
        </w:rPr>
        <w:t>.</w:t>
      </w:r>
    </w:p>
    <w:p w:rsidR="009222EF" w:rsidRDefault="009222EF" w:rsidP="0062155A">
      <w:pPr>
        <w:ind w:left="0"/>
      </w:pPr>
    </w:p>
    <w:p w:rsidR="00FF33FE" w:rsidRPr="00FF33FE" w:rsidRDefault="00FF33FE" w:rsidP="0062155A">
      <w:pPr>
        <w:ind w:left="0"/>
        <w:rPr>
          <w:b/>
        </w:rPr>
      </w:pPr>
      <w:r w:rsidRPr="00FF33FE">
        <w:rPr>
          <w:b/>
        </w:rPr>
        <w:t>Bakgrunn</w:t>
      </w:r>
    </w:p>
    <w:p w:rsidR="00901A97" w:rsidRPr="00AB0154" w:rsidRDefault="006E060E" w:rsidP="009369DF">
      <w:pPr>
        <w:ind w:left="0"/>
        <w:rPr>
          <w:sz w:val="22"/>
        </w:rPr>
      </w:pPr>
      <w:r w:rsidRPr="00AB0154">
        <w:rPr>
          <w:i/>
          <w:sz w:val="22"/>
        </w:rPr>
        <w:t>UHR-rapport</w:t>
      </w:r>
      <w:r w:rsidR="00FF33FE" w:rsidRPr="00AB0154">
        <w:rPr>
          <w:i/>
          <w:sz w:val="22"/>
        </w:rPr>
        <w:t>en</w:t>
      </w:r>
      <w:r w:rsidR="00F11FD3" w:rsidRPr="00AB0154">
        <w:rPr>
          <w:sz w:val="22"/>
        </w:rPr>
        <w:t xml:space="preserve"> </w:t>
      </w:r>
      <w:hyperlink r:id="rId15" w:history="1">
        <w:r w:rsidR="00A12DED" w:rsidRPr="00AB0154">
          <w:rPr>
            <w:rStyle w:val="Hyperkobling"/>
            <w:sz w:val="22"/>
          </w:rPr>
          <w:t>Tolkning av regelverket for finansiering av etter- og videreutdanning</w:t>
        </w:r>
      </w:hyperlink>
      <w:r w:rsidR="00F11FD3" w:rsidRPr="00AB0154">
        <w:rPr>
          <w:sz w:val="22"/>
        </w:rPr>
        <w:t xml:space="preserve"> </w:t>
      </w:r>
      <w:r w:rsidR="00A12DED" w:rsidRPr="00AB0154">
        <w:rPr>
          <w:sz w:val="22"/>
        </w:rPr>
        <w:t xml:space="preserve">oppsummerer arbeidet </w:t>
      </w:r>
      <w:r w:rsidR="00EF5314" w:rsidRPr="00AB0154">
        <w:rPr>
          <w:sz w:val="22"/>
        </w:rPr>
        <w:t xml:space="preserve">som er gjort av </w:t>
      </w:r>
      <w:r w:rsidRPr="00AB0154">
        <w:rPr>
          <w:sz w:val="22"/>
        </w:rPr>
        <w:t>UHR-arbeidsgruppen. Målet var</w:t>
      </w:r>
      <w:r w:rsidR="00A12DED" w:rsidRPr="00AB0154">
        <w:rPr>
          <w:sz w:val="22"/>
        </w:rPr>
        <w:t xml:space="preserve"> å skape en omforent forståelse for hvordan UH-sektoren bør forholde seg til statsstøtteregelverket, egenbetalingsforskriften, BOA-reglementet og Kunnskapsdepartementets finansieringssystem innenfor etter- og videreutdanning.</w:t>
      </w:r>
      <w:r w:rsidR="001D0A6B" w:rsidRPr="00AB0154">
        <w:rPr>
          <w:sz w:val="22"/>
        </w:rPr>
        <w:t xml:space="preserve"> Utvalget ble ledet av Lise T. Sagdahl </w:t>
      </w:r>
      <w:r w:rsidR="00094AAB" w:rsidRPr="00AB0154">
        <w:rPr>
          <w:sz w:val="22"/>
        </w:rPr>
        <w:t xml:space="preserve">fra NTNU. Jurist Hanne M. Sørgjerd fra NTNU deltok også i utvalget. </w:t>
      </w:r>
      <w:r w:rsidR="00F11FD3" w:rsidRPr="00AB0154">
        <w:rPr>
          <w:sz w:val="22"/>
        </w:rPr>
        <w:t xml:space="preserve">UHR-rapporten omhandler hovedsakelig </w:t>
      </w:r>
      <w:r w:rsidR="00F11FD3" w:rsidRPr="00AB0154">
        <w:rPr>
          <w:i/>
          <w:sz w:val="22"/>
        </w:rPr>
        <w:t xml:space="preserve">EVU som tilbys under </w:t>
      </w:r>
      <w:r w:rsidR="00B14768" w:rsidRPr="00AB0154">
        <w:rPr>
          <w:i/>
          <w:sz w:val="22"/>
        </w:rPr>
        <w:t xml:space="preserve">de fire </w:t>
      </w:r>
      <w:r w:rsidR="00F11FD3" w:rsidRPr="00AB0154">
        <w:rPr>
          <w:i/>
          <w:sz w:val="22"/>
        </w:rPr>
        <w:t xml:space="preserve">unntakene i </w:t>
      </w:r>
      <w:hyperlink r:id="rId16" w:history="1">
        <w:r w:rsidR="00F11FD3" w:rsidRPr="00AB0154">
          <w:rPr>
            <w:rStyle w:val="Hyperkobling"/>
            <w:i/>
            <w:sz w:val="22"/>
          </w:rPr>
          <w:t>egenbetalingsforskriften</w:t>
        </w:r>
      </w:hyperlink>
      <w:r w:rsidR="00B14768" w:rsidRPr="00AB0154">
        <w:rPr>
          <w:i/>
          <w:sz w:val="22"/>
        </w:rPr>
        <w:t>,</w:t>
      </w:r>
      <w:r w:rsidR="00B14768" w:rsidRPr="00AB0154">
        <w:rPr>
          <w:sz w:val="22"/>
        </w:rPr>
        <w:t xml:space="preserve"> og hvilken egenfinansieringsprosent </w:t>
      </w:r>
      <w:r w:rsidR="00AF3BC7" w:rsidRPr="00AB0154">
        <w:rPr>
          <w:sz w:val="22"/>
        </w:rPr>
        <w:t>s</w:t>
      </w:r>
      <w:r w:rsidR="00B14768" w:rsidRPr="00AB0154">
        <w:rPr>
          <w:sz w:val="22"/>
        </w:rPr>
        <w:t>om er lovlig for ulike unntak</w:t>
      </w:r>
      <w:r w:rsidR="00F11FD3" w:rsidRPr="00AB0154">
        <w:rPr>
          <w:sz w:val="22"/>
        </w:rPr>
        <w:t xml:space="preserve">. </w:t>
      </w:r>
      <w:r w:rsidR="00296901" w:rsidRPr="00AB0154">
        <w:rPr>
          <w:sz w:val="22"/>
        </w:rPr>
        <w:t>UHR-r</w:t>
      </w:r>
      <w:r w:rsidR="00B14768" w:rsidRPr="00AB0154">
        <w:rPr>
          <w:sz w:val="22"/>
        </w:rPr>
        <w:t>apporten har vært på høring i sektoren</w:t>
      </w:r>
      <w:r w:rsidRPr="00AB0154">
        <w:rPr>
          <w:sz w:val="22"/>
        </w:rPr>
        <w:t xml:space="preserve"> og fått positiv mottagelse</w:t>
      </w:r>
      <w:r w:rsidR="0062155A" w:rsidRPr="00AB0154">
        <w:rPr>
          <w:sz w:val="22"/>
        </w:rPr>
        <w:t xml:space="preserve">. </w:t>
      </w:r>
      <w:r w:rsidR="00A33158" w:rsidRPr="00AB0154">
        <w:rPr>
          <w:sz w:val="22"/>
        </w:rPr>
        <w:t>V</w:t>
      </w:r>
      <w:r w:rsidR="00FF33FE" w:rsidRPr="00AB0154">
        <w:rPr>
          <w:sz w:val="22"/>
        </w:rPr>
        <w:t xml:space="preserve">i gjengir </w:t>
      </w:r>
      <w:r w:rsidR="00A33158" w:rsidRPr="00AB0154">
        <w:rPr>
          <w:sz w:val="22"/>
        </w:rPr>
        <w:t>deler av sammendraget</w:t>
      </w:r>
      <w:r w:rsidR="00FF33FE" w:rsidRPr="00AB0154">
        <w:rPr>
          <w:sz w:val="22"/>
        </w:rPr>
        <w:t xml:space="preserve"> her:</w:t>
      </w:r>
    </w:p>
    <w:p w:rsidR="00EF5314" w:rsidRPr="00AB0154" w:rsidRDefault="00901A97" w:rsidP="00A12F17">
      <w:pPr>
        <w:spacing w:after="100" w:afterAutospacing="1"/>
        <w:ind w:left="0" w:right="0"/>
        <w:rPr>
          <w:sz w:val="22"/>
        </w:rPr>
      </w:pPr>
      <w:r w:rsidRPr="00BF7A9E">
        <w:rPr>
          <w:rFonts w:eastAsiaTheme="minorEastAsia" w:cs="Arial"/>
          <w:bCs/>
          <w:i/>
          <w:iCs/>
          <w:sz w:val="22"/>
          <w:szCs w:val="22"/>
          <w:lang w:eastAsia="nb-NO"/>
        </w:rPr>
        <w:t>G</w:t>
      </w:r>
      <w:r w:rsidR="00EF5314" w:rsidRPr="00BF7A9E">
        <w:rPr>
          <w:rFonts w:eastAsiaTheme="minorEastAsia" w:cs="Arial"/>
          <w:bCs/>
          <w:i/>
          <w:iCs/>
          <w:sz w:val="22"/>
          <w:szCs w:val="22"/>
          <w:lang w:eastAsia="nb-NO"/>
        </w:rPr>
        <w:t>ratisprinsippet</w:t>
      </w:r>
      <w:r w:rsidR="00EF5314" w:rsidRPr="00AB0154">
        <w:rPr>
          <w:rFonts w:eastAsiaTheme="minorEastAsia" w:cs="Arial"/>
          <w:sz w:val="22"/>
          <w:szCs w:val="22"/>
          <w:lang w:eastAsia="nb-NO"/>
        </w:rPr>
        <w:t xml:space="preserve"> i norsk utdanning er lovfestet i universitets- og høyskoleloven § 7-1</w:t>
      </w:r>
      <w:r w:rsidR="00EF5314" w:rsidRPr="00AB0154">
        <w:rPr>
          <w:rFonts w:eastAsiaTheme="minorEastAsia" w:cs="Arial"/>
          <w:i/>
          <w:iCs/>
          <w:sz w:val="22"/>
          <w:szCs w:val="22"/>
          <w:lang w:eastAsia="nb-NO"/>
        </w:rPr>
        <w:t xml:space="preserve">. </w:t>
      </w:r>
      <w:r w:rsidR="00EF5314" w:rsidRPr="00AB0154">
        <w:rPr>
          <w:rFonts w:eastAsiaTheme="minorEastAsia" w:cs="Arial"/>
          <w:sz w:val="22"/>
          <w:szCs w:val="22"/>
          <w:lang w:eastAsia="nb-NO"/>
        </w:rPr>
        <w:t>Som h</w:t>
      </w:r>
      <w:r w:rsidR="00EF5314" w:rsidRPr="00AB0154">
        <w:rPr>
          <w:rFonts w:eastAsiaTheme="minorEastAsia" w:cs="Arial"/>
          <w:color w:val="000000" w:themeColor="text1"/>
          <w:sz w:val="22"/>
          <w:szCs w:val="22"/>
          <w:lang w:eastAsia="nb-NO"/>
        </w:rPr>
        <w:t xml:space="preserve">ovedregel skal </w:t>
      </w:r>
      <w:r w:rsidR="00EF5314" w:rsidRPr="00AB0154">
        <w:rPr>
          <w:rFonts w:eastAsiaTheme="minorEastAsia" w:cs="Arial"/>
          <w:i/>
          <w:iCs/>
          <w:color w:val="000000" w:themeColor="text1"/>
          <w:sz w:val="22"/>
          <w:szCs w:val="22"/>
          <w:lang w:eastAsia="nb-NO"/>
        </w:rPr>
        <w:t>studieprogrammer som fører frem til en grad eller yrkesutdanning,</w:t>
      </w:r>
      <w:r w:rsidR="00EF5314" w:rsidRPr="00AB0154">
        <w:rPr>
          <w:rFonts w:eastAsiaTheme="minorEastAsia" w:cs="Arial"/>
          <w:color w:val="000000" w:themeColor="text1"/>
          <w:sz w:val="22"/>
          <w:szCs w:val="22"/>
          <w:lang w:eastAsia="nb-NO"/>
        </w:rPr>
        <w:t xml:space="preserve"> være </w:t>
      </w:r>
      <w:r w:rsidR="00EF5314" w:rsidRPr="00AB0154">
        <w:rPr>
          <w:rFonts w:eastAsiaTheme="minorEastAsia" w:cs="Arial"/>
          <w:iCs/>
          <w:color w:val="000000" w:themeColor="text1"/>
          <w:sz w:val="22"/>
          <w:szCs w:val="22"/>
          <w:u w:val="single"/>
          <w:lang w:eastAsia="nb-NO"/>
        </w:rPr>
        <w:t>gratis</w:t>
      </w:r>
      <w:r w:rsidR="00EF5314" w:rsidRPr="00AB0154">
        <w:rPr>
          <w:rFonts w:eastAsiaTheme="minorEastAsia" w:cs="Arial"/>
          <w:color w:val="000000" w:themeColor="text1"/>
          <w:sz w:val="22"/>
          <w:szCs w:val="22"/>
          <w:lang w:eastAsia="nb-NO"/>
        </w:rPr>
        <w:t xml:space="preserve">. Fire </w:t>
      </w:r>
      <w:r w:rsidR="00EF5314" w:rsidRPr="00AB0154">
        <w:rPr>
          <w:rFonts w:eastAsiaTheme="minorEastAsia" w:cs="Arial"/>
          <w:i/>
          <w:color w:val="000000" w:themeColor="text1"/>
          <w:sz w:val="22"/>
          <w:szCs w:val="22"/>
          <w:lang w:eastAsia="nb-NO"/>
        </w:rPr>
        <w:t>unntak</w:t>
      </w:r>
      <w:r w:rsidR="00EF5314" w:rsidRPr="00AB0154">
        <w:rPr>
          <w:rFonts w:eastAsiaTheme="minorEastAsia" w:cs="Arial"/>
          <w:color w:val="000000" w:themeColor="text1"/>
          <w:sz w:val="22"/>
          <w:szCs w:val="22"/>
          <w:lang w:eastAsia="nb-NO"/>
        </w:rPr>
        <w:t xml:space="preserve"> fra hovedregelen</w:t>
      </w:r>
      <w:r w:rsidR="00EF5314" w:rsidRPr="00AB0154">
        <w:rPr>
          <w:rFonts w:eastAsiaTheme="minorEastAsia" w:cs="Arial"/>
          <w:b/>
          <w:bCs/>
          <w:color w:val="000000" w:themeColor="text1"/>
          <w:sz w:val="22"/>
          <w:szCs w:val="22"/>
          <w:lang w:eastAsia="nb-NO"/>
        </w:rPr>
        <w:t xml:space="preserve"> </w:t>
      </w:r>
      <w:r w:rsidR="00EF5314" w:rsidRPr="00AB0154">
        <w:rPr>
          <w:rFonts w:eastAsiaTheme="minorEastAsia" w:cs="Arial"/>
          <w:color w:val="000000" w:themeColor="text1"/>
          <w:sz w:val="22"/>
          <w:szCs w:val="22"/>
          <w:lang w:eastAsia="nb-NO"/>
        </w:rPr>
        <w:t>er definert i forskrift om egenbetaling § 3-2 (1). Egenbetalingen</w:t>
      </w:r>
      <w:r w:rsidR="001F6E22" w:rsidRPr="00AB0154">
        <w:rPr>
          <w:rFonts w:eastAsiaTheme="minorEastAsia" w:cs="Arial"/>
          <w:color w:val="000000" w:themeColor="text1"/>
          <w:sz w:val="22"/>
          <w:szCs w:val="22"/>
          <w:lang w:eastAsia="nb-NO"/>
        </w:rPr>
        <w:t xml:space="preserve"> (fra student)</w:t>
      </w:r>
      <w:r w:rsidR="00EF5314" w:rsidRPr="00AB0154">
        <w:rPr>
          <w:rFonts w:eastAsiaTheme="minorEastAsia" w:cs="Arial"/>
          <w:color w:val="000000" w:themeColor="text1"/>
          <w:sz w:val="22"/>
          <w:szCs w:val="22"/>
          <w:lang w:eastAsia="nb-NO"/>
        </w:rPr>
        <w:t xml:space="preserve"> kan dekke kostnadene </w:t>
      </w:r>
      <w:r w:rsidR="00EF5314" w:rsidRPr="00AB0154">
        <w:rPr>
          <w:rFonts w:eastAsiaTheme="minorEastAsia" w:cs="Arial"/>
          <w:i/>
          <w:iCs/>
          <w:color w:val="000000" w:themeColor="text1"/>
          <w:sz w:val="22"/>
          <w:szCs w:val="22"/>
          <w:lang w:eastAsia="nb-NO"/>
        </w:rPr>
        <w:t>fullt ut</w:t>
      </w:r>
      <w:r w:rsidR="00EF5314" w:rsidRPr="00AB0154">
        <w:rPr>
          <w:rFonts w:eastAsiaTheme="minorEastAsia" w:cs="Arial"/>
          <w:color w:val="000000" w:themeColor="text1"/>
          <w:sz w:val="22"/>
          <w:szCs w:val="22"/>
          <w:lang w:eastAsia="nb-NO"/>
        </w:rPr>
        <w:t xml:space="preserve">, eller </w:t>
      </w:r>
      <w:r w:rsidR="00EF5314" w:rsidRPr="00AB0154">
        <w:rPr>
          <w:rFonts w:eastAsiaTheme="minorEastAsia" w:cs="Arial"/>
          <w:i/>
          <w:iCs/>
          <w:color w:val="000000" w:themeColor="text1"/>
          <w:sz w:val="22"/>
          <w:szCs w:val="22"/>
          <w:lang w:eastAsia="nb-NO"/>
        </w:rPr>
        <w:t>delvis</w:t>
      </w:r>
      <w:r w:rsidR="00EF5314" w:rsidRPr="00AB0154">
        <w:rPr>
          <w:rFonts w:eastAsiaTheme="minorEastAsia" w:cs="Arial"/>
          <w:color w:val="000000" w:themeColor="text1"/>
          <w:sz w:val="22"/>
          <w:szCs w:val="22"/>
          <w:lang w:eastAsia="nb-NO"/>
        </w:rPr>
        <w:t xml:space="preserve"> ved at institusjonen finansierer deler av kostnadene § 3-2 (2). </w:t>
      </w:r>
      <w:bookmarkStart w:id="38" w:name="_Toc515625983"/>
      <w:bookmarkEnd w:id="38"/>
      <w:r w:rsidR="00EF5314" w:rsidRPr="00AB0154">
        <w:rPr>
          <w:rFonts w:eastAsiaTheme="majorEastAsia" w:cs="Arial"/>
          <w:color w:val="000000" w:themeColor="text1"/>
          <w:sz w:val="22"/>
          <w:szCs w:val="22"/>
          <w:lang w:eastAsia="nb-NO"/>
        </w:rPr>
        <w:t xml:space="preserve">Egenbetalingsforskriften må leses i lys av både gratisprinsippet og statsstøtteregelverket (EØS). Unntakene det kan kreves egenbetaling for avgrenses av gratisprinsippet og institusjonene må selv vurdere om unntakene i egenbetalingsforskriften </w:t>
      </w:r>
      <w:r w:rsidR="00EF5314" w:rsidRPr="00AB0154">
        <w:rPr>
          <w:rFonts w:eastAsiaTheme="minorEastAsia" w:cs="Arial"/>
          <w:color w:val="000000" w:themeColor="text1"/>
          <w:sz w:val="22"/>
          <w:szCs w:val="22"/>
          <w:lang w:eastAsia="nb-NO"/>
        </w:rPr>
        <w:t xml:space="preserve">§ 3-2 (1) </w:t>
      </w:r>
      <w:r w:rsidR="00EF5314" w:rsidRPr="00AB0154">
        <w:rPr>
          <w:rFonts w:eastAsiaTheme="majorEastAsia" w:cs="Arial"/>
          <w:color w:val="000000" w:themeColor="text1"/>
          <w:sz w:val="22"/>
          <w:szCs w:val="22"/>
          <w:lang w:eastAsia="nb-NO"/>
        </w:rPr>
        <w:t xml:space="preserve">er oppfylt. Statsstøtteregelverket regulerer grenser for </w:t>
      </w:r>
      <w:r w:rsidR="00EF5314" w:rsidRPr="00AB0154">
        <w:rPr>
          <w:rFonts w:eastAsiaTheme="majorEastAsia" w:cs="Arial"/>
          <w:i/>
          <w:color w:val="000000" w:themeColor="text1"/>
          <w:sz w:val="22"/>
          <w:szCs w:val="22"/>
          <w:lang w:eastAsia="nb-NO"/>
        </w:rPr>
        <w:t>størrelsen på egenbetalingen</w:t>
      </w:r>
      <w:r w:rsidR="00EF5314" w:rsidRPr="00AB0154">
        <w:rPr>
          <w:rFonts w:eastAsiaTheme="majorEastAsia" w:cs="Arial"/>
          <w:color w:val="000000" w:themeColor="text1"/>
          <w:sz w:val="22"/>
          <w:szCs w:val="22"/>
          <w:lang w:eastAsia="nb-NO"/>
        </w:rPr>
        <w:t xml:space="preserve"> for fag/emner som er en integrert del av institusjonens ikke-</w:t>
      </w:r>
      <w:r w:rsidR="00EF5314" w:rsidRPr="00AB0154">
        <w:rPr>
          <w:sz w:val="22"/>
        </w:rPr>
        <w:t>økonomiske aktivitet.</w:t>
      </w:r>
    </w:p>
    <w:p w:rsidR="0062155A" w:rsidRPr="00AB0154" w:rsidRDefault="006E060E" w:rsidP="00A12F17">
      <w:pPr>
        <w:spacing w:after="100" w:afterAutospacing="1"/>
        <w:ind w:left="0" w:right="0"/>
        <w:rPr>
          <w:sz w:val="22"/>
        </w:rPr>
      </w:pPr>
      <w:r w:rsidRPr="00AB0154">
        <w:rPr>
          <w:sz w:val="22"/>
        </w:rPr>
        <w:lastRenderedPageBreak/>
        <w:t>V</w:t>
      </w:r>
      <w:r w:rsidR="0062155A" w:rsidRPr="00AB0154">
        <w:rPr>
          <w:sz w:val="22"/>
        </w:rPr>
        <w:t>eiledende retningslinjer for finansiering av EVU</w:t>
      </w:r>
      <w:r w:rsidRPr="00AB0154">
        <w:rPr>
          <w:sz w:val="22"/>
        </w:rPr>
        <w:t xml:space="preserve"> </w:t>
      </w:r>
      <w:r w:rsidR="00901A97" w:rsidRPr="00AB0154">
        <w:rPr>
          <w:sz w:val="22"/>
        </w:rPr>
        <w:t xml:space="preserve">er oppsummert slik </w:t>
      </w:r>
      <w:r w:rsidRPr="00AB0154">
        <w:rPr>
          <w:sz w:val="22"/>
        </w:rPr>
        <w:t>i UHR-rapporten</w:t>
      </w:r>
      <w:r w:rsidR="00901A97" w:rsidRPr="00AB0154">
        <w:rPr>
          <w:sz w:val="22"/>
        </w:rPr>
        <w:t xml:space="preserve"> (kapittel 7)</w:t>
      </w:r>
      <w:r w:rsidRPr="00AB0154">
        <w:rPr>
          <w:sz w:val="22"/>
        </w:rPr>
        <w:t>:</w:t>
      </w:r>
      <w:r w:rsidR="0062155A" w:rsidRPr="00AB0154">
        <w:rPr>
          <w:sz w:val="22"/>
        </w:rPr>
        <w:t xml:space="preserve"> </w:t>
      </w:r>
    </w:p>
    <w:p w:rsidR="0062155A" w:rsidRPr="00AB0154" w:rsidRDefault="0062155A" w:rsidP="00A014AE">
      <w:pPr>
        <w:spacing w:after="100" w:afterAutospacing="1"/>
        <w:ind w:left="0" w:right="0"/>
        <w:rPr>
          <w:sz w:val="22"/>
        </w:rPr>
      </w:pPr>
      <w:r w:rsidRPr="00AB0154">
        <w:rPr>
          <w:sz w:val="22"/>
        </w:rPr>
        <w:t xml:space="preserve">Unntakene i egenbetalingsforskriften § 3-2 (1) kan klassifiseres i </w:t>
      </w:r>
      <w:r w:rsidRPr="00AB0154">
        <w:rPr>
          <w:i/>
          <w:sz w:val="22"/>
        </w:rPr>
        <w:t>økonomisk</w:t>
      </w:r>
      <w:r w:rsidRPr="00AB0154">
        <w:rPr>
          <w:sz w:val="22"/>
        </w:rPr>
        <w:t xml:space="preserve"> og </w:t>
      </w:r>
      <w:r w:rsidRPr="00AB0154">
        <w:rPr>
          <w:i/>
          <w:sz w:val="22"/>
        </w:rPr>
        <w:t>ikke-økonomisk</w:t>
      </w:r>
      <w:r w:rsidRPr="00AB0154">
        <w:rPr>
          <w:sz w:val="22"/>
        </w:rPr>
        <w:t xml:space="preserve"> aktivitet som vist i tabellen. Unntak a og d vil </w:t>
      </w:r>
      <w:r w:rsidRPr="00AB0154">
        <w:rPr>
          <w:i/>
          <w:sz w:val="22"/>
        </w:rPr>
        <w:t xml:space="preserve">alltid </w:t>
      </w:r>
      <w:r w:rsidRPr="00AB0154">
        <w:rPr>
          <w:sz w:val="22"/>
        </w:rPr>
        <w:t>være økonomisk aktivitet. For unntak b og c kan institusjonene selv velge å klassifisere aktiviteten som økonomisk aktivitet eller ikke-økonomisk aktivitet. Grensene for egenbetaling avhenger av klassifisering som vist i tabellen.</w:t>
      </w:r>
    </w:p>
    <w:tbl>
      <w:tblPr>
        <w:tblStyle w:val="Tabellrutenett1"/>
        <w:tblW w:w="8791" w:type="dxa"/>
        <w:tblLook w:val="04A0" w:firstRow="1" w:lastRow="0" w:firstColumn="1" w:lastColumn="0" w:noHBand="0" w:noVBand="1"/>
      </w:tblPr>
      <w:tblGrid>
        <w:gridCol w:w="2830"/>
        <w:gridCol w:w="1276"/>
        <w:gridCol w:w="1418"/>
        <w:gridCol w:w="3267"/>
      </w:tblGrid>
      <w:tr w:rsidR="0062155A" w:rsidRPr="0062155A" w:rsidTr="005C75FF">
        <w:trPr>
          <w:trHeight w:val="759"/>
        </w:trPr>
        <w:tc>
          <w:tcPr>
            <w:tcW w:w="2830"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Unntak i § 3-2 (1):</w:t>
            </w:r>
          </w:p>
        </w:tc>
        <w:tc>
          <w:tcPr>
            <w:tcW w:w="1276"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Ikke-økonomisk aktivitet</w:t>
            </w:r>
          </w:p>
        </w:tc>
        <w:tc>
          <w:tcPr>
            <w:tcW w:w="1418"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Økonomisk aktivitet</w:t>
            </w:r>
          </w:p>
        </w:tc>
        <w:tc>
          <w:tcPr>
            <w:tcW w:w="3267"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Egenbetaling (studentbetaling)</w:t>
            </w:r>
          </w:p>
        </w:tc>
      </w:tr>
      <w:tr w:rsidR="0062155A" w:rsidRPr="00623871" w:rsidTr="005C75FF">
        <w:trPr>
          <w:trHeight w:val="765"/>
        </w:trPr>
        <w:tc>
          <w:tcPr>
            <w:tcW w:w="2830" w:type="dxa"/>
          </w:tcPr>
          <w:p w:rsidR="0062155A" w:rsidRPr="0062155A" w:rsidRDefault="0062155A" w:rsidP="0062155A">
            <w:pPr>
              <w:numPr>
                <w:ilvl w:val="0"/>
                <w:numId w:val="6"/>
              </w:numPr>
              <w:spacing w:after="100" w:afterAutospacing="1"/>
              <w:ind w:right="0"/>
              <w:contextualSpacing/>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Kurs</w:t>
            </w:r>
          </w:p>
        </w:tc>
        <w:tc>
          <w:tcPr>
            <w:tcW w:w="1276" w:type="dxa"/>
          </w:tcPr>
          <w:p w:rsidR="0062155A" w:rsidRPr="0062155A" w:rsidRDefault="0062155A" w:rsidP="0062155A">
            <w:pPr>
              <w:spacing w:after="100" w:afterAutospacing="1"/>
              <w:ind w:left="0" w:right="0"/>
              <w:jc w:val="center"/>
              <w:rPr>
                <w:rFonts w:asciiTheme="minorHAnsi" w:eastAsiaTheme="majorEastAsia" w:hAnsiTheme="minorHAnsi" w:cstheme="minorHAnsi"/>
                <w:color w:val="000000" w:themeColor="text1"/>
                <w:sz w:val="22"/>
                <w:szCs w:val="22"/>
                <w:lang w:eastAsia="nb-NO"/>
              </w:rPr>
            </w:pPr>
          </w:p>
        </w:tc>
        <w:tc>
          <w:tcPr>
            <w:tcW w:w="1418" w:type="dxa"/>
          </w:tcPr>
          <w:p w:rsidR="0062155A" w:rsidRPr="0062155A" w:rsidRDefault="0062155A" w:rsidP="0062155A">
            <w:pPr>
              <w:spacing w:after="100" w:afterAutospacing="1"/>
              <w:ind w:left="0" w:right="0"/>
              <w:jc w:val="center"/>
              <w:rPr>
                <w:rFonts w:asciiTheme="minorHAnsi" w:eastAsiaTheme="minorEastAsia" w:hAnsiTheme="minorHAnsi" w:cstheme="minorBidi"/>
                <w:color w:val="000000" w:themeColor="text1"/>
                <w:sz w:val="22"/>
                <w:szCs w:val="22"/>
                <w:lang w:eastAsia="nb-NO"/>
              </w:rPr>
            </w:pPr>
            <w:proofErr w:type="spellStart"/>
            <w:r w:rsidRPr="0062155A">
              <w:rPr>
                <w:rFonts w:asciiTheme="minorHAnsi" w:eastAsiaTheme="minorEastAsia" w:hAnsiTheme="minorHAnsi" w:cstheme="minorBidi"/>
                <w:color w:val="000000" w:themeColor="text1"/>
                <w:sz w:val="22"/>
                <w:szCs w:val="22"/>
                <w:lang w:eastAsia="nb-NO"/>
              </w:rPr>
              <w:t>X</w:t>
            </w:r>
            <w:proofErr w:type="spellEnd"/>
          </w:p>
          <w:p w:rsidR="0062155A" w:rsidRPr="0062155A" w:rsidRDefault="0062155A" w:rsidP="0062155A">
            <w:pPr>
              <w:spacing w:after="100" w:afterAutospacing="1"/>
              <w:ind w:left="0" w:right="0"/>
              <w:rPr>
                <w:rFonts w:asciiTheme="minorHAnsi" w:eastAsiaTheme="majorEastAsia" w:hAnsiTheme="minorHAnsi" w:cstheme="minorHAnsi"/>
                <w:color w:val="000000" w:themeColor="text1"/>
                <w:sz w:val="22"/>
                <w:szCs w:val="22"/>
                <w:lang w:eastAsia="nb-NO"/>
              </w:rPr>
            </w:pPr>
          </w:p>
        </w:tc>
        <w:tc>
          <w:tcPr>
            <w:tcW w:w="3267"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color w:val="000000" w:themeColor="text1"/>
                <w:sz w:val="22"/>
                <w:szCs w:val="22"/>
                <w:lang w:eastAsia="nb-NO"/>
              </w:rPr>
              <w:t xml:space="preserve">100 % av totale kostnader pluss margin for fortjeneste </w:t>
            </w:r>
          </w:p>
        </w:tc>
      </w:tr>
      <w:tr w:rsidR="0062155A" w:rsidRPr="00623871" w:rsidTr="005C75FF">
        <w:trPr>
          <w:trHeight w:val="1519"/>
        </w:trPr>
        <w:tc>
          <w:tcPr>
            <w:tcW w:w="2830" w:type="dxa"/>
          </w:tcPr>
          <w:p w:rsidR="0062155A" w:rsidRPr="0062155A" w:rsidRDefault="0062155A" w:rsidP="0062155A">
            <w:pPr>
              <w:numPr>
                <w:ilvl w:val="0"/>
                <w:numId w:val="6"/>
              </w:numPr>
              <w:spacing w:after="100" w:afterAutospacing="1"/>
              <w:ind w:right="0"/>
              <w:contextualSpacing/>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Fag/emner som normalt ikke er en del av studieprogram som fører fram til grad eller yrkesutdanning</w:t>
            </w:r>
          </w:p>
        </w:tc>
        <w:tc>
          <w:tcPr>
            <w:tcW w:w="1276" w:type="dxa"/>
          </w:tcPr>
          <w:p w:rsidR="0062155A" w:rsidRPr="0062155A" w:rsidRDefault="0062155A" w:rsidP="0062155A">
            <w:pPr>
              <w:spacing w:after="100" w:afterAutospacing="1"/>
              <w:ind w:left="0" w:right="0"/>
              <w:jc w:val="center"/>
              <w:rPr>
                <w:rFonts w:asciiTheme="minorHAnsi" w:eastAsiaTheme="minorEastAsia" w:hAnsiTheme="minorHAnsi" w:cstheme="minorBidi"/>
                <w:color w:val="000000" w:themeColor="text1"/>
                <w:sz w:val="22"/>
                <w:szCs w:val="22"/>
                <w:lang w:eastAsia="nb-NO"/>
              </w:rPr>
            </w:pPr>
            <w:proofErr w:type="spellStart"/>
            <w:r w:rsidRPr="0062155A">
              <w:rPr>
                <w:rFonts w:asciiTheme="minorHAnsi" w:eastAsiaTheme="minorEastAsia" w:hAnsiTheme="minorHAnsi" w:cstheme="minorBidi"/>
                <w:color w:val="000000" w:themeColor="text1"/>
                <w:sz w:val="22"/>
                <w:szCs w:val="22"/>
                <w:lang w:eastAsia="nb-NO"/>
              </w:rPr>
              <w:t>X</w:t>
            </w:r>
            <w:proofErr w:type="spellEnd"/>
          </w:p>
        </w:tc>
        <w:tc>
          <w:tcPr>
            <w:tcW w:w="1418" w:type="dxa"/>
          </w:tcPr>
          <w:p w:rsidR="0062155A" w:rsidRPr="0062155A" w:rsidRDefault="0062155A" w:rsidP="0062155A">
            <w:pPr>
              <w:spacing w:after="100" w:afterAutospacing="1"/>
              <w:ind w:left="0" w:right="0"/>
              <w:jc w:val="center"/>
              <w:rPr>
                <w:rFonts w:asciiTheme="minorHAnsi" w:eastAsiaTheme="minorEastAsia" w:hAnsiTheme="minorHAnsi" w:cstheme="minorBidi"/>
                <w:color w:val="000000" w:themeColor="text1"/>
                <w:sz w:val="22"/>
                <w:szCs w:val="22"/>
                <w:lang w:eastAsia="nb-NO"/>
              </w:rPr>
            </w:pPr>
            <w:proofErr w:type="spellStart"/>
            <w:r w:rsidRPr="0062155A">
              <w:rPr>
                <w:rFonts w:asciiTheme="minorHAnsi" w:eastAsiaTheme="minorEastAsia" w:hAnsiTheme="minorHAnsi" w:cstheme="minorBidi"/>
                <w:color w:val="000000" w:themeColor="text1"/>
                <w:sz w:val="22"/>
                <w:szCs w:val="22"/>
                <w:lang w:eastAsia="nb-NO"/>
              </w:rPr>
              <w:t>X</w:t>
            </w:r>
            <w:proofErr w:type="spellEnd"/>
          </w:p>
        </w:tc>
        <w:tc>
          <w:tcPr>
            <w:tcW w:w="3267"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iCs/>
                <w:color w:val="000000" w:themeColor="text1"/>
                <w:sz w:val="22"/>
                <w:szCs w:val="22"/>
                <w:lang w:eastAsia="nb-NO"/>
              </w:rPr>
              <w:t xml:space="preserve">Kan velge </w:t>
            </w:r>
            <w:r w:rsidRPr="0062155A">
              <w:rPr>
                <w:rFonts w:asciiTheme="minorHAnsi" w:eastAsiaTheme="majorEastAsia" w:hAnsiTheme="minorHAnsi" w:cstheme="minorHAnsi"/>
                <w:i/>
                <w:iCs/>
                <w:color w:val="000000" w:themeColor="text1"/>
                <w:sz w:val="22"/>
                <w:szCs w:val="22"/>
                <w:lang w:eastAsia="nb-NO"/>
              </w:rPr>
              <w:t>enten</w:t>
            </w:r>
            <w:r w:rsidRPr="0062155A">
              <w:rPr>
                <w:rFonts w:asciiTheme="minorHAnsi" w:eastAsiaTheme="majorEastAsia" w:hAnsiTheme="minorHAnsi" w:cstheme="minorHAnsi"/>
                <w:iCs/>
                <w:color w:val="000000" w:themeColor="text1"/>
                <w:sz w:val="22"/>
                <w:szCs w:val="22"/>
                <w:lang w:eastAsia="nb-NO"/>
              </w:rPr>
              <w:t xml:space="preserve"> inntil 49 % av totale kostnader (ikke-økonomisk aktivitet), </w:t>
            </w:r>
            <w:r w:rsidRPr="0062155A">
              <w:rPr>
                <w:rFonts w:asciiTheme="minorHAnsi" w:eastAsiaTheme="majorEastAsia" w:hAnsiTheme="minorHAnsi" w:cstheme="minorHAnsi"/>
                <w:i/>
                <w:iCs/>
                <w:color w:val="000000" w:themeColor="text1"/>
                <w:sz w:val="22"/>
                <w:szCs w:val="22"/>
                <w:lang w:eastAsia="nb-NO"/>
              </w:rPr>
              <w:t>eller</w:t>
            </w:r>
            <w:r w:rsidRPr="0062155A">
              <w:rPr>
                <w:rFonts w:asciiTheme="minorHAnsi" w:eastAsiaTheme="majorEastAsia" w:hAnsiTheme="minorHAnsi" w:cstheme="minorHAnsi"/>
                <w:iCs/>
                <w:color w:val="000000" w:themeColor="text1"/>
                <w:sz w:val="22"/>
                <w:szCs w:val="22"/>
                <w:lang w:eastAsia="nb-NO"/>
              </w:rPr>
              <w:t xml:space="preserve"> 100 % av totale kostnader pluss margin for fortjeneste (økonomisk aktivitet)</w:t>
            </w:r>
          </w:p>
        </w:tc>
      </w:tr>
      <w:tr w:rsidR="0062155A" w:rsidRPr="00623871" w:rsidTr="005C75FF">
        <w:trPr>
          <w:trHeight w:val="1519"/>
        </w:trPr>
        <w:tc>
          <w:tcPr>
            <w:tcW w:w="2830" w:type="dxa"/>
          </w:tcPr>
          <w:p w:rsidR="0062155A" w:rsidRPr="0062155A" w:rsidRDefault="0062155A" w:rsidP="0062155A">
            <w:pPr>
              <w:numPr>
                <w:ilvl w:val="0"/>
                <w:numId w:val="6"/>
              </w:numPr>
              <w:spacing w:after="100" w:afterAutospacing="1"/>
              <w:ind w:right="0"/>
              <w:contextualSpacing/>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Erfaringsbaserte mastergradsstudier</w:t>
            </w:r>
          </w:p>
          <w:p w:rsidR="0062155A" w:rsidRPr="0062155A" w:rsidRDefault="0062155A" w:rsidP="0062155A">
            <w:pPr>
              <w:spacing w:after="100" w:afterAutospacing="1"/>
              <w:ind w:left="0" w:right="0"/>
              <w:rPr>
                <w:rFonts w:asciiTheme="minorHAnsi" w:eastAsiaTheme="majorEastAsia" w:hAnsiTheme="minorHAnsi" w:cstheme="minorHAnsi"/>
                <w:b/>
                <w:color w:val="000000" w:themeColor="text1"/>
                <w:sz w:val="22"/>
                <w:szCs w:val="22"/>
                <w:lang w:eastAsia="nb-NO"/>
              </w:rPr>
            </w:pPr>
          </w:p>
        </w:tc>
        <w:tc>
          <w:tcPr>
            <w:tcW w:w="1276" w:type="dxa"/>
          </w:tcPr>
          <w:p w:rsidR="0062155A" w:rsidRPr="0062155A" w:rsidRDefault="0062155A" w:rsidP="0062155A">
            <w:pPr>
              <w:spacing w:after="100" w:afterAutospacing="1"/>
              <w:ind w:left="0" w:right="0"/>
              <w:jc w:val="center"/>
              <w:rPr>
                <w:rFonts w:asciiTheme="minorHAnsi" w:eastAsiaTheme="minorEastAsia" w:hAnsiTheme="minorHAnsi" w:cstheme="minorBidi"/>
                <w:color w:val="000000" w:themeColor="text1"/>
                <w:sz w:val="22"/>
                <w:szCs w:val="22"/>
                <w:lang w:eastAsia="nb-NO"/>
              </w:rPr>
            </w:pPr>
            <w:proofErr w:type="spellStart"/>
            <w:r w:rsidRPr="0062155A">
              <w:rPr>
                <w:rFonts w:asciiTheme="minorHAnsi" w:eastAsiaTheme="minorEastAsia" w:hAnsiTheme="minorHAnsi" w:cstheme="minorBidi"/>
                <w:color w:val="000000" w:themeColor="text1"/>
                <w:sz w:val="22"/>
                <w:szCs w:val="22"/>
                <w:lang w:eastAsia="nb-NO"/>
              </w:rPr>
              <w:t>X</w:t>
            </w:r>
            <w:proofErr w:type="spellEnd"/>
          </w:p>
        </w:tc>
        <w:tc>
          <w:tcPr>
            <w:tcW w:w="1418" w:type="dxa"/>
          </w:tcPr>
          <w:p w:rsidR="0062155A" w:rsidRPr="0062155A" w:rsidRDefault="0062155A" w:rsidP="0062155A">
            <w:pPr>
              <w:spacing w:after="100" w:afterAutospacing="1"/>
              <w:ind w:left="0" w:right="0"/>
              <w:jc w:val="center"/>
              <w:rPr>
                <w:rFonts w:asciiTheme="minorHAnsi" w:eastAsiaTheme="minorEastAsia" w:hAnsiTheme="minorHAnsi" w:cstheme="minorBidi"/>
                <w:color w:val="000000" w:themeColor="text1"/>
                <w:sz w:val="22"/>
                <w:szCs w:val="22"/>
                <w:lang w:eastAsia="nb-NO"/>
              </w:rPr>
            </w:pPr>
            <w:proofErr w:type="spellStart"/>
            <w:r w:rsidRPr="0062155A">
              <w:rPr>
                <w:rFonts w:asciiTheme="minorHAnsi" w:eastAsiaTheme="minorEastAsia" w:hAnsiTheme="minorHAnsi" w:cstheme="minorBidi"/>
                <w:color w:val="000000" w:themeColor="text1"/>
                <w:sz w:val="22"/>
                <w:szCs w:val="22"/>
                <w:lang w:eastAsia="nb-NO"/>
              </w:rPr>
              <w:t>X</w:t>
            </w:r>
            <w:proofErr w:type="spellEnd"/>
          </w:p>
        </w:tc>
        <w:tc>
          <w:tcPr>
            <w:tcW w:w="3267"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iCs/>
                <w:color w:val="000000" w:themeColor="text1"/>
                <w:sz w:val="22"/>
                <w:szCs w:val="22"/>
                <w:lang w:eastAsia="nb-NO"/>
              </w:rPr>
              <w:t xml:space="preserve">Kan velge </w:t>
            </w:r>
            <w:r w:rsidRPr="0062155A">
              <w:rPr>
                <w:rFonts w:asciiTheme="minorHAnsi" w:eastAsiaTheme="majorEastAsia" w:hAnsiTheme="minorHAnsi" w:cstheme="minorHAnsi"/>
                <w:i/>
                <w:iCs/>
                <w:color w:val="000000" w:themeColor="text1"/>
                <w:sz w:val="22"/>
                <w:szCs w:val="22"/>
                <w:lang w:eastAsia="nb-NO"/>
              </w:rPr>
              <w:t>enten</w:t>
            </w:r>
            <w:r w:rsidRPr="0062155A">
              <w:rPr>
                <w:rFonts w:asciiTheme="minorHAnsi" w:eastAsiaTheme="majorEastAsia" w:hAnsiTheme="minorHAnsi" w:cstheme="minorHAnsi"/>
                <w:iCs/>
                <w:color w:val="000000" w:themeColor="text1"/>
                <w:sz w:val="22"/>
                <w:szCs w:val="22"/>
                <w:lang w:eastAsia="nb-NO"/>
              </w:rPr>
              <w:t xml:space="preserve"> inntil 49 % av totale kostnader (ikke-økonomisk aktivitet), </w:t>
            </w:r>
            <w:r w:rsidRPr="0062155A">
              <w:rPr>
                <w:rFonts w:asciiTheme="minorHAnsi" w:eastAsiaTheme="majorEastAsia" w:hAnsiTheme="minorHAnsi" w:cstheme="minorHAnsi"/>
                <w:i/>
                <w:iCs/>
                <w:color w:val="000000" w:themeColor="text1"/>
                <w:sz w:val="22"/>
                <w:szCs w:val="22"/>
                <w:lang w:eastAsia="nb-NO"/>
              </w:rPr>
              <w:t xml:space="preserve">eller </w:t>
            </w:r>
            <w:r w:rsidRPr="0062155A">
              <w:rPr>
                <w:rFonts w:asciiTheme="minorHAnsi" w:eastAsiaTheme="majorEastAsia" w:hAnsiTheme="minorHAnsi" w:cstheme="minorHAnsi"/>
                <w:iCs/>
                <w:color w:val="000000" w:themeColor="text1"/>
                <w:sz w:val="22"/>
                <w:szCs w:val="22"/>
                <w:lang w:eastAsia="nb-NO"/>
              </w:rPr>
              <w:t>100 % av totale kostnader pluss margin for fortjeneste (økonomisk aktivitet)</w:t>
            </w:r>
          </w:p>
        </w:tc>
      </w:tr>
      <w:tr w:rsidR="0062155A" w:rsidRPr="00623871" w:rsidTr="005C75FF">
        <w:trPr>
          <w:trHeight w:val="1275"/>
        </w:trPr>
        <w:tc>
          <w:tcPr>
            <w:tcW w:w="2830" w:type="dxa"/>
          </w:tcPr>
          <w:p w:rsidR="0062155A" w:rsidRPr="0062155A" w:rsidRDefault="0062155A" w:rsidP="0062155A">
            <w:pPr>
              <w:numPr>
                <w:ilvl w:val="0"/>
                <w:numId w:val="6"/>
              </w:numPr>
              <w:spacing w:after="100" w:afterAutospacing="1"/>
              <w:ind w:right="0"/>
              <w:contextualSpacing/>
              <w:rPr>
                <w:rFonts w:ascii="Times New Roman" w:hAnsi="Times New Roman"/>
                <w:szCs w:val="20"/>
                <w:lang w:eastAsia="nb-NO"/>
              </w:rPr>
            </w:pPr>
            <w:r w:rsidRPr="0062155A">
              <w:rPr>
                <w:rFonts w:asciiTheme="minorHAnsi" w:eastAsiaTheme="majorEastAsia" w:hAnsiTheme="minorHAnsi" w:cstheme="minorHAnsi"/>
                <w:b/>
                <w:color w:val="000000" w:themeColor="text1"/>
                <w:sz w:val="22"/>
                <w:szCs w:val="22"/>
                <w:lang w:eastAsia="nb-NO"/>
              </w:rPr>
              <w:t>Studenter som fyller opp ledige plasser på studieprogram eller fag/emner som er oppdragsfinansiert</w:t>
            </w:r>
          </w:p>
        </w:tc>
        <w:tc>
          <w:tcPr>
            <w:tcW w:w="1276" w:type="dxa"/>
          </w:tcPr>
          <w:p w:rsidR="0062155A" w:rsidRPr="0062155A" w:rsidRDefault="0062155A" w:rsidP="0062155A">
            <w:pPr>
              <w:spacing w:after="100" w:afterAutospacing="1"/>
              <w:ind w:left="0" w:right="0"/>
              <w:jc w:val="center"/>
              <w:rPr>
                <w:rFonts w:asciiTheme="minorHAnsi" w:eastAsiaTheme="majorEastAsia" w:hAnsiTheme="minorHAnsi" w:cstheme="minorHAnsi"/>
                <w:color w:val="000000" w:themeColor="text1"/>
                <w:sz w:val="22"/>
                <w:szCs w:val="22"/>
                <w:lang w:eastAsia="nb-NO"/>
              </w:rPr>
            </w:pPr>
          </w:p>
        </w:tc>
        <w:tc>
          <w:tcPr>
            <w:tcW w:w="1418" w:type="dxa"/>
          </w:tcPr>
          <w:p w:rsidR="0062155A" w:rsidRPr="0062155A" w:rsidRDefault="0062155A" w:rsidP="0062155A">
            <w:pPr>
              <w:spacing w:after="100" w:afterAutospacing="1"/>
              <w:ind w:left="0" w:right="0"/>
              <w:jc w:val="center"/>
              <w:rPr>
                <w:rFonts w:asciiTheme="minorHAnsi" w:eastAsiaTheme="minorEastAsia" w:hAnsiTheme="minorHAnsi" w:cstheme="minorBidi"/>
                <w:color w:val="000000" w:themeColor="text1"/>
                <w:sz w:val="22"/>
                <w:szCs w:val="22"/>
                <w:lang w:eastAsia="nb-NO"/>
              </w:rPr>
            </w:pPr>
            <w:proofErr w:type="spellStart"/>
            <w:r w:rsidRPr="0062155A">
              <w:rPr>
                <w:rFonts w:asciiTheme="minorHAnsi" w:eastAsiaTheme="minorEastAsia" w:hAnsiTheme="minorHAnsi" w:cstheme="minorBidi"/>
                <w:color w:val="000000" w:themeColor="text1"/>
                <w:sz w:val="22"/>
                <w:szCs w:val="22"/>
                <w:lang w:eastAsia="nb-NO"/>
              </w:rPr>
              <w:t>X</w:t>
            </w:r>
            <w:proofErr w:type="spellEnd"/>
          </w:p>
          <w:p w:rsidR="0062155A" w:rsidRPr="0062155A" w:rsidRDefault="0062155A" w:rsidP="0062155A">
            <w:pPr>
              <w:spacing w:after="100" w:afterAutospacing="1"/>
              <w:ind w:left="0" w:right="0"/>
              <w:jc w:val="center"/>
              <w:rPr>
                <w:rFonts w:asciiTheme="minorHAnsi" w:eastAsiaTheme="majorEastAsia" w:hAnsiTheme="minorHAnsi" w:cstheme="minorHAnsi"/>
                <w:color w:val="000000" w:themeColor="text1"/>
                <w:sz w:val="22"/>
                <w:szCs w:val="22"/>
                <w:lang w:eastAsia="nb-NO"/>
              </w:rPr>
            </w:pPr>
          </w:p>
        </w:tc>
        <w:tc>
          <w:tcPr>
            <w:tcW w:w="3267" w:type="dxa"/>
          </w:tcPr>
          <w:p w:rsidR="0062155A" w:rsidRPr="0062155A" w:rsidRDefault="0062155A" w:rsidP="0062155A">
            <w:pPr>
              <w:spacing w:after="100" w:afterAutospacing="1"/>
              <w:ind w:left="0" w:right="0"/>
              <w:rPr>
                <w:rFonts w:ascii="Times New Roman" w:hAnsi="Times New Roman"/>
                <w:szCs w:val="20"/>
                <w:lang w:eastAsia="nb-NO"/>
              </w:rPr>
            </w:pPr>
            <w:r w:rsidRPr="0062155A">
              <w:rPr>
                <w:rFonts w:asciiTheme="minorHAnsi" w:eastAsiaTheme="majorEastAsia" w:hAnsiTheme="minorHAnsi" w:cstheme="minorHAnsi"/>
                <w:color w:val="000000" w:themeColor="text1"/>
                <w:sz w:val="22"/>
                <w:szCs w:val="22"/>
                <w:lang w:eastAsia="nb-NO"/>
              </w:rPr>
              <w:t>100 % av totale kostnader pluss margin for fortjeneste</w:t>
            </w:r>
          </w:p>
        </w:tc>
      </w:tr>
    </w:tbl>
    <w:p w:rsidR="0062155A" w:rsidRPr="0062155A" w:rsidRDefault="0062155A" w:rsidP="0062155A">
      <w:pPr>
        <w:spacing w:after="100" w:afterAutospacing="1"/>
        <w:ind w:left="0" w:right="0"/>
        <w:rPr>
          <w:rFonts w:asciiTheme="minorHAnsi" w:eastAsiaTheme="minorEastAsia" w:hAnsiTheme="minorHAnsi" w:cstheme="minorBidi"/>
          <w:sz w:val="4"/>
          <w:szCs w:val="22"/>
        </w:rPr>
      </w:pPr>
    </w:p>
    <w:p w:rsidR="0062155A" w:rsidRPr="0062155A" w:rsidRDefault="0062155A" w:rsidP="0062155A">
      <w:pPr>
        <w:spacing w:after="160" w:line="259" w:lineRule="auto"/>
        <w:ind w:left="0" w:right="0"/>
        <w:rPr>
          <w:rFonts w:asciiTheme="minorHAnsi" w:hAnsiTheme="minorHAnsi"/>
          <w:sz w:val="22"/>
        </w:rPr>
      </w:pPr>
      <w:r w:rsidRPr="0062155A">
        <w:rPr>
          <w:rFonts w:asciiTheme="minorHAnsi" w:hAnsiTheme="minorHAnsi"/>
          <w:sz w:val="22"/>
        </w:rPr>
        <w:t>T</w:t>
      </w:r>
      <w:r w:rsidR="00A91078">
        <w:rPr>
          <w:rFonts w:asciiTheme="minorHAnsi" w:hAnsiTheme="minorHAnsi"/>
          <w:sz w:val="22"/>
        </w:rPr>
        <w:t>abell</w:t>
      </w:r>
      <w:r w:rsidRPr="0062155A">
        <w:rPr>
          <w:rFonts w:asciiTheme="minorHAnsi" w:hAnsiTheme="minorHAnsi"/>
          <w:sz w:val="22"/>
        </w:rPr>
        <w:t>: Klassifisering av unntakene i egenbetalingsforskriften i kategoriene økonomisk og ikke-økonomisk aktivitet, og handlingsrom for egenbetaling gitt av statsstøtteregelverket.</w:t>
      </w:r>
    </w:p>
    <w:p w:rsidR="00877A3F" w:rsidRPr="00AB0154" w:rsidRDefault="00877A3F" w:rsidP="00877A3F">
      <w:pPr>
        <w:spacing w:after="100" w:afterAutospacing="1"/>
        <w:ind w:left="0"/>
        <w:rPr>
          <w:rFonts w:cs="Arial"/>
          <w:sz w:val="22"/>
        </w:rPr>
      </w:pPr>
      <w:r w:rsidRPr="00AB0154">
        <w:rPr>
          <w:rFonts w:cs="Arial"/>
          <w:sz w:val="22"/>
        </w:rPr>
        <w:t>For studiepoenggivende aktivitet, dvs. all videreutdanning, bør</w:t>
      </w:r>
      <w:r w:rsidR="00275390">
        <w:rPr>
          <w:rFonts w:cs="Arial"/>
          <w:sz w:val="22"/>
        </w:rPr>
        <w:t xml:space="preserve"> egenbetaling beregnes basert på en forutsetning om at</w:t>
      </w:r>
      <w:r w:rsidRPr="00AB0154">
        <w:rPr>
          <w:rFonts w:cs="Arial"/>
          <w:sz w:val="22"/>
        </w:rPr>
        <w:t xml:space="preserve"> kostnade</w:t>
      </w:r>
      <w:r w:rsidR="00275390">
        <w:rPr>
          <w:rFonts w:cs="Arial"/>
          <w:sz w:val="22"/>
        </w:rPr>
        <w:t>n</w:t>
      </w:r>
      <w:r w:rsidRPr="00AB0154">
        <w:rPr>
          <w:rFonts w:cs="Arial"/>
          <w:sz w:val="22"/>
        </w:rPr>
        <w:t xml:space="preserve"> for fag/emner</w:t>
      </w:r>
      <w:r w:rsidR="00275390">
        <w:rPr>
          <w:rFonts w:cs="Arial"/>
          <w:sz w:val="22"/>
        </w:rPr>
        <w:t xml:space="preserve"> tilsvarer</w:t>
      </w:r>
      <w:r w:rsidRPr="00AB0154">
        <w:rPr>
          <w:rFonts w:cs="Arial"/>
          <w:sz w:val="22"/>
        </w:rPr>
        <w:t xml:space="preserve"> KDs finansieringskategori for tilbudet. Da håndteres EVU på samme måte som all ordinær (gratis) utdanning. Unntaksvis kan et emne kreve mye mindre ressurser enn gjennomsnittet for normal utdanning. Da kan den nye TDI-modellen (se under) benyttes i stedet for å beregne kostnader. Begrunnelse for slike unntak må dokumenteres for å sikre at vi ikke undergraver kategoriene i finansieringssystemet.</w:t>
      </w:r>
    </w:p>
    <w:p w:rsidR="00877A3F" w:rsidRPr="00AB0154" w:rsidRDefault="00877A3F" w:rsidP="00877A3F">
      <w:pPr>
        <w:spacing w:after="100" w:afterAutospacing="1"/>
        <w:ind w:left="0"/>
        <w:rPr>
          <w:rFonts w:cs="Arial"/>
          <w:sz w:val="22"/>
        </w:rPr>
      </w:pPr>
      <w:r w:rsidRPr="00AB0154">
        <w:rPr>
          <w:rFonts w:cs="Arial"/>
          <w:sz w:val="22"/>
        </w:rPr>
        <w:t>Kostnader for EVU beregnes altså slik:</w:t>
      </w:r>
    </w:p>
    <w:p w:rsidR="00877A3F" w:rsidRPr="00AB0154" w:rsidRDefault="00877A3F" w:rsidP="00877A3F">
      <w:pPr>
        <w:pStyle w:val="Listeavsnitt"/>
        <w:numPr>
          <w:ilvl w:val="0"/>
          <w:numId w:val="8"/>
        </w:numPr>
        <w:spacing w:after="100" w:afterAutospacing="1"/>
        <w:rPr>
          <w:rFonts w:ascii="Arial" w:hAnsi="Arial" w:cs="Arial"/>
          <w:sz w:val="22"/>
        </w:rPr>
      </w:pPr>
      <w:r w:rsidRPr="00AB0154">
        <w:rPr>
          <w:rFonts w:ascii="Arial" w:hAnsi="Arial" w:cs="Arial"/>
          <w:sz w:val="22"/>
        </w:rPr>
        <w:t xml:space="preserve">For </w:t>
      </w:r>
      <w:r w:rsidRPr="00AB0154">
        <w:rPr>
          <w:rFonts w:ascii="Arial" w:hAnsi="Arial" w:cs="Arial"/>
          <w:i/>
          <w:sz w:val="22"/>
        </w:rPr>
        <w:t>ikke-økonomisk aktivitet</w:t>
      </w:r>
      <w:r w:rsidRPr="00AB0154">
        <w:rPr>
          <w:rFonts w:ascii="Arial" w:hAnsi="Arial" w:cs="Arial"/>
          <w:sz w:val="22"/>
        </w:rPr>
        <w:t xml:space="preserve"> benyttes </w:t>
      </w:r>
      <w:hyperlink r:id="rId17" w:history="1">
        <w:r w:rsidRPr="00AB0154">
          <w:rPr>
            <w:rStyle w:val="Hyperkobling"/>
            <w:rFonts w:ascii="Arial" w:hAnsi="Arial" w:cs="Arial"/>
            <w:sz w:val="22"/>
          </w:rPr>
          <w:t>KDs finansieringskategori</w:t>
        </w:r>
      </w:hyperlink>
      <w:r w:rsidRPr="00AB0154">
        <w:rPr>
          <w:rFonts w:ascii="Arial" w:hAnsi="Arial" w:cs="Arial"/>
          <w:sz w:val="22"/>
        </w:rPr>
        <w:t xml:space="preserve"> som anslag for kostnader.</w:t>
      </w:r>
    </w:p>
    <w:p w:rsidR="00877A3F" w:rsidRPr="00AB0154" w:rsidRDefault="00877A3F" w:rsidP="00877A3F">
      <w:pPr>
        <w:pStyle w:val="Listeavsnitt"/>
        <w:numPr>
          <w:ilvl w:val="0"/>
          <w:numId w:val="8"/>
        </w:numPr>
        <w:spacing w:after="100" w:afterAutospacing="1"/>
        <w:rPr>
          <w:rFonts w:ascii="Arial" w:hAnsi="Arial" w:cs="Arial"/>
          <w:sz w:val="22"/>
        </w:rPr>
      </w:pPr>
      <w:r w:rsidRPr="00AB0154">
        <w:rPr>
          <w:rFonts w:ascii="Arial" w:hAnsi="Arial" w:cs="Arial"/>
          <w:sz w:val="22"/>
        </w:rPr>
        <w:t xml:space="preserve">For </w:t>
      </w:r>
      <w:r w:rsidRPr="00AB0154">
        <w:rPr>
          <w:rFonts w:ascii="Arial" w:hAnsi="Arial" w:cs="Arial"/>
          <w:i/>
          <w:sz w:val="22"/>
        </w:rPr>
        <w:t>økonomisk aktivitet</w:t>
      </w:r>
      <w:r w:rsidRPr="00AB0154">
        <w:rPr>
          <w:rFonts w:ascii="Arial" w:hAnsi="Arial" w:cs="Arial"/>
          <w:sz w:val="22"/>
        </w:rPr>
        <w:t xml:space="preserve"> benyttes </w:t>
      </w:r>
      <w:hyperlink r:id="rId18" w:history="1">
        <w:r w:rsidRPr="00BF7A9E">
          <w:rPr>
            <w:rStyle w:val="Hyperkobling"/>
            <w:rFonts w:ascii="Arial" w:hAnsi="Arial" w:cs="Arial"/>
            <w:sz w:val="22"/>
          </w:rPr>
          <w:t>TDI-modell</w:t>
        </w:r>
      </w:hyperlink>
      <w:r w:rsidRPr="00AB0154">
        <w:rPr>
          <w:rFonts w:ascii="Arial" w:hAnsi="Arial" w:cs="Arial"/>
          <w:sz w:val="22"/>
        </w:rPr>
        <w:t xml:space="preserve"> for kostnadsberegning for tilbud som </w:t>
      </w:r>
      <w:r w:rsidRPr="00AB0154">
        <w:rPr>
          <w:rFonts w:ascii="Arial" w:hAnsi="Arial" w:cs="Arial"/>
          <w:i/>
          <w:sz w:val="22"/>
        </w:rPr>
        <w:t>ikke gir studiepoeng</w:t>
      </w:r>
      <w:r w:rsidRPr="00AB0154">
        <w:rPr>
          <w:rFonts w:ascii="Arial" w:hAnsi="Arial" w:cs="Arial"/>
          <w:sz w:val="22"/>
        </w:rPr>
        <w:t xml:space="preserve"> (unntak a). For studiepoenggivende </w:t>
      </w:r>
      <w:r w:rsidRPr="00AB0154">
        <w:rPr>
          <w:rFonts w:ascii="Arial" w:hAnsi="Arial" w:cs="Arial"/>
          <w:i/>
          <w:sz w:val="22"/>
        </w:rPr>
        <w:t>økonomisk aktivitet</w:t>
      </w:r>
      <w:r w:rsidRPr="00AB0154">
        <w:rPr>
          <w:rFonts w:ascii="Arial" w:hAnsi="Arial" w:cs="Arial"/>
          <w:sz w:val="22"/>
        </w:rPr>
        <w:t xml:space="preserve"> benyttes KDs finansieringskategori (unntak b,</w:t>
      </w:r>
      <w:r w:rsidR="00A014AE" w:rsidRPr="00AB0154">
        <w:rPr>
          <w:rFonts w:ascii="Arial" w:hAnsi="Arial" w:cs="Arial"/>
          <w:sz w:val="22"/>
        </w:rPr>
        <w:t xml:space="preserve"> </w:t>
      </w:r>
      <w:r w:rsidRPr="00AB0154">
        <w:rPr>
          <w:rFonts w:ascii="Arial" w:hAnsi="Arial" w:cs="Arial"/>
          <w:sz w:val="22"/>
        </w:rPr>
        <w:t>c og d, og oppdragsfinansiert aktivitet).</w:t>
      </w:r>
    </w:p>
    <w:p w:rsidR="006E060E" w:rsidRPr="00AB0154" w:rsidRDefault="00877A3F" w:rsidP="00877A3F">
      <w:pPr>
        <w:spacing w:after="100" w:afterAutospacing="1"/>
        <w:rPr>
          <w:rFonts w:cs="Arial"/>
          <w:sz w:val="22"/>
        </w:rPr>
      </w:pPr>
      <w:r w:rsidRPr="00AB0154">
        <w:rPr>
          <w:rFonts w:cs="Arial"/>
          <w:sz w:val="22"/>
        </w:rPr>
        <w:lastRenderedPageBreak/>
        <w:t xml:space="preserve">I presentasjonen av UHR-rapporten ved </w:t>
      </w:r>
      <w:r w:rsidR="006E060E" w:rsidRPr="00AB0154">
        <w:rPr>
          <w:rFonts w:cs="Arial"/>
          <w:sz w:val="22"/>
        </w:rPr>
        <w:t>NTNU</w:t>
      </w:r>
      <w:r w:rsidRPr="00AB0154">
        <w:rPr>
          <w:rFonts w:cs="Arial"/>
          <w:sz w:val="22"/>
        </w:rPr>
        <w:t>,</w:t>
      </w:r>
      <w:r w:rsidR="006E060E" w:rsidRPr="00AB0154">
        <w:rPr>
          <w:rFonts w:cs="Arial"/>
          <w:sz w:val="22"/>
        </w:rPr>
        <w:t xml:space="preserve"> har vi benyttet figuren under for å vise klassifisering av</w:t>
      </w:r>
      <w:r w:rsidR="00FF33FE" w:rsidRPr="00AB0154">
        <w:rPr>
          <w:rFonts w:cs="Arial"/>
          <w:sz w:val="22"/>
        </w:rPr>
        <w:t xml:space="preserve"> EVU også kalt «</w:t>
      </w:r>
      <w:r w:rsidR="00EB4DEF" w:rsidRPr="00AB0154">
        <w:rPr>
          <w:rFonts w:cs="Arial"/>
          <w:sz w:val="22"/>
        </w:rPr>
        <w:t>Livslang læring</w:t>
      </w:r>
      <w:r w:rsidR="00FF33FE" w:rsidRPr="00AB0154">
        <w:rPr>
          <w:rFonts w:cs="Arial"/>
          <w:sz w:val="22"/>
        </w:rPr>
        <w:t>»,</w:t>
      </w:r>
      <w:r w:rsidR="00EB4DEF" w:rsidRPr="00AB0154">
        <w:rPr>
          <w:rFonts w:cs="Arial"/>
          <w:sz w:val="22"/>
        </w:rPr>
        <w:t xml:space="preserve"> </w:t>
      </w:r>
      <w:r w:rsidR="006E060E" w:rsidRPr="00AB0154">
        <w:rPr>
          <w:rFonts w:cs="Arial"/>
          <w:sz w:val="22"/>
        </w:rPr>
        <w:t xml:space="preserve">i </w:t>
      </w:r>
      <w:r w:rsidR="006E060E" w:rsidRPr="00AB0154">
        <w:rPr>
          <w:rFonts w:cs="Arial"/>
          <w:i/>
          <w:sz w:val="22"/>
        </w:rPr>
        <w:t>etterutdanning</w:t>
      </w:r>
      <w:r w:rsidR="006E060E" w:rsidRPr="00AB0154">
        <w:rPr>
          <w:rFonts w:cs="Arial"/>
          <w:sz w:val="22"/>
        </w:rPr>
        <w:t xml:space="preserve"> og </w:t>
      </w:r>
      <w:r w:rsidR="006E060E" w:rsidRPr="00AB0154">
        <w:rPr>
          <w:rFonts w:cs="Arial"/>
          <w:i/>
          <w:sz w:val="22"/>
        </w:rPr>
        <w:t>videreutdanning</w:t>
      </w:r>
      <w:r w:rsidR="006E060E" w:rsidRPr="00AB0154">
        <w:rPr>
          <w:rFonts w:cs="Arial"/>
          <w:sz w:val="22"/>
        </w:rPr>
        <w:t xml:space="preserve">, </w:t>
      </w:r>
      <w:r w:rsidR="00EF5314" w:rsidRPr="00AB0154">
        <w:rPr>
          <w:rFonts w:cs="Arial"/>
          <w:sz w:val="22"/>
        </w:rPr>
        <w:t xml:space="preserve">valg av </w:t>
      </w:r>
      <w:r w:rsidR="006E060E" w:rsidRPr="00AB0154">
        <w:rPr>
          <w:rFonts w:cs="Arial"/>
          <w:sz w:val="22"/>
        </w:rPr>
        <w:t>unntak i egenbetalingsforskriften</w:t>
      </w:r>
      <w:r w:rsidR="00EB4DEF" w:rsidRPr="00AB0154">
        <w:rPr>
          <w:rFonts w:cs="Arial"/>
          <w:sz w:val="22"/>
        </w:rPr>
        <w:t xml:space="preserve"> (a-d) eller gratis tilbud</w:t>
      </w:r>
      <w:r w:rsidR="006E060E" w:rsidRPr="00AB0154">
        <w:rPr>
          <w:rFonts w:cs="Arial"/>
          <w:sz w:val="22"/>
        </w:rPr>
        <w:t xml:space="preserve">, </w:t>
      </w:r>
      <w:r w:rsidR="00EB4DEF" w:rsidRPr="00AB0154">
        <w:rPr>
          <w:rFonts w:cs="Arial"/>
          <w:sz w:val="22"/>
        </w:rPr>
        <w:t xml:space="preserve">klassifisering av </w:t>
      </w:r>
      <w:r w:rsidR="006E060E" w:rsidRPr="00AB0154">
        <w:rPr>
          <w:rFonts w:cs="Arial"/>
          <w:i/>
          <w:sz w:val="22"/>
        </w:rPr>
        <w:t>økonomisk</w:t>
      </w:r>
      <w:r w:rsidR="006E060E" w:rsidRPr="00AB0154">
        <w:rPr>
          <w:rFonts w:cs="Arial"/>
          <w:sz w:val="22"/>
        </w:rPr>
        <w:t xml:space="preserve"> og </w:t>
      </w:r>
      <w:r w:rsidR="006E060E" w:rsidRPr="00AB0154">
        <w:rPr>
          <w:rFonts w:cs="Arial"/>
          <w:i/>
          <w:sz w:val="22"/>
        </w:rPr>
        <w:t>ikke-økonomisk aktivitet</w:t>
      </w:r>
      <w:r w:rsidR="00EB4DEF" w:rsidRPr="00AB0154">
        <w:rPr>
          <w:rFonts w:cs="Arial"/>
          <w:sz w:val="22"/>
        </w:rPr>
        <w:t xml:space="preserve"> og hvilke konsekvenser det har for </w:t>
      </w:r>
      <w:r w:rsidR="00EB4DEF" w:rsidRPr="00AB0154">
        <w:rPr>
          <w:rFonts w:cs="Arial"/>
          <w:i/>
          <w:sz w:val="22"/>
        </w:rPr>
        <w:t xml:space="preserve">egenbetalingsprosent </w:t>
      </w:r>
      <w:r w:rsidR="00EB4DEF" w:rsidRPr="00AB0154">
        <w:rPr>
          <w:rFonts w:cs="Arial"/>
          <w:sz w:val="22"/>
        </w:rPr>
        <w:t>(studentbetaling).</w:t>
      </w:r>
    </w:p>
    <w:p w:rsidR="006E060E" w:rsidRDefault="006E060E" w:rsidP="0062155A">
      <w:pPr>
        <w:spacing w:after="100" w:afterAutospacing="1"/>
        <w:ind w:left="0" w:right="0"/>
        <w:rPr>
          <w:i/>
        </w:rPr>
      </w:pPr>
      <w:r>
        <w:rPr>
          <w:noProof/>
          <w:lang w:eastAsia="nb-NO"/>
        </w:rPr>
        <w:drawing>
          <wp:inline distT="0" distB="0" distL="0" distR="0" wp14:anchorId="6CB2CE47" wp14:editId="54BE57C4">
            <wp:extent cx="6228080" cy="3808730"/>
            <wp:effectExtent l="0" t="0" r="127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28080" cy="3808730"/>
                    </a:xfrm>
                    <a:prstGeom prst="rect">
                      <a:avLst/>
                    </a:prstGeom>
                  </pic:spPr>
                </pic:pic>
              </a:graphicData>
            </a:graphic>
          </wp:inline>
        </w:drawing>
      </w:r>
    </w:p>
    <w:p w:rsidR="00CB11BE" w:rsidRPr="00AB0154" w:rsidRDefault="0062155A" w:rsidP="00A12F17">
      <w:pPr>
        <w:spacing w:after="100" w:afterAutospacing="1"/>
        <w:ind w:left="0" w:right="0"/>
        <w:rPr>
          <w:sz w:val="22"/>
        </w:rPr>
      </w:pPr>
      <w:r w:rsidRPr="00AB0154">
        <w:rPr>
          <w:i/>
          <w:sz w:val="22"/>
        </w:rPr>
        <w:t>Reitan</w:t>
      </w:r>
      <w:r w:rsidR="0061778C" w:rsidRPr="00AB0154">
        <w:rPr>
          <w:i/>
          <w:sz w:val="22"/>
        </w:rPr>
        <w:t>-</w:t>
      </w:r>
      <w:r w:rsidRPr="00AB0154">
        <w:rPr>
          <w:i/>
          <w:sz w:val="22"/>
        </w:rPr>
        <w:t>utvalget</w:t>
      </w:r>
      <w:r w:rsidR="00FF33FE" w:rsidRPr="00AB0154">
        <w:rPr>
          <w:i/>
          <w:sz w:val="22"/>
        </w:rPr>
        <w:t xml:space="preserve">: </w:t>
      </w:r>
      <w:r w:rsidR="004E20C8" w:rsidRPr="00AB0154">
        <w:rPr>
          <w:sz w:val="22"/>
        </w:rPr>
        <w:t>NTNU har i etterkant av UHR-rapporten stilt noen spørsmål til Kunnskapsdepartementet for å få utdypet reglene for EVU som bidrags- og oppdragsfinansiert aktivitet (BOA)</w:t>
      </w:r>
      <w:r w:rsidR="00901A97" w:rsidRPr="00AB0154">
        <w:rPr>
          <w:sz w:val="22"/>
        </w:rPr>
        <w:t xml:space="preserve"> som reguleres av BOA-regelverket (</w:t>
      </w:r>
      <w:hyperlink r:id="rId20" w:history="1">
        <w:r w:rsidR="00901A97" w:rsidRPr="00AB0154">
          <w:rPr>
            <w:rStyle w:val="Hyperkobling"/>
            <w:sz w:val="22"/>
          </w:rPr>
          <w:t>rundskriv f-07-13</w:t>
        </w:r>
      </w:hyperlink>
      <w:r w:rsidR="00901A97" w:rsidRPr="00AB0154">
        <w:rPr>
          <w:sz w:val="22"/>
        </w:rPr>
        <w:t>)</w:t>
      </w:r>
      <w:r w:rsidR="00EB4DEF" w:rsidRPr="00AB0154">
        <w:rPr>
          <w:sz w:val="22"/>
        </w:rPr>
        <w:t xml:space="preserve">.  </w:t>
      </w:r>
      <w:r w:rsidR="00A33158" w:rsidRPr="00AB0154">
        <w:rPr>
          <w:sz w:val="22"/>
        </w:rPr>
        <w:t>Svarene e</w:t>
      </w:r>
      <w:r w:rsidR="004E20C8" w:rsidRPr="00AB0154">
        <w:rPr>
          <w:sz w:val="22"/>
        </w:rPr>
        <w:t xml:space="preserve">r </w:t>
      </w:r>
      <w:r w:rsidR="00A33158" w:rsidRPr="00AB0154">
        <w:rPr>
          <w:sz w:val="22"/>
        </w:rPr>
        <w:t>gjengitt</w:t>
      </w:r>
      <w:r w:rsidR="00901A97" w:rsidRPr="00AB0154">
        <w:rPr>
          <w:sz w:val="22"/>
        </w:rPr>
        <w:t xml:space="preserve"> </w:t>
      </w:r>
      <w:r w:rsidR="004E20C8" w:rsidRPr="00AB0154">
        <w:rPr>
          <w:sz w:val="22"/>
        </w:rPr>
        <w:t xml:space="preserve">i </w:t>
      </w:r>
      <w:r w:rsidR="00CB11BE" w:rsidRPr="00AB0154">
        <w:rPr>
          <w:sz w:val="22"/>
        </w:rPr>
        <w:t xml:space="preserve">rapporten fra </w:t>
      </w:r>
      <w:hyperlink r:id="rId21" w:history="1">
        <w:r w:rsidR="00CB11BE" w:rsidRPr="00AB0154">
          <w:rPr>
            <w:rStyle w:val="Hyperkobling"/>
            <w:sz w:val="22"/>
          </w:rPr>
          <w:t>Reitan</w:t>
        </w:r>
        <w:r w:rsidR="0061778C" w:rsidRPr="00AB0154">
          <w:rPr>
            <w:rStyle w:val="Hyperkobling"/>
            <w:sz w:val="22"/>
          </w:rPr>
          <w:t>-</w:t>
        </w:r>
        <w:r w:rsidR="00CB11BE" w:rsidRPr="00AB0154">
          <w:rPr>
            <w:rStyle w:val="Hyperkobling"/>
            <w:sz w:val="22"/>
          </w:rPr>
          <w:t>utvalget</w:t>
        </w:r>
      </w:hyperlink>
      <w:r w:rsidR="00094AAB" w:rsidRPr="00AB0154">
        <w:rPr>
          <w:sz w:val="22"/>
        </w:rPr>
        <w:t xml:space="preserve"> </w:t>
      </w:r>
      <w:r w:rsidR="00CB11BE" w:rsidRPr="00AB0154">
        <w:rPr>
          <w:sz w:val="22"/>
        </w:rPr>
        <w:t xml:space="preserve">i </w:t>
      </w:r>
      <w:r w:rsidR="004E20C8" w:rsidRPr="00AB0154">
        <w:rPr>
          <w:sz w:val="22"/>
        </w:rPr>
        <w:t>kapittel 4.4</w:t>
      </w:r>
      <w:r w:rsidR="0061778C" w:rsidRPr="00AB0154">
        <w:rPr>
          <w:sz w:val="22"/>
        </w:rPr>
        <w:t xml:space="preserve"> som </w:t>
      </w:r>
      <w:r w:rsidR="00430244" w:rsidRPr="00AB0154">
        <w:rPr>
          <w:sz w:val="22"/>
        </w:rPr>
        <w:t>grunnlag for å besvare bestillingen i dette brevet</w:t>
      </w:r>
      <w:r w:rsidR="004E20C8" w:rsidRPr="00AB0154">
        <w:rPr>
          <w:sz w:val="22"/>
        </w:rPr>
        <w:t xml:space="preserve">. </w:t>
      </w:r>
    </w:p>
    <w:p w:rsidR="00A12F17" w:rsidRPr="00AB0154" w:rsidRDefault="004E20C8" w:rsidP="00A12F17">
      <w:pPr>
        <w:spacing w:after="100" w:afterAutospacing="1"/>
        <w:ind w:left="0" w:right="0"/>
        <w:rPr>
          <w:sz w:val="22"/>
        </w:rPr>
      </w:pPr>
      <w:r w:rsidRPr="00AB0154">
        <w:rPr>
          <w:sz w:val="22"/>
        </w:rPr>
        <w:t>Reitan</w:t>
      </w:r>
      <w:r w:rsidR="0061778C" w:rsidRPr="00AB0154">
        <w:rPr>
          <w:sz w:val="22"/>
        </w:rPr>
        <w:t>-</w:t>
      </w:r>
      <w:r w:rsidRPr="00AB0154">
        <w:rPr>
          <w:sz w:val="22"/>
        </w:rPr>
        <w:t>utvalget har også drøftet avgrensning av unntak b) i egenbetalingsforskriften</w:t>
      </w:r>
      <w:r w:rsidR="00901A97" w:rsidRPr="00AB0154">
        <w:rPr>
          <w:sz w:val="22"/>
        </w:rPr>
        <w:t xml:space="preserve">, dvs. </w:t>
      </w:r>
      <w:r w:rsidRPr="00AB0154">
        <w:rPr>
          <w:sz w:val="22"/>
        </w:rPr>
        <w:t>«Fag/emner som normalt ikke er en del av studieprogram som fører fram til grad eller yrkesutdanning» (kapittel 4.5)</w:t>
      </w:r>
      <w:r w:rsidR="00A12F17" w:rsidRPr="00AB0154">
        <w:rPr>
          <w:sz w:val="22"/>
        </w:rPr>
        <w:t>.</w:t>
      </w:r>
      <w:r w:rsidR="00CB11BE" w:rsidRPr="00AB0154">
        <w:rPr>
          <w:sz w:val="22"/>
        </w:rPr>
        <w:t xml:space="preserve"> Denne tolkningen legges til grunn i gjennomgangen av EVU-porteføljen.</w:t>
      </w:r>
    </w:p>
    <w:p w:rsidR="00A33158" w:rsidRPr="00AB0154" w:rsidRDefault="004E20C8" w:rsidP="00A33158">
      <w:pPr>
        <w:spacing w:after="100" w:afterAutospacing="1"/>
        <w:ind w:left="0" w:right="0"/>
        <w:rPr>
          <w:sz w:val="22"/>
        </w:rPr>
      </w:pPr>
      <w:r w:rsidRPr="00AB0154">
        <w:rPr>
          <w:sz w:val="22"/>
        </w:rPr>
        <w:t>Reitan</w:t>
      </w:r>
      <w:r w:rsidR="0061778C" w:rsidRPr="00AB0154">
        <w:rPr>
          <w:sz w:val="22"/>
        </w:rPr>
        <w:t>-</w:t>
      </w:r>
      <w:r w:rsidRPr="00AB0154">
        <w:rPr>
          <w:sz w:val="22"/>
        </w:rPr>
        <w:t xml:space="preserve">utvalget </w:t>
      </w:r>
      <w:r w:rsidR="005C68E6" w:rsidRPr="00AB0154">
        <w:rPr>
          <w:sz w:val="22"/>
        </w:rPr>
        <w:t xml:space="preserve">har </w:t>
      </w:r>
      <w:r w:rsidR="00877A3F" w:rsidRPr="00AB0154">
        <w:rPr>
          <w:sz w:val="22"/>
        </w:rPr>
        <w:t>utviklet 9</w:t>
      </w:r>
      <w:r w:rsidR="005C68E6" w:rsidRPr="00AB0154">
        <w:rPr>
          <w:sz w:val="22"/>
        </w:rPr>
        <w:t xml:space="preserve"> </w:t>
      </w:r>
      <w:r w:rsidR="005C68E6" w:rsidRPr="00AB0154">
        <w:rPr>
          <w:i/>
          <w:sz w:val="22"/>
        </w:rPr>
        <w:t>leveransemodeller</w:t>
      </w:r>
      <w:r w:rsidR="005C68E6" w:rsidRPr="00AB0154">
        <w:rPr>
          <w:sz w:val="22"/>
        </w:rPr>
        <w:t xml:space="preserve"> for </w:t>
      </w:r>
      <w:r w:rsidR="00877A3F" w:rsidRPr="00AB0154">
        <w:rPr>
          <w:sz w:val="22"/>
        </w:rPr>
        <w:t>EVU. 6</w:t>
      </w:r>
      <w:r w:rsidR="00FF33FE" w:rsidRPr="00AB0154">
        <w:rPr>
          <w:sz w:val="22"/>
        </w:rPr>
        <w:t xml:space="preserve"> modeller</w:t>
      </w:r>
      <w:r w:rsidR="00877A3F" w:rsidRPr="00AB0154">
        <w:rPr>
          <w:sz w:val="22"/>
        </w:rPr>
        <w:t xml:space="preserve"> for videreutdanning </w:t>
      </w:r>
      <w:r w:rsidR="005C68E6" w:rsidRPr="00AB0154">
        <w:rPr>
          <w:sz w:val="22"/>
        </w:rPr>
        <w:t xml:space="preserve">og </w:t>
      </w:r>
      <w:r w:rsidR="00877A3F" w:rsidRPr="00AB0154">
        <w:rPr>
          <w:sz w:val="22"/>
        </w:rPr>
        <w:t>3 for</w:t>
      </w:r>
      <w:r w:rsidR="00FF33FE" w:rsidRPr="00AB0154">
        <w:rPr>
          <w:sz w:val="22"/>
        </w:rPr>
        <w:t xml:space="preserve"> etterutdanning</w:t>
      </w:r>
      <w:r w:rsidR="005C68E6" w:rsidRPr="00AB0154">
        <w:rPr>
          <w:sz w:val="22"/>
        </w:rPr>
        <w:t xml:space="preserve">. Disse er beskrevet i </w:t>
      </w:r>
      <w:r w:rsidRPr="00AB0154">
        <w:rPr>
          <w:sz w:val="22"/>
        </w:rPr>
        <w:t>kapittel 5</w:t>
      </w:r>
      <w:r w:rsidR="005C68E6" w:rsidRPr="00AB0154">
        <w:rPr>
          <w:sz w:val="22"/>
        </w:rPr>
        <w:t xml:space="preserve"> i rapport</w:t>
      </w:r>
      <w:r w:rsidR="00CB11BE" w:rsidRPr="00AB0154">
        <w:rPr>
          <w:sz w:val="22"/>
        </w:rPr>
        <w:t>en</w:t>
      </w:r>
      <w:r w:rsidR="005C68E6" w:rsidRPr="00AB0154">
        <w:rPr>
          <w:sz w:val="22"/>
        </w:rPr>
        <w:t xml:space="preserve">. </w:t>
      </w:r>
    </w:p>
    <w:p w:rsidR="004E20C8" w:rsidRPr="00AB0154" w:rsidRDefault="005C68E6" w:rsidP="00A33158">
      <w:pPr>
        <w:spacing w:after="100" w:afterAutospacing="1"/>
        <w:ind w:left="0" w:right="0"/>
        <w:rPr>
          <w:sz w:val="22"/>
        </w:rPr>
      </w:pPr>
      <w:r w:rsidRPr="00AB0154">
        <w:rPr>
          <w:sz w:val="22"/>
        </w:rPr>
        <w:t xml:space="preserve">Hensikten med å lage forslag til leveransemodeller </w:t>
      </w:r>
      <w:r w:rsidR="00E0612F" w:rsidRPr="00AB0154">
        <w:rPr>
          <w:sz w:val="22"/>
        </w:rPr>
        <w:t>har vært</w:t>
      </w:r>
      <w:r w:rsidRPr="00AB0154">
        <w:rPr>
          <w:sz w:val="22"/>
        </w:rPr>
        <w:t xml:space="preserve"> å lette arbeidet med å navigere i regelverkene og gjøre det enklere å klassifisere tilbudet i ikke-økonomisk eller økonomisk aktivitet. Det kan være enklere å gjenkjenne en hensiktsmessig modell enn å konstruere en modell som er i tråd med regelverkene om finansiering.</w:t>
      </w:r>
    </w:p>
    <w:p w:rsidR="00A91078" w:rsidRPr="00AB0154" w:rsidRDefault="00A91078" w:rsidP="004E20C8">
      <w:pPr>
        <w:rPr>
          <w:sz w:val="22"/>
        </w:rPr>
      </w:pPr>
    </w:p>
    <w:p w:rsidR="000545D7" w:rsidRPr="00AB0154" w:rsidRDefault="000545D7" w:rsidP="00AC1895">
      <w:pPr>
        <w:rPr>
          <w:b/>
          <w:sz w:val="22"/>
        </w:rPr>
      </w:pPr>
      <w:r w:rsidRPr="00AB0154">
        <w:rPr>
          <w:b/>
          <w:sz w:val="22"/>
        </w:rPr>
        <w:t>Bestilling</w:t>
      </w:r>
      <w:r w:rsidR="00FF33FE" w:rsidRPr="00AB0154">
        <w:rPr>
          <w:b/>
          <w:sz w:val="22"/>
        </w:rPr>
        <w:t xml:space="preserve"> – hva skal gjøres</w:t>
      </w:r>
      <w:r w:rsidR="00CB11BE" w:rsidRPr="00AB0154">
        <w:rPr>
          <w:b/>
          <w:sz w:val="22"/>
        </w:rPr>
        <w:t>?</w:t>
      </w:r>
    </w:p>
    <w:p w:rsidR="00AC1895" w:rsidRPr="00AB0154" w:rsidRDefault="00AC1895" w:rsidP="00AC1895">
      <w:pPr>
        <w:rPr>
          <w:sz w:val="22"/>
        </w:rPr>
      </w:pPr>
      <w:r w:rsidRPr="00AB0154">
        <w:rPr>
          <w:sz w:val="22"/>
        </w:rPr>
        <w:t>Vi ber fakultetene gå gjennom sine</w:t>
      </w:r>
      <w:r w:rsidR="009B2BA1" w:rsidRPr="00AB0154">
        <w:rPr>
          <w:sz w:val="22"/>
        </w:rPr>
        <w:t xml:space="preserve"> EVU-tilbud</w:t>
      </w:r>
      <w:r w:rsidR="00E0612F" w:rsidRPr="00AB0154">
        <w:rPr>
          <w:sz w:val="22"/>
        </w:rPr>
        <w:t>, både videreutdanning</w:t>
      </w:r>
      <w:r w:rsidR="001B156C" w:rsidRPr="00AB0154">
        <w:rPr>
          <w:sz w:val="22"/>
        </w:rPr>
        <w:t xml:space="preserve"> (</w:t>
      </w:r>
      <w:r w:rsidR="001B156C" w:rsidRPr="00AB0154">
        <w:rPr>
          <w:rFonts w:cs="Arial"/>
          <w:sz w:val="22"/>
          <w:lang w:eastAsia="nb-NO"/>
        </w:rPr>
        <w:t>i vedlagte regneark)</w:t>
      </w:r>
      <w:r w:rsidR="000545D7" w:rsidRPr="00AB0154">
        <w:rPr>
          <w:sz w:val="22"/>
        </w:rPr>
        <w:t xml:space="preserve"> </w:t>
      </w:r>
      <w:r w:rsidR="009B2BA1" w:rsidRPr="00AB0154">
        <w:rPr>
          <w:sz w:val="22"/>
        </w:rPr>
        <w:t>og</w:t>
      </w:r>
      <w:r w:rsidR="00E0612F" w:rsidRPr="00AB0154">
        <w:rPr>
          <w:sz w:val="22"/>
        </w:rPr>
        <w:t xml:space="preserve"> etterutdanning (kurs og lignende som ikke rapporteres i FS), og</w:t>
      </w:r>
    </w:p>
    <w:p w:rsidR="00F11FD3" w:rsidRPr="00AB0154" w:rsidRDefault="00F11FD3" w:rsidP="00D7242D">
      <w:pPr>
        <w:pStyle w:val="Listeavsnitt"/>
        <w:numPr>
          <w:ilvl w:val="0"/>
          <w:numId w:val="10"/>
        </w:numPr>
        <w:rPr>
          <w:rFonts w:ascii="Arial" w:hAnsi="Arial" w:cs="Arial"/>
          <w:sz w:val="22"/>
        </w:rPr>
      </w:pPr>
      <w:r w:rsidRPr="00AB0154">
        <w:rPr>
          <w:rFonts w:ascii="Arial" w:hAnsi="Arial" w:cs="Arial"/>
          <w:sz w:val="22"/>
        </w:rPr>
        <w:t xml:space="preserve">Vurdere om tilbudene som det tas egenbetaling for, er </w:t>
      </w:r>
      <w:r w:rsidRPr="0024396A">
        <w:rPr>
          <w:rFonts w:ascii="Arial" w:hAnsi="Arial" w:cs="Arial"/>
          <w:i/>
          <w:sz w:val="22"/>
        </w:rPr>
        <w:t>innenfor unntakene</w:t>
      </w:r>
      <w:r w:rsidRPr="00AB0154">
        <w:rPr>
          <w:rFonts w:ascii="Arial" w:hAnsi="Arial" w:cs="Arial"/>
          <w:sz w:val="22"/>
        </w:rPr>
        <w:t xml:space="preserve"> i egenbetalingsforskriften</w:t>
      </w:r>
      <w:r w:rsidR="00A91078" w:rsidRPr="00AB0154">
        <w:rPr>
          <w:rFonts w:ascii="Arial" w:hAnsi="Arial" w:cs="Arial"/>
          <w:sz w:val="22"/>
        </w:rPr>
        <w:t xml:space="preserve"> a-d (se tabell ove</w:t>
      </w:r>
      <w:r w:rsidR="00877A3F" w:rsidRPr="00AB0154">
        <w:rPr>
          <w:rFonts w:ascii="Arial" w:hAnsi="Arial" w:cs="Arial"/>
          <w:sz w:val="22"/>
        </w:rPr>
        <w:t>nfor</w:t>
      </w:r>
      <w:r w:rsidR="00A91078" w:rsidRPr="00AB0154">
        <w:rPr>
          <w:rFonts w:ascii="Arial" w:hAnsi="Arial" w:cs="Arial"/>
          <w:sz w:val="22"/>
        </w:rPr>
        <w:t>)</w:t>
      </w:r>
      <w:r w:rsidR="00AF3BC7" w:rsidRPr="00AB0154">
        <w:rPr>
          <w:rFonts w:ascii="Arial" w:hAnsi="Arial" w:cs="Arial"/>
          <w:sz w:val="22"/>
        </w:rPr>
        <w:t>. Vurder spesielt emner under unntak b.</w:t>
      </w:r>
    </w:p>
    <w:p w:rsidR="00F11FD3" w:rsidRPr="00AB0154" w:rsidRDefault="00F11FD3" w:rsidP="00D7242D">
      <w:pPr>
        <w:pStyle w:val="Listeavsnitt"/>
        <w:numPr>
          <w:ilvl w:val="0"/>
          <w:numId w:val="10"/>
        </w:numPr>
        <w:rPr>
          <w:rFonts w:ascii="Arial" w:hAnsi="Arial" w:cs="Arial"/>
          <w:sz w:val="22"/>
        </w:rPr>
      </w:pPr>
      <w:r w:rsidRPr="00AB0154">
        <w:rPr>
          <w:rFonts w:ascii="Arial" w:hAnsi="Arial" w:cs="Arial"/>
          <w:sz w:val="22"/>
        </w:rPr>
        <w:t xml:space="preserve">Vurdere om aktiviteten </w:t>
      </w:r>
      <w:r w:rsidR="00A33158" w:rsidRPr="0024396A">
        <w:rPr>
          <w:rFonts w:ascii="Arial" w:hAnsi="Arial" w:cs="Arial"/>
          <w:i/>
          <w:sz w:val="22"/>
        </w:rPr>
        <w:t>som er innenfor unntakene</w:t>
      </w:r>
      <w:r w:rsidR="00CB11BE" w:rsidRPr="00AB0154">
        <w:rPr>
          <w:rFonts w:ascii="Arial" w:hAnsi="Arial" w:cs="Arial"/>
          <w:sz w:val="22"/>
        </w:rPr>
        <w:t>,</w:t>
      </w:r>
      <w:r w:rsidR="00A33158" w:rsidRPr="00AB0154">
        <w:rPr>
          <w:rFonts w:ascii="Arial" w:hAnsi="Arial" w:cs="Arial"/>
          <w:sz w:val="22"/>
        </w:rPr>
        <w:t xml:space="preserve"> </w:t>
      </w:r>
      <w:r w:rsidRPr="00AB0154">
        <w:rPr>
          <w:rFonts w:ascii="Arial" w:hAnsi="Arial" w:cs="Arial"/>
          <w:sz w:val="22"/>
        </w:rPr>
        <w:t xml:space="preserve">er </w:t>
      </w:r>
      <w:r w:rsidRPr="00AB0154">
        <w:rPr>
          <w:rFonts w:ascii="Arial" w:hAnsi="Arial" w:cs="Arial"/>
          <w:i/>
          <w:sz w:val="22"/>
        </w:rPr>
        <w:t>økonomisk</w:t>
      </w:r>
      <w:r w:rsidRPr="00AB0154">
        <w:rPr>
          <w:rFonts w:ascii="Arial" w:hAnsi="Arial" w:cs="Arial"/>
          <w:sz w:val="22"/>
        </w:rPr>
        <w:t xml:space="preserve"> eller </w:t>
      </w:r>
      <w:r w:rsidRPr="00AB0154">
        <w:rPr>
          <w:rFonts w:ascii="Arial" w:hAnsi="Arial" w:cs="Arial"/>
          <w:i/>
          <w:sz w:val="22"/>
        </w:rPr>
        <w:t>ikke-økonomisk aktivitet</w:t>
      </w:r>
      <w:r w:rsidR="00A91078" w:rsidRPr="00AB0154">
        <w:rPr>
          <w:rFonts w:ascii="Arial" w:hAnsi="Arial" w:cs="Arial"/>
          <w:i/>
          <w:sz w:val="22"/>
        </w:rPr>
        <w:t xml:space="preserve"> </w:t>
      </w:r>
      <w:r w:rsidR="00A91078" w:rsidRPr="00AB0154">
        <w:rPr>
          <w:rFonts w:ascii="Arial" w:hAnsi="Arial" w:cs="Arial"/>
          <w:sz w:val="22"/>
        </w:rPr>
        <w:t>(se tabell</w:t>
      </w:r>
      <w:r w:rsidR="00877A3F" w:rsidRPr="00AB0154">
        <w:rPr>
          <w:rFonts w:ascii="Arial" w:hAnsi="Arial" w:cs="Arial"/>
          <w:sz w:val="22"/>
        </w:rPr>
        <w:t xml:space="preserve"> ovenfor</w:t>
      </w:r>
      <w:r w:rsidR="00A91078" w:rsidRPr="00AB0154">
        <w:rPr>
          <w:rFonts w:ascii="Arial" w:hAnsi="Arial" w:cs="Arial"/>
          <w:sz w:val="22"/>
        </w:rPr>
        <w:t>)</w:t>
      </w:r>
      <w:r w:rsidR="00430244" w:rsidRPr="00AB0154">
        <w:rPr>
          <w:rFonts w:ascii="Arial" w:hAnsi="Arial" w:cs="Arial"/>
          <w:sz w:val="22"/>
        </w:rPr>
        <w:t>.</w:t>
      </w:r>
    </w:p>
    <w:p w:rsidR="00F11FD3" w:rsidRPr="00AB0154" w:rsidRDefault="00F11FD3" w:rsidP="00D7242D">
      <w:pPr>
        <w:pStyle w:val="Listeavsnitt"/>
        <w:numPr>
          <w:ilvl w:val="0"/>
          <w:numId w:val="10"/>
        </w:numPr>
        <w:rPr>
          <w:rFonts w:ascii="Arial" w:hAnsi="Arial" w:cs="Arial"/>
          <w:sz w:val="22"/>
        </w:rPr>
      </w:pPr>
      <w:r w:rsidRPr="00AB0154">
        <w:rPr>
          <w:rFonts w:ascii="Arial" w:hAnsi="Arial" w:cs="Arial"/>
          <w:sz w:val="22"/>
        </w:rPr>
        <w:t xml:space="preserve">Sikre at </w:t>
      </w:r>
      <w:r w:rsidRPr="0024396A">
        <w:rPr>
          <w:rFonts w:ascii="Arial" w:hAnsi="Arial" w:cs="Arial"/>
          <w:i/>
          <w:sz w:val="22"/>
        </w:rPr>
        <w:t>egenbetaling</w:t>
      </w:r>
      <w:r w:rsidR="00A76734" w:rsidRPr="0024396A">
        <w:rPr>
          <w:rFonts w:ascii="Arial" w:hAnsi="Arial" w:cs="Arial"/>
          <w:i/>
          <w:sz w:val="22"/>
        </w:rPr>
        <w:t xml:space="preserve"> </w:t>
      </w:r>
      <w:r w:rsidR="00496581" w:rsidRPr="0024396A">
        <w:rPr>
          <w:rFonts w:ascii="Arial" w:hAnsi="Arial" w:cs="Arial"/>
          <w:i/>
          <w:sz w:val="22"/>
        </w:rPr>
        <w:t xml:space="preserve">ikke </w:t>
      </w:r>
      <w:r w:rsidRPr="0024396A">
        <w:rPr>
          <w:rFonts w:ascii="Arial" w:hAnsi="Arial" w:cs="Arial"/>
          <w:i/>
          <w:sz w:val="22"/>
        </w:rPr>
        <w:t>overstiger 49 % av kostnadene</w:t>
      </w:r>
      <w:r w:rsidR="00C82209">
        <w:rPr>
          <w:rFonts w:ascii="Arial" w:hAnsi="Arial" w:cs="Arial"/>
          <w:sz w:val="22"/>
        </w:rPr>
        <w:t xml:space="preserve"> </w:t>
      </w:r>
      <w:r w:rsidR="004119E9">
        <w:rPr>
          <w:rFonts w:ascii="Arial" w:hAnsi="Arial" w:cs="Arial"/>
          <w:sz w:val="22"/>
        </w:rPr>
        <w:t>(basert på KDs finansieringskategorier)</w:t>
      </w:r>
      <w:r w:rsidRPr="00AB0154">
        <w:rPr>
          <w:rFonts w:ascii="Arial" w:hAnsi="Arial" w:cs="Arial"/>
          <w:sz w:val="22"/>
        </w:rPr>
        <w:t xml:space="preserve"> for ikke-økonomisk aktivitet (dvs. egenfinansiering må være minst 51 %)</w:t>
      </w:r>
      <w:r w:rsidR="00094AAB" w:rsidRPr="00AB0154">
        <w:rPr>
          <w:rFonts w:ascii="Arial" w:hAnsi="Arial" w:cs="Arial"/>
          <w:sz w:val="22"/>
        </w:rPr>
        <w:t>. Dette gjelder unntak b og c i egenbetalingsforskriften</w:t>
      </w:r>
      <w:r w:rsidR="00A76734">
        <w:rPr>
          <w:rFonts w:ascii="Arial" w:hAnsi="Arial" w:cs="Arial"/>
          <w:sz w:val="22"/>
        </w:rPr>
        <w:t>. For nye tilbud implementeres riktig egenbetaling fra 15. mai og for eksisterende tilbud implementeres riktig egenbetaling senest høsten 2020.</w:t>
      </w:r>
    </w:p>
    <w:p w:rsidR="00A76734" w:rsidRPr="00A76734" w:rsidRDefault="00F11FD3" w:rsidP="003A558A">
      <w:pPr>
        <w:pStyle w:val="Listeavsnitt"/>
        <w:numPr>
          <w:ilvl w:val="0"/>
          <w:numId w:val="10"/>
        </w:numPr>
        <w:rPr>
          <w:rFonts w:ascii="Arial" w:hAnsi="Arial" w:cs="Arial"/>
          <w:sz w:val="22"/>
        </w:rPr>
      </w:pPr>
      <w:r w:rsidRPr="00A76734">
        <w:rPr>
          <w:rFonts w:ascii="Arial" w:hAnsi="Arial" w:cs="Arial"/>
          <w:sz w:val="22"/>
        </w:rPr>
        <w:t xml:space="preserve">Sikre at </w:t>
      </w:r>
      <w:r w:rsidRPr="0024396A">
        <w:rPr>
          <w:rFonts w:ascii="Arial" w:hAnsi="Arial" w:cs="Arial"/>
          <w:i/>
          <w:sz w:val="22"/>
        </w:rPr>
        <w:t>egenbetalingen dekker 100 % av kostnadene pluss fortjeneste for tilbud som er oppgitt å være 100 % eksternfinansiert, dvs. økonomisk aktivitet</w:t>
      </w:r>
      <w:r w:rsidRPr="00A76734">
        <w:rPr>
          <w:rFonts w:ascii="Arial" w:hAnsi="Arial" w:cs="Arial"/>
          <w:sz w:val="22"/>
        </w:rPr>
        <w:t xml:space="preserve">. </w:t>
      </w:r>
      <w:r w:rsidR="00094AAB" w:rsidRPr="00A76734">
        <w:rPr>
          <w:rFonts w:ascii="Arial" w:hAnsi="Arial" w:cs="Arial"/>
          <w:sz w:val="22"/>
        </w:rPr>
        <w:t xml:space="preserve">Dette gjelder </w:t>
      </w:r>
      <w:r w:rsidR="00AE16A7" w:rsidRPr="00A76734">
        <w:rPr>
          <w:rFonts w:ascii="Arial" w:hAnsi="Arial" w:cs="Arial"/>
          <w:sz w:val="22"/>
        </w:rPr>
        <w:t xml:space="preserve">for </w:t>
      </w:r>
      <w:r w:rsidR="00094AAB" w:rsidRPr="00A76734">
        <w:rPr>
          <w:rFonts w:ascii="Arial" w:hAnsi="Arial" w:cs="Arial"/>
          <w:sz w:val="22"/>
        </w:rPr>
        <w:t>både unntak a</w:t>
      </w:r>
      <w:r w:rsidR="00CD25C5" w:rsidRPr="00A76734">
        <w:rPr>
          <w:rFonts w:ascii="Arial" w:hAnsi="Arial" w:cs="Arial"/>
          <w:sz w:val="22"/>
        </w:rPr>
        <w:t>, b, c</w:t>
      </w:r>
      <w:r w:rsidR="00094AAB" w:rsidRPr="00A76734">
        <w:rPr>
          <w:rFonts w:ascii="Arial" w:hAnsi="Arial" w:cs="Arial"/>
          <w:sz w:val="22"/>
        </w:rPr>
        <w:t xml:space="preserve"> og d</w:t>
      </w:r>
      <w:r w:rsidR="00C82209" w:rsidRPr="00A76734">
        <w:rPr>
          <w:rFonts w:ascii="Arial" w:hAnsi="Arial" w:cs="Arial"/>
          <w:sz w:val="22"/>
        </w:rPr>
        <w:t xml:space="preserve"> i egenbetalingsforskriften og </w:t>
      </w:r>
      <w:r w:rsidR="00AE16A7" w:rsidRPr="00A76734">
        <w:rPr>
          <w:rFonts w:ascii="Arial" w:hAnsi="Arial" w:cs="Arial"/>
          <w:sz w:val="22"/>
        </w:rPr>
        <w:t xml:space="preserve">for </w:t>
      </w:r>
      <w:r w:rsidR="00094AAB" w:rsidRPr="00A76734">
        <w:rPr>
          <w:rFonts w:ascii="Arial" w:hAnsi="Arial" w:cs="Arial"/>
          <w:sz w:val="22"/>
        </w:rPr>
        <w:t>oppdragsfinansiert</w:t>
      </w:r>
      <w:r w:rsidR="00A76734" w:rsidRPr="00A76734">
        <w:rPr>
          <w:rFonts w:ascii="Arial" w:hAnsi="Arial" w:cs="Arial"/>
          <w:sz w:val="22"/>
        </w:rPr>
        <w:t xml:space="preserve"> utdanning.</w:t>
      </w:r>
      <w:r w:rsidR="00A76734">
        <w:rPr>
          <w:rFonts w:ascii="Arial" w:hAnsi="Arial" w:cs="Arial"/>
          <w:sz w:val="22"/>
        </w:rPr>
        <w:t xml:space="preserve"> </w:t>
      </w:r>
      <w:r w:rsidR="00A76734" w:rsidRPr="00A76734">
        <w:rPr>
          <w:rFonts w:ascii="Arial" w:hAnsi="Arial" w:cs="Arial"/>
          <w:sz w:val="22"/>
        </w:rPr>
        <w:t>For nye tilbud implementeres riktig egenbetaling fra 15. mai og for eksisterende tilbud implementeres riktig egenbetaling senest høsten 2020.</w:t>
      </w:r>
    </w:p>
    <w:p w:rsidR="00A76734" w:rsidRPr="00A76734" w:rsidRDefault="00A76734" w:rsidP="00A76734">
      <w:pPr>
        <w:rPr>
          <w:rFonts w:cs="Arial"/>
          <w:sz w:val="22"/>
        </w:rPr>
      </w:pPr>
    </w:p>
    <w:p w:rsidR="00A33158" w:rsidRPr="00AB0154" w:rsidRDefault="001B156C" w:rsidP="00A33158">
      <w:pPr>
        <w:rPr>
          <w:rFonts w:cs="Arial"/>
          <w:sz w:val="22"/>
        </w:rPr>
      </w:pPr>
      <w:r w:rsidRPr="00AB0154">
        <w:rPr>
          <w:rFonts w:cs="Arial"/>
          <w:sz w:val="22"/>
        </w:rPr>
        <w:t>Fakultetene må v</w:t>
      </w:r>
      <w:r w:rsidR="00AC1895" w:rsidRPr="00AB0154">
        <w:rPr>
          <w:rFonts w:cs="Arial"/>
          <w:sz w:val="22"/>
        </w:rPr>
        <w:t>urdere alternative leveransemodeller for tilbud som ikke kan videreføres i nåværende form av økonomiske eller juridiske årsaker.</w:t>
      </w:r>
      <w:r w:rsidR="007576AA" w:rsidRPr="00AB0154">
        <w:rPr>
          <w:rFonts w:cs="Arial"/>
          <w:sz w:val="22"/>
        </w:rPr>
        <w:t xml:space="preserve"> Fakultetene må </w:t>
      </w:r>
      <w:r w:rsidRPr="00AB0154">
        <w:rPr>
          <w:rFonts w:cs="Arial"/>
          <w:sz w:val="22"/>
        </w:rPr>
        <w:t xml:space="preserve">videre </w:t>
      </w:r>
      <w:r w:rsidR="007576AA" w:rsidRPr="00AB0154">
        <w:rPr>
          <w:rFonts w:cs="Arial"/>
          <w:sz w:val="22"/>
        </w:rPr>
        <w:t xml:space="preserve">vurdere om tilbud </w:t>
      </w:r>
      <w:r w:rsidR="00E0612F" w:rsidRPr="00AB0154">
        <w:rPr>
          <w:rFonts w:cs="Arial"/>
          <w:i/>
          <w:sz w:val="22"/>
        </w:rPr>
        <w:t>med</w:t>
      </w:r>
      <w:r w:rsidR="007576AA" w:rsidRPr="00AB0154">
        <w:rPr>
          <w:rFonts w:cs="Arial"/>
          <w:i/>
          <w:sz w:val="22"/>
        </w:rPr>
        <w:t xml:space="preserve"> </w:t>
      </w:r>
      <w:r w:rsidR="007576AA" w:rsidRPr="00AB0154">
        <w:rPr>
          <w:rFonts w:cs="Arial"/>
          <w:sz w:val="22"/>
        </w:rPr>
        <w:t>studentbetaling som ikke er innenfor unntakene i egenbetalingsforskriften, skal tilbys gratis over rammebevilgningen, leg</w:t>
      </w:r>
      <w:r w:rsidR="00E0612F" w:rsidRPr="00AB0154">
        <w:rPr>
          <w:rFonts w:cs="Arial"/>
          <w:sz w:val="22"/>
        </w:rPr>
        <w:t>ges ned eller tilbys som oppdrag</w:t>
      </w:r>
      <w:r w:rsidR="008B51C5" w:rsidRPr="00AB0154">
        <w:rPr>
          <w:rFonts w:cs="Arial"/>
          <w:sz w:val="22"/>
        </w:rPr>
        <w:t>s- eller bidragsfinansiert tilbud</w:t>
      </w:r>
      <w:r w:rsidR="007576AA" w:rsidRPr="00AB0154">
        <w:rPr>
          <w:rFonts w:cs="Arial"/>
          <w:sz w:val="22"/>
        </w:rPr>
        <w:t>.</w:t>
      </w:r>
    </w:p>
    <w:p w:rsidR="00A33158" w:rsidRPr="00AB0154" w:rsidRDefault="00A33158" w:rsidP="00A33158">
      <w:pPr>
        <w:rPr>
          <w:sz w:val="22"/>
        </w:rPr>
      </w:pPr>
    </w:p>
    <w:p w:rsidR="00CB11BE" w:rsidRPr="00AB0154" w:rsidRDefault="000D66DF" w:rsidP="00CB11BE">
      <w:pPr>
        <w:rPr>
          <w:sz w:val="22"/>
        </w:rPr>
      </w:pPr>
      <w:r w:rsidRPr="00AB0154">
        <w:rPr>
          <w:sz w:val="22"/>
        </w:rPr>
        <w:t xml:space="preserve">Avdeling for Virksomhetsstyring har laget </w:t>
      </w:r>
      <w:r w:rsidR="00EC45B3" w:rsidRPr="00AB0154">
        <w:rPr>
          <w:sz w:val="22"/>
        </w:rPr>
        <w:t xml:space="preserve">et </w:t>
      </w:r>
      <w:hyperlink r:id="rId22" w:history="1">
        <w:r w:rsidR="00EC45B3" w:rsidRPr="00AB0154">
          <w:rPr>
            <w:sz w:val="22"/>
          </w:rPr>
          <w:t>simuleringsverktøy for beregning av egenfinansieringsprosent</w:t>
        </w:r>
      </w:hyperlink>
      <w:r w:rsidR="00EC45B3" w:rsidRPr="00AB0154">
        <w:rPr>
          <w:sz w:val="22"/>
        </w:rPr>
        <w:t xml:space="preserve"> </w:t>
      </w:r>
      <w:r w:rsidRPr="00AB0154">
        <w:rPr>
          <w:sz w:val="22"/>
        </w:rPr>
        <w:t>som hjelp til å vurdere finansieringen</w:t>
      </w:r>
      <w:r w:rsidR="00006D12" w:rsidRPr="00AB0154">
        <w:rPr>
          <w:sz w:val="22"/>
        </w:rPr>
        <w:t xml:space="preserve"> (intern og ekstern finansiering)</w:t>
      </w:r>
      <w:r w:rsidRPr="00AB0154">
        <w:rPr>
          <w:sz w:val="22"/>
        </w:rPr>
        <w:t xml:space="preserve"> av EVU under unntakene i egenbetalingsforskriften. Modellen kan også brukes for oppdragsfinansiert videreutdanning.</w:t>
      </w:r>
      <w:r w:rsidR="00EC45B3" w:rsidRPr="00AB0154">
        <w:rPr>
          <w:sz w:val="22"/>
        </w:rPr>
        <w:t xml:space="preserve"> Både regnearket med oversikt over videreutdanning og simuleringsverktøyet er lagt ut sammen med denne bestillingen her: </w:t>
      </w:r>
      <w:hyperlink r:id="rId23" w:history="1">
        <w:r w:rsidR="00EC45B3" w:rsidRPr="00AB0154">
          <w:rPr>
            <w:rStyle w:val="Hyperkobling"/>
            <w:sz w:val="22"/>
          </w:rPr>
          <w:t>Utredninger og høringer om etter- og videreutdanning</w:t>
        </w:r>
      </w:hyperlink>
      <w:r w:rsidR="00EC45B3" w:rsidRPr="00AB0154">
        <w:rPr>
          <w:sz w:val="22"/>
        </w:rPr>
        <w:t>.</w:t>
      </w:r>
    </w:p>
    <w:p w:rsidR="00063BFA" w:rsidRPr="00AB0154" w:rsidRDefault="00063BFA" w:rsidP="00CB11BE">
      <w:pPr>
        <w:rPr>
          <w:sz w:val="22"/>
        </w:rPr>
      </w:pPr>
    </w:p>
    <w:p w:rsidR="00CB11BE" w:rsidRPr="00AB0154" w:rsidRDefault="00A33158" w:rsidP="00CB11BE">
      <w:pPr>
        <w:rPr>
          <w:sz w:val="22"/>
        </w:rPr>
      </w:pPr>
      <w:r w:rsidRPr="00AB0154">
        <w:rPr>
          <w:sz w:val="22"/>
        </w:rPr>
        <w:t>Konkret ber vi fakultetene</w:t>
      </w:r>
      <w:r w:rsidR="009B2BA1" w:rsidRPr="00AB0154">
        <w:rPr>
          <w:sz w:val="22"/>
        </w:rPr>
        <w:t xml:space="preserve"> gå gjennom </w:t>
      </w:r>
      <w:r w:rsidR="00D26C32">
        <w:rPr>
          <w:sz w:val="22"/>
        </w:rPr>
        <w:t xml:space="preserve">sine </w:t>
      </w:r>
      <w:r w:rsidR="009B2BA1" w:rsidRPr="00AB0154">
        <w:rPr>
          <w:sz w:val="22"/>
        </w:rPr>
        <w:t xml:space="preserve">videreutdanningsemner i </w:t>
      </w:r>
      <w:r w:rsidR="00094AAB" w:rsidRPr="00AB0154">
        <w:rPr>
          <w:sz w:val="22"/>
        </w:rPr>
        <w:t xml:space="preserve">det vedlagte </w:t>
      </w:r>
      <w:r w:rsidR="009B2BA1" w:rsidRPr="00EA7A0B">
        <w:rPr>
          <w:sz w:val="22"/>
        </w:rPr>
        <w:t>regnearket</w:t>
      </w:r>
      <w:r w:rsidR="009B2BA1" w:rsidRPr="00AB0154">
        <w:rPr>
          <w:sz w:val="22"/>
        </w:rPr>
        <w:t xml:space="preserve"> </w:t>
      </w:r>
      <w:r w:rsidR="001447CF" w:rsidRPr="00AB0154">
        <w:rPr>
          <w:sz w:val="22"/>
        </w:rPr>
        <w:t xml:space="preserve">og svare ut </w:t>
      </w:r>
      <w:r w:rsidR="00233C19" w:rsidRPr="00AB0154">
        <w:rPr>
          <w:sz w:val="22"/>
        </w:rPr>
        <w:t>punktene I-IV</w:t>
      </w:r>
      <w:r w:rsidR="001447CF" w:rsidRPr="00AB0154">
        <w:rPr>
          <w:sz w:val="22"/>
        </w:rPr>
        <w:t xml:space="preserve"> </w:t>
      </w:r>
      <w:r w:rsidR="00CF2FD8" w:rsidRPr="00AB0154">
        <w:rPr>
          <w:sz w:val="22"/>
        </w:rPr>
        <w:t xml:space="preserve">i bestillingen </w:t>
      </w:r>
      <w:r w:rsidR="001447CF" w:rsidRPr="00AB0154">
        <w:rPr>
          <w:sz w:val="22"/>
        </w:rPr>
        <w:t>over</w:t>
      </w:r>
      <w:r w:rsidR="00063BFA" w:rsidRPr="00AB0154">
        <w:rPr>
          <w:sz w:val="22"/>
        </w:rPr>
        <w:t xml:space="preserve"> </w:t>
      </w:r>
      <w:r w:rsidR="00063BFA" w:rsidRPr="00AB0154">
        <w:rPr>
          <w:b/>
          <w:sz w:val="22"/>
        </w:rPr>
        <w:t>innen 15. mai 2019</w:t>
      </w:r>
      <w:r w:rsidR="001447CF" w:rsidRPr="00AB0154">
        <w:rPr>
          <w:sz w:val="22"/>
        </w:rPr>
        <w:t xml:space="preserve">. Det er laget egne kolonner </w:t>
      </w:r>
      <w:r w:rsidR="0024186A" w:rsidRPr="00AB0154">
        <w:rPr>
          <w:sz w:val="22"/>
        </w:rPr>
        <w:t>for svar til høyre i regnearket</w:t>
      </w:r>
      <w:r w:rsidR="00903915">
        <w:rPr>
          <w:sz w:val="22"/>
        </w:rPr>
        <w:t xml:space="preserve"> (merket i lys blå)</w:t>
      </w:r>
      <w:r w:rsidR="0024186A" w:rsidRPr="00AB0154">
        <w:rPr>
          <w:sz w:val="22"/>
        </w:rPr>
        <w:t>.</w:t>
      </w:r>
    </w:p>
    <w:p w:rsidR="00063BFA" w:rsidRPr="00AB0154" w:rsidRDefault="00063BFA" w:rsidP="00CB11BE">
      <w:pPr>
        <w:rPr>
          <w:sz w:val="22"/>
        </w:rPr>
      </w:pPr>
    </w:p>
    <w:p w:rsidR="00D7242D" w:rsidRPr="00AB0154" w:rsidRDefault="00D7242D" w:rsidP="00CB11BE">
      <w:pPr>
        <w:rPr>
          <w:sz w:val="22"/>
        </w:rPr>
      </w:pPr>
      <w:r w:rsidRPr="00AB0154">
        <w:rPr>
          <w:sz w:val="22"/>
        </w:rPr>
        <w:t>For å gi tid til omstilling</w:t>
      </w:r>
      <w:r w:rsidR="0022236B" w:rsidRPr="00AB0154">
        <w:rPr>
          <w:sz w:val="22"/>
        </w:rPr>
        <w:t>, unngå konkurransevridning i sektoren</w:t>
      </w:r>
      <w:r w:rsidRPr="00AB0154">
        <w:rPr>
          <w:sz w:val="22"/>
        </w:rPr>
        <w:t xml:space="preserve"> og </w:t>
      </w:r>
      <w:r w:rsidR="0022236B" w:rsidRPr="00AB0154">
        <w:rPr>
          <w:sz w:val="22"/>
        </w:rPr>
        <w:t xml:space="preserve">sikre </w:t>
      </w:r>
      <w:r w:rsidRPr="00AB0154">
        <w:rPr>
          <w:sz w:val="22"/>
        </w:rPr>
        <w:t>god i</w:t>
      </w:r>
      <w:r w:rsidR="00233C19" w:rsidRPr="00AB0154">
        <w:rPr>
          <w:sz w:val="22"/>
        </w:rPr>
        <w:t>nformasjon til studenter, settes</w:t>
      </w:r>
      <w:r w:rsidRPr="00AB0154">
        <w:rPr>
          <w:sz w:val="22"/>
        </w:rPr>
        <w:t xml:space="preserve"> to frister for </w:t>
      </w:r>
      <w:r w:rsidR="00063BFA" w:rsidRPr="00AB0154">
        <w:rPr>
          <w:sz w:val="22"/>
        </w:rPr>
        <w:t>implementering av endringer:</w:t>
      </w:r>
    </w:p>
    <w:p w:rsidR="00063BFA" w:rsidRPr="00AB0154" w:rsidRDefault="00063BFA" w:rsidP="00CB11BE">
      <w:pPr>
        <w:rPr>
          <w:sz w:val="22"/>
        </w:rPr>
      </w:pPr>
    </w:p>
    <w:p w:rsidR="00623871" w:rsidRPr="00AB0154" w:rsidRDefault="00233C19" w:rsidP="00063BFA">
      <w:pPr>
        <w:pStyle w:val="Listeavsnitt"/>
        <w:numPr>
          <w:ilvl w:val="0"/>
          <w:numId w:val="9"/>
        </w:numPr>
        <w:spacing w:after="100" w:afterAutospacing="1"/>
        <w:ind w:left="445"/>
        <w:rPr>
          <w:sz w:val="22"/>
        </w:rPr>
      </w:pPr>
      <w:r w:rsidRPr="00BF7A9E">
        <w:rPr>
          <w:rFonts w:ascii="Arial" w:hAnsi="Arial"/>
          <w:b/>
          <w:sz w:val="22"/>
          <w:lang w:eastAsia="en-US"/>
        </w:rPr>
        <w:t>Senest august</w:t>
      </w:r>
      <w:r w:rsidR="00D7242D" w:rsidRPr="00BF7A9E">
        <w:rPr>
          <w:rFonts w:ascii="Arial" w:hAnsi="Arial"/>
          <w:b/>
          <w:sz w:val="22"/>
          <w:lang w:eastAsia="en-US"/>
        </w:rPr>
        <w:t xml:space="preserve"> 2019:</w:t>
      </w:r>
      <w:r w:rsidR="00D7242D" w:rsidRPr="00AB0154">
        <w:rPr>
          <w:rFonts w:ascii="Arial" w:hAnsi="Arial"/>
          <w:sz w:val="22"/>
          <w:lang w:eastAsia="en-US"/>
        </w:rPr>
        <w:t xml:space="preserve"> </w:t>
      </w:r>
      <w:r w:rsidR="00623871" w:rsidRPr="00AB0154">
        <w:rPr>
          <w:rFonts w:ascii="Arial" w:hAnsi="Arial"/>
          <w:sz w:val="22"/>
          <w:lang w:eastAsia="en-US"/>
        </w:rPr>
        <w:t>Emner som</w:t>
      </w:r>
      <w:r w:rsidR="00623871" w:rsidRPr="00AB0154">
        <w:rPr>
          <w:rFonts w:ascii="Arial" w:hAnsi="Arial"/>
          <w:i/>
          <w:sz w:val="22"/>
          <w:lang w:eastAsia="en-US"/>
        </w:rPr>
        <w:t xml:space="preserve"> ikke</w:t>
      </w:r>
      <w:r w:rsidR="00623871" w:rsidRPr="00AB0154">
        <w:rPr>
          <w:rFonts w:ascii="Arial" w:hAnsi="Arial"/>
          <w:sz w:val="22"/>
          <w:lang w:eastAsia="en-US"/>
        </w:rPr>
        <w:t xml:space="preserve"> kan tilbys mot betaling </w:t>
      </w:r>
      <w:r w:rsidR="00F56CA6" w:rsidRPr="00AB0154">
        <w:rPr>
          <w:rFonts w:ascii="Arial" w:hAnsi="Arial"/>
          <w:sz w:val="22"/>
          <w:lang w:eastAsia="en-US"/>
        </w:rPr>
        <w:t xml:space="preserve">fra enkeltstudenter </w:t>
      </w:r>
      <w:r w:rsidR="00623871" w:rsidRPr="00AB0154">
        <w:rPr>
          <w:rFonts w:ascii="Arial" w:hAnsi="Arial"/>
          <w:sz w:val="22"/>
          <w:lang w:eastAsia="en-US"/>
        </w:rPr>
        <w:t>under et av unntakene i egenbetalingsforskriften</w:t>
      </w:r>
      <w:r w:rsidR="00983D77" w:rsidRPr="00AB0154">
        <w:rPr>
          <w:rFonts w:ascii="Arial" w:hAnsi="Arial"/>
          <w:sz w:val="22"/>
          <w:lang w:eastAsia="en-US"/>
        </w:rPr>
        <w:t xml:space="preserve"> (punkt I)</w:t>
      </w:r>
      <w:r w:rsidR="00623871" w:rsidRPr="00AB0154">
        <w:rPr>
          <w:rFonts w:ascii="Arial" w:hAnsi="Arial"/>
          <w:sz w:val="22"/>
          <w:lang w:eastAsia="en-US"/>
        </w:rPr>
        <w:t>, må</w:t>
      </w:r>
      <w:r w:rsidR="00983D77" w:rsidRPr="00AB0154">
        <w:rPr>
          <w:rFonts w:ascii="Arial" w:hAnsi="Arial"/>
          <w:sz w:val="22"/>
          <w:lang w:eastAsia="en-US"/>
        </w:rPr>
        <w:t xml:space="preserve"> enten</w:t>
      </w:r>
      <w:r w:rsidR="00F56CA6" w:rsidRPr="00AB0154">
        <w:rPr>
          <w:rFonts w:ascii="Arial" w:hAnsi="Arial"/>
          <w:sz w:val="22"/>
          <w:lang w:eastAsia="en-US"/>
        </w:rPr>
        <w:t xml:space="preserve"> tilbys gratis eller</w:t>
      </w:r>
      <w:r w:rsidR="00623871" w:rsidRPr="00AB0154">
        <w:rPr>
          <w:rFonts w:ascii="Arial" w:hAnsi="Arial"/>
          <w:sz w:val="22"/>
          <w:lang w:eastAsia="en-US"/>
        </w:rPr>
        <w:t xml:space="preserve"> avvikles </w:t>
      </w:r>
      <w:r w:rsidR="00AF3BC7" w:rsidRPr="00AB0154">
        <w:rPr>
          <w:rFonts w:ascii="Arial" w:hAnsi="Arial"/>
          <w:sz w:val="22"/>
          <w:lang w:eastAsia="en-US"/>
        </w:rPr>
        <w:t xml:space="preserve">fra </w:t>
      </w:r>
      <w:r w:rsidR="00D7242D" w:rsidRPr="00AB0154">
        <w:rPr>
          <w:rFonts w:ascii="Arial" w:hAnsi="Arial"/>
          <w:sz w:val="22"/>
          <w:lang w:eastAsia="en-US"/>
        </w:rPr>
        <w:t xml:space="preserve">senest </w:t>
      </w:r>
      <w:r w:rsidRPr="00AB0154">
        <w:rPr>
          <w:rFonts w:ascii="Arial" w:hAnsi="Arial"/>
          <w:sz w:val="22"/>
          <w:lang w:eastAsia="en-US"/>
        </w:rPr>
        <w:t>august</w:t>
      </w:r>
      <w:r w:rsidR="00D7242D" w:rsidRPr="00AB0154">
        <w:rPr>
          <w:rFonts w:ascii="Arial" w:hAnsi="Arial"/>
          <w:sz w:val="22"/>
          <w:lang w:eastAsia="en-US"/>
        </w:rPr>
        <w:t xml:space="preserve"> 2019</w:t>
      </w:r>
      <w:r w:rsidR="00623871" w:rsidRPr="00AB0154">
        <w:rPr>
          <w:rFonts w:ascii="Arial" w:hAnsi="Arial"/>
          <w:sz w:val="22"/>
          <w:lang w:eastAsia="en-US"/>
        </w:rPr>
        <w:t>. Dette inkluderer alle</w:t>
      </w:r>
      <w:r w:rsidR="003742D8" w:rsidRPr="00AB0154">
        <w:rPr>
          <w:rFonts w:ascii="Arial" w:hAnsi="Arial"/>
          <w:sz w:val="22"/>
          <w:lang w:eastAsia="en-US"/>
        </w:rPr>
        <w:t xml:space="preserve"> betalings</w:t>
      </w:r>
      <w:r w:rsidR="00D7242D" w:rsidRPr="00AB0154">
        <w:rPr>
          <w:rFonts w:ascii="Arial" w:hAnsi="Arial"/>
          <w:sz w:val="22"/>
          <w:lang w:eastAsia="en-US"/>
        </w:rPr>
        <w:t>emner som</w:t>
      </w:r>
      <w:r w:rsidRPr="00AB0154">
        <w:rPr>
          <w:rFonts w:ascii="Arial" w:hAnsi="Arial"/>
          <w:sz w:val="22"/>
          <w:lang w:eastAsia="en-US"/>
        </w:rPr>
        <w:t xml:space="preserve"> </w:t>
      </w:r>
      <w:r w:rsidR="003742D8" w:rsidRPr="00AB0154">
        <w:rPr>
          <w:rFonts w:ascii="Arial" w:hAnsi="Arial"/>
          <w:sz w:val="22"/>
          <w:lang w:eastAsia="en-US"/>
        </w:rPr>
        <w:t>også</w:t>
      </w:r>
      <w:r w:rsidR="00D7242D" w:rsidRPr="00AB0154">
        <w:rPr>
          <w:rFonts w:ascii="Arial" w:hAnsi="Arial"/>
          <w:sz w:val="22"/>
          <w:lang w:eastAsia="en-US"/>
        </w:rPr>
        <w:t xml:space="preserve"> </w:t>
      </w:r>
      <w:r w:rsidR="00623871" w:rsidRPr="00AB0154">
        <w:rPr>
          <w:rFonts w:ascii="Arial" w:hAnsi="Arial"/>
          <w:sz w:val="22"/>
          <w:lang w:eastAsia="en-US"/>
        </w:rPr>
        <w:t xml:space="preserve">tilbys </w:t>
      </w:r>
      <w:r w:rsidRPr="00AB0154">
        <w:rPr>
          <w:rFonts w:ascii="Arial" w:hAnsi="Arial"/>
          <w:sz w:val="22"/>
          <w:lang w:eastAsia="en-US"/>
        </w:rPr>
        <w:t>gratis for ordinære studente</w:t>
      </w:r>
      <w:r w:rsidR="003742D8" w:rsidRPr="00AB0154">
        <w:rPr>
          <w:rFonts w:ascii="Arial" w:hAnsi="Arial"/>
          <w:sz w:val="22"/>
          <w:lang w:eastAsia="en-US"/>
        </w:rPr>
        <w:t xml:space="preserve">r. </w:t>
      </w:r>
      <w:r w:rsidR="00623871" w:rsidRPr="00AB0154">
        <w:rPr>
          <w:rFonts w:ascii="Arial" w:hAnsi="Arial"/>
          <w:sz w:val="22"/>
          <w:lang w:eastAsia="en-US"/>
        </w:rPr>
        <w:t>Hvis læringsutbyttet er likt</w:t>
      </w:r>
      <w:r w:rsidR="003742D8" w:rsidRPr="00AB0154">
        <w:rPr>
          <w:rFonts w:ascii="Arial" w:hAnsi="Arial"/>
          <w:sz w:val="22"/>
          <w:lang w:eastAsia="en-US"/>
        </w:rPr>
        <w:t xml:space="preserve"> for et emne</w:t>
      </w:r>
      <w:r w:rsidR="00D7242D" w:rsidRPr="00AB0154">
        <w:rPr>
          <w:rFonts w:ascii="Arial" w:hAnsi="Arial"/>
          <w:sz w:val="22"/>
          <w:lang w:eastAsia="en-US"/>
        </w:rPr>
        <w:t xml:space="preserve"> som tilbys mot betaling og </w:t>
      </w:r>
      <w:r w:rsidR="003742D8" w:rsidRPr="00AB0154">
        <w:rPr>
          <w:rFonts w:ascii="Arial" w:hAnsi="Arial"/>
          <w:sz w:val="22"/>
          <w:lang w:eastAsia="en-US"/>
        </w:rPr>
        <w:t>et emne</w:t>
      </w:r>
      <w:r w:rsidR="00D7242D" w:rsidRPr="00AB0154">
        <w:rPr>
          <w:rFonts w:ascii="Arial" w:hAnsi="Arial"/>
          <w:sz w:val="22"/>
          <w:lang w:eastAsia="en-US"/>
        </w:rPr>
        <w:t xml:space="preserve"> som tilbys gratis, sk</w:t>
      </w:r>
      <w:r w:rsidR="00623871" w:rsidRPr="00AB0154">
        <w:rPr>
          <w:rFonts w:ascii="Arial" w:hAnsi="Arial"/>
          <w:sz w:val="22"/>
          <w:lang w:eastAsia="en-US"/>
        </w:rPr>
        <w:t xml:space="preserve">al </w:t>
      </w:r>
      <w:r w:rsidR="00D7242D" w:rsidRPr="00AB0154">
        <w:rPr>
          <w:rFonts w:ascii="Arial" w:hAnsi="Arial"/>
          <w:sz w:val="22"/>
          <w:lang w:eastAsia="en-US"/>
        </w:rPr>
        <w:t>emne</w:t>
      </w:r>
      <w:r w:rsidR="003742D8" w:rsidRPr="00AB0154">
        <w:rPr>
          <w:rFonts w:ascii="Arial" w:hAnsi="Arial"/>
          <w:sz w:val="22"/>
          <w:lang w:eastAsia="en-US"/>
        </w:rPr>
        <w:t>t</w:t>
      </w:r>
      <w:r w:rsidR="00623871" w:rsidRPr="00AB0154">
        <w:rPr>
          <w:rFonts w:ascii="Arial" w:hAnsi="Arial"/>
          <w:sz w:val="22"/>
          <w:lang w:eastAsia="en-US"/>
        </w:rPr>
        <w:t xml:space="preserve"> være gratis</w:t>
      </w:r>
      <w:r w:rsidR="00D7242D" w:rsidRPr="00AB0154">
        <w:rPr>
          <w:rFonts w:ascii="Arial" w:hAnsi="Arial"/>
          <w:sz w:val="22"/>
          <w:lang w:eastAsia="en-US"/>
        </w:rPr>
        <w:t xml:space="preserve"> for alle</w:t>
      </w:r>
      <w:r w:rsidR="003742D8" w:rsidRPr="00AB0154">
        <w:rPr>
          <w:rFonts w:ascii="Arial" w:hAnsi="Arial"/>
          <w:sz w:val="22"/>
          <w:lang w:eastAsia="en-US"/>
        </w:rPr>
        <w:t xml:space="preserve"> studenter</w:t>
      </w:r>
      <w:r w:rsidR="00D7242D" w:rsidRPr="00AB0154">
        <w:rPr>
          <w:rFonts w:ascii="Arial" w:hAnsi="Arial"/>
          <w:sz w:val="22"/>
          <w:lang w:eastAsia="en-US"/>
        </w:rPr>
        <w:t>.</w:t>
      </w:r>
    </w:p>
    <w:p w:rsidR="00D7242D" w:rsidRPr="00AB0154" w:rsidRDefault="00D7242D" w:rsidP="00063BFA">
      <w:pPr>
        <w:pStyle w:val="Listeavsnitt"/>
        <w:spacing w:after="100" w:afterAutospacing="1"/>
        <w:ind w:left="445"/>
        <w:rPr>
          <w:rFonts w:ascii="Arial" w:hAnsi="Arial"/>
          <w:i/>
          <w:sz w:val="22"/>
          <w:lang w:eastAsia="en-US"/>
        </w:rPr>
      </w:pPr>
    </w:p>
    <w:p w:rsidR="00623871" w:rsidRPr="00AB0154" w:rsidRDefault="00D7242D" w:rsidP="00063BFA">
      <w:pPr>
        <w:pStyle w:val="Listeavsnitt"/>
        <w:numPr>
          <w:ilvl w:val="0"/>
          <w:numId w:val="9"/>
        </w:numPr>
        <w:spacing w:after="100" w:afterAutospacing="1"/>
        <w:ind w:left="445"/>
        <w:rPr>
          <w:rFonts w:ascii="Arial" w:hAnsi="Arial"/>
          <w:sz w:val="22"/>
          <w:lang w:eastAsia="en-US"/>
        </w:rPr>
      </w:pPr>
      <w:r w:rsidRPr="00BF7A9E">
        <w:rPr>
          <w:rFonts w:ascii="Arial" w:hAnsi="Arial"/>
          <w:b/>
          <w:sz w:val="22"/>
          <w:lang w:eastAsia="en-US"/>
        </w:rPr>
        <w:t xml:space="preserve">Senest </w:t>
      </w:r>
      <w:r w:rsidR="00233C19" w:rsidRPr="00BF7A9E">
        <w:rPr>
          <w:rFonts w:ascii="Arial" w:hAnsi="Arial"/>
          <w:b/>
          <w:sz w:val="22"/>
          <w:lang w:eastAsia="en-US"/>
        </w:rPr>
        <w:t xml:space="preserve">august </w:t>
      </w:r>
      <w:r w:rsidRPr="00BF7A9E">
        <w:rPr>
          <w:rFonts w:ascii="Arial" w:hAnsi="Arial"/>
          <w:b/>
          <w:sz w:val="22"/>
          <w:lang w:eastAsia="en-US"/>
        </w:rPr>
        <w:t>2020:</w:t>
      </w:r>
      <w:r w:rsidRPr="00AB0154">
        <w:rPr>
          <w:rFonts w:ascii="Arial" w:hAnsi="Arial"/>
          <w:i/>
          <w:sz w:val="22"/>
          <w:lang w:eastAsia="en-US"/>
        </w:rPr>
        <w:t xml:space="preserve"> </w:t>
      </w:r>
      <w:r w:rsidR="00623871" w:rsidRPr="00AB0154">
        <w:rPr>
          <w:rFonts w:ascii="Arial" w:hAnsi="Arial"/>
          <w:sz w:val="22"/>
          <w:lang w:eastAsia="en-US"/>
        </w:rPr>
        <w:t>Emner/programmer som er innenfor unntakene</w:t>
      </w:r>
      <w:r w:rsidRPr="00AB0154">
        <w:rPr>
          <w:rFonts w:ascii="Arial" w:hAnsi="Arial"/>
          <w:sz w:val="22"/>
          <w:lang w:eastAsia="en-US"/>
        </w:rPr>
        <w:t xml:space="preserve"> i egenbetalingsforskriften</w:t>
      </w:r>
      <w:r w:rsidR="00623871" w:rsidRPr="00AB0154">
        <w:rPr>
          <w:rFonts w:ascii="Arial" w:hAnsi="Arial"/>
          <w:sz w:val="22"/>
          <w:lang w:eastAsia="en-US"/>
        </w:rPr>
        <w:t>, men der e</w:t>
      </w:r>
      <w:r w:rsidR="00623871" w:rsidRPr="00AB0154">
        <w:rPr>
          <w:rFonts w:ascii="Arial" w:hAnsi="Arial"/>
          <w:i/>
          <w:sz w:val="22"/>
          <w:lang w:eastAsia="en-US"/>
        </w:rPr>
        <w:t>genfinansiering</w:t>
      </w:r>
      <w:r w:rsidRPr="00AB0154">
        <w:rPr>
          <w:rFonts w:ascii="Arial" w:hAnsi="Arial"/>
          <w:i/>
          <w:sz w:val="22"/>
          <w:lang w:eastAsia="en-US"/>
        </w:rPr>
        <w:t>sprosenten</w:t>
      </w:r>
      <w:r w:rsidR="00623871" w:rsidRPr="00AB0154">
        <w:rPr>
          <w:rFonts w:ascii="Arial" w:hAnsi="Arial"/>
          <w:i/>
          <w:sz w:val="22"/>
          <w:lang w:eastAsia="en-US"/>
        </w:rPr>
        <w:t xml:space="preserve"> ikke er korrekt etter tabellen</w:t>
      </w:r>
      <w:r w:rsidR="0022236B" w:rsidRPr="00AB0154">
        <w:rPr>
          <w:rFonts w:ascii="Arial" w:hAnsi="Arial"/>
          <w:i/>
          <w:sz w:val="22"/>
          <w:lang w:eastAsia="en-US"/>
        </w:rPr>
        <w:t xml:space="preserve"> </w:t>
      </w:r>
      <w:r w:rsidR="0022236B" w:rsidRPr="00AB0154">
        <w:rPr>
          <w:rFonts w:ascii="Arial" w:hAnsi="Arial"/>
          <w:sz w:val="22"/>
          <w:lang w:eastAsia="en-US"/>
        </w:rPr>
        <w:t>og/eller</w:t>
      </w:r>
      <w:r w:rsidR="0022236B" w:rsidRPr="00AB0154">
        <w:rPr>
          <w:rFonts w:ascii="Arial" w:hAnsi="Arial"/>
          <w:i/>
          <w:sz w:val="22"/>
          <w:lang w:eastAsia="en-US"/>
        </w:rPr>
        <w:t xml:space="preserve"> pris</w:t>
      </w:r>
      <w:r w:rsidR="00983D77" w:rsidRPr="00AB0154">
        <w:rPr>
          <w:rFonts w:ascii="Arial" w:hAnsi="Arial"/>
          <w:i/>
          <w:sz w:val="22"/>
          <w:lang w:eastAsia="en-US"/>
        </w:rPr>
        <w:t>en for tilbudet</w:t>
      </w:r>
      <w:r w:rsidR="0022236B" w:rsidRPr="00AB0154">
        <w:rPr>
          <w:rFonts w:ascii="Arial" w:hAnsi="Arial"/>
          <w:i/>
          <w:sz w:val="22"/>
          <w:lang w:eastAsia="en-US"/>
        </w:rPr>
        <w:t xml:space="preserve"> ikke dekker kostnadene</w:t>
      </w:r>
      <w:r w:rsidR="00623871" w:rsidRPr="00AB0154">
        <w:rPr>
          <w:rFonts w:ascii="Arial" w:hAnsi="Arial"/>
          <w:sz w:val="22"/>
          <w:lang w:eastAsia="en-US"/>
        </w:rPr>
        <w:t>, må ha riktig egenfinansiering</w:t>
      </w:r>
      <w:r w:rsidR="0022236B" w:rsidRPr="00AB0154">
        <w:rPr>
          <w:rFonts w:ascii="Arial" w:hAnsi="Arial"/>
          <w:sz w:val="22"/>
          <w:lang w:eastAsia="en-US"/>
        </w:rPr>
        <w:t>sprosent</w:t>
      </w:r>
      <w:r w:rsidR="00623871" w:rsidRPr="00AB0154">
        <w:rPr>
          <w:rFonts w:ascii="Arial" w:hAnsi="Arial"/>
          <w:sz w:val="22"/>
          <w:lang w:eastAsia="en-US"/>
        </w:rPr>
        <w:t xml:space="preserve"> </w:t>
      </w:r>
      <w:r w:rsidR="0022236B" w:rsidRPr="00AB0154">
        <w:rPr>
          <w:rFonts w:ascii="Arial" w:hAnsi="Arial"/>
          <w:sz w:val="22"/>
          <w:lang w:eastAsia="en-US"/>
        </w:rPr>
        <w:t xml:space="preserve">og riktig pris </w:t>
      </w:r>
      <w:r w:rsidRPr="00AB0154">
        <w:rPr>
          <w:rFonts w:ascii="Arial" w:hAnsi="Arial"/>
          <w:sz w:val="22"/>
          <w:lang w:eastAsia="en-US"/>
        </w:rPr>
        <w:t xml:space="preserve">senest </w:t>
      </w:r>
      <w:r w:rsidR="00983D77" w:rsidRPr="00AB0154">
        <w:rPr>
          <w:rFonts w:ascii="Arial" w:hAnsi="Arial"/>
          <w:sz w:val="22"/>
          <w:lang w:eastAsia="en-US"/>
        </w:rPr>
        <w:t>fra august</w:t>
      </w:r>
      <w:r w:rsidR="00623871" w:rsidRPr="00AB0154">
        <w:rPr>
          <w:rFonts w:ascii="Arial" w:hAnsi="Arial"/>
          <w:sz w:val="22"/>
          <w:lang w:eastAsia="en-US"/>
        </w:rPr>
        <w:t xml:space="preserve"> 2020.</w:t>
      </w:r>
    </w:p>
    <w:p w:rsidR="00063BFA" w:rsidRPr="00AB0154" w:rsidRDefault="00063BFA" w:rsidP="00CB11BE">
      <w:pPr>
        <w:rPr>
          <w:sz w:val="22"/>
        </w:rPr>
      </w:pPr>
    </w:p>
    <w:p w:rsidR="0024186A" w:rsidRPr="00AB0154" w:rsidRDefault="0022236B" w:rsidP="00CB11BE">
      <w:pPr>
        <w:rPr>
          <w:sz w:val="22"/>
        </w:rPr>
      </w:pPr>
      <w:r w:rsidRPr="00AB0154">
        <w:rPr>
          <w:sz w:val="22"/>
        </w:rPr>
        <w:t xml:space="preserve">NTNU vil holde Kunnskapsdepartementet underrettet om arbeidet med å få virksomheten innenfor gjeldende regelverk. </w:t>
      </w:r>
      <w:r w:rsidR="00063BFA" w:rsidRPr="00AB0154">
        <w:rPr>
          <w:sz w:val="22"/>
        </w:rPr>
        <w:t xml:space="preserve">I helt </w:t>
      </w:r>
      <w:r w:rsidR="00C1012A" w:rsidRPr="00AB0154">
        <w:rPr>
          <w:sz w:val="22"/>
        </w:rPr>
        <w:t>s</w:t>
      </w:r>
      <w:r w:rsidR="00CF2FD8" w:rsidRPr="00AB0154">
        <w:rPr>
          <w:sz w:val="22"/>
        </w:rPr>
        <w:t xml:space="preserve">pesielle tilfeller kan det være aktuelt å søke Kunnskapsdepartementet om unntak </w:t>
      </w:r>
      <w:r w:rsidR="00284131" w:rsidRPr="00AB0154">
        <w:rPr>
          <w:sz w:val="22"/>
        </w:rPr>
        <w:t>utover høsten 2020 og</w:t>
      </w:r>
      <w:r w:rsidR="00233C19" w:rsidRPr="00AB0154">
        <w:rPr>
          <w:sz w:val="22"/>
        </w:rPr>
        <w:t xml:space="preserve"> </w:t>
      </w:r>
      <w:r w:rsidR="00640CF1" w:rsidRPr="00AB0154">
        <w:rPr>
          <w:sz w:val="22"/>
        </w:rPr>
        <w:t xml:space="preserve">inntil endring kan gjennomføres. </w:t>
      </w:r>
      <w:r w:rsidR="00CF2FD8" w:rsidRPr="00AB0154">
        <w:rPr>
          <w:sz w:val="22"/>
        </w:rPr>
        <w:t xml:space="preserve">Fakultetet må </w:t>
      </w:r>
      <w:r w:rsidR="008B51C5" w:rsidRPr="00AB0154">
        <w:rPr>
          <w:sz w:val="22"/>
        </w:rPr>
        <w:t>i så fall</w:t>
      </w:r>
      <w:r w:rsidR="00C1012A" w:rsidRPr="00AB0154">
        <w:rPr>
          <w:sz w:val="22"/>
        </w:rPr>
        <w:t xml:space="preserve"> </w:t>
      </w:r>
      <w:r w:rsidR="00CF2FD8" w:rsidRPr="00AB0154">
        <w:rPr>
          <w:sz w:val="22"/>
        </w:rPr>
        <w:t xml:space="preserve">begrunne </w:t>
      </w:r>
      <w:r w:rsidR="00C1012A" w:rsidRPr="00AB0154">
        <w:rPr>
          <w:sz w:val="22"/>
        </w:rPr>
        <w:t>hvorfor unntak er nødvendig og sette en dato for når tilbudet sk</w:t>
      </w:r>
      <w:r w:rsidRPr="00AB0154">
        <w:rPr>
          <w:sz w:val="22"/>
        </w:rPr>
        <w:t>al være i tråd med regelverket.</w:t>
      </w:r>
      <w:r w:rsidR="00063BFA" w:rsidRPr="00AB0154">
        <w:rPr>
          <w:sz w:val="22"/>
        </w:rPr>
        <w:t xml:space="preserve"> Ta kontakt med saksbehandler for nærmere råd i konkrete tilfeller.</w:t>
      </w:r>
      <w:r w:rsidR="0024186A" w:rsidRPr="00AB0154">
        <w:rPr>
          <w:sz w:val="22"/>
        </w:rPr>
        <w:t xml:space="preserve"> </w:t>
      </w:r>
    </w:p>
    <w:p w:rsidR="0024186A" w:rsidRPr="00AB0154" w:rsidRDefault="0024186A" w:rsidP="00CB11BE">
      <w:pPr>
        <w:rPr>
          <w:sz w:val="22"/>
        </w:rPr>
      </w:pPr>
    </w:p>
    <w:p w:rsidR="00CB11BE" w:rsidRPr="00AB0154" w:rsidRDefault="0024186A" w:rsidP="00CB11BE">
      <w:pPr>
        <w:rPr>
          <w:sz w:val="22"/>
        </w:rPr>
      </w:pPr>
      <w:r w:rsidRPr="00AB0154">
        <w:rPr>
          <w:sz w:val="22"/>
        </w:rPr>
        <w:t xml:space="preserve">Endringene av egenfinansieringsprosent vil tre i kraft ved første gjennomføring av emnet etter den dato som fakultetet fastsetter i </w:t>
      </w:r>
      <w:r w:rsidR="00284131" w:rsidRPr="00AB0154">
        <w:rPr>
          <w:sz w:val="22"/>
        </w:rPr>
        <w:t xml:space="preserve">svaret på denne bestillingen, og </w:t>
      </w:r>
      <w:r w:rsidRPr="00AB0154">
        <w:rPr>
          <w:sz w:val="22"/>
        </w:rPr>
        <w:t>senest høst 2020</w:t>
      </w:r>
      <w:r w:rsidR="00284131" w:rsidRPr="00AB0154">
        <w:rPr>
          <w:sz w:val="22"/>
        </w:rPr>
        <w:t xml:space="preserve"> </w:t>
      </w:r>
      <w:r w:rsidRPr="00AB0154">
        <w:rPr>
          <w:sz w:val="22"/>
        </w:rPr>
        <w:t xml:space="preserve">hvis det ikke søkes om og innvilges unntak.  </w:t>
      </w:r>
    </w:p>
    <w:p w:rsidR="00063BFA" w:rsidRPr="00AB0154" w:rsidRDefault="00063BFA" w:rsidP="00CB11BE">
      <w:pPr>
        <w:rPr>
          <w:sz w:val="22"/>
        </w:rPr>
      </w:pPr>
    </w:p>
    <w:p w:rsidR="00063BFA" w:rsidRPr="00AB0154" w:rsidRDefault="00063BFA" w:rsidP="00CB11BE">
      <w:pPr>
        <w:rPr>
          <w:sz w:val="22"/>
        </w:rPr>
      </w:pPr>
      <w:r w:rsidRPr="00AB0154">
        <w:rPr>
          <w:sz w:val="22"/>
        </w:rPr>
        <w:t>Ny virksomhet må selvsagt være innenfor regelverket fra oppstart.</w:t>
      </w:r>
    </w:p>
    <w:p w:rsidR="00CB11BE" w:rsidRPr="00AB0154" w:rsidRDefault="00CB11BE" w:rsidP="00CB11BE">
      <w:pPr>
        <w:rPr>
          <w:sz w:val="22"/>
        </w:rPr>
      </w:pPr>
    </w:p>
    <w:p w:rsidR="00CB11BE" w:rsidRPr="00AB0154" w:rsidRDefault="000545D7" w:rsidP="00CB11BE">
      <w:pPr>
        <w:rPr>
          <w:sz w:val="22"/>
        </w:rPr>
      </w:pPr>
      <w:r w:rsidRPr="00AB0154">
        <w:rPr>
          <w:sz w:val="22"/>
        </w:rPr>
        <w:t xml:space="preserve">Svar </w:t>
      </w:r>
      <w:r w:rsidR="00094AAB" w:rsidRPr="00AB0154">
        <w:rPr>
          <w:sz w:val="22"/>
        </w:rPr>
        <w:t xml:space="preserve">på punktene </w:t>
      </w:r>
      <w:r w:rsidR="0022236B" w:rsidRPr="00AB0154">
        <w:rPr>
          <w:sz w:val="22"/>
        </w:rPr>
        <w:t>I-</w:t>
      </w:r>
      <w:r w:rsidR="00233C19" w:rsidRPr="00AB0154">
        <w:rPr>
          <w:sz w:val="22"/>
        </w:rPr>
        <w:t>I</w:t>
      </w:r>
      <w:r w:rsidR="0022236B" w:rsidRPr="00AB0154">
        <w:rPr>
          <w:sz w:val="22"/>
        </w:rPr>
        <w:t>V</w:t>
      </w:r>
      <w:r w:rsidR="00094AAB" w:rsidRPr="00AB0154">
        <w:rPr>
          <w:sz w:val="22"/>
        </w:rPr>
        <w:t xml:space="preserve"> i bestillingen </w:t>
      </w:r>
      <w:r w:rsidRPr="00AB0154">
        <w:rPr>
          <w:sz w:val="22"/>
        </w:rPr>
        <w:t xml:space="preserve">skrives inn i </w:t>
      </w:r>
      <w:r w:rsidR="00EA7A0B">
        <w:rPr>
          <w:sz w:val="22"/>
        </w:rPr>
        <w:t>det vedlagte regnearket</w:t>
      </w:r>
      <w:r w:rsidR="00AC0716">
        <w:rPr>
          <w:sz w:val="22"/>
        </w:rPr>
        <w:t xml:space="preserve"> og</w:t>
      </w:r>
      <w:r w:rsidR="00FF0621">
        <w:rPr>
          <w:sz w:val="22"/>
        </w:rPr>
        <w:t xml:space="preserve"> regneark</w:t>
      </w:r>
      <w:r w:rsidR="00AC0716">
        <w:rPr>
          <w:sz w:val="22"/>
        </w:rPr>
        <w:t>et</w:t>
      </w:r>
      <w:r w:rsidR="00FF0621">
        <w:rPr>
          <w:sz w:val="22"/>
        </w:rPr>
        <w:t xml:space="preserve"> </w:t>
      </w:r>
      <w:r w:rsidRPr="00AB0154">
        <w:rPr>
          <w:sz w:val="22"/>
        </w:rPr>
        <w:t xml:space="preserve">sendes på epost til </w:t>
      </w:r>
      <w:r w:rsidR="00AF2877" w:rsidRPr="00AB0154">
        <w:rPr>
          <w:sz w:val="22"/>
        </w:rPr>
        <w:t xml:space="preserve">seniorrådgiver </w:t>
      </w:r>
      <w:r w:rsidRPr="00AB0154">
        <w:rPr>
          <w:sz w:val="22"/>
        </w:rPr>
        <w:t xml:space="preserve">Lise T. Sagdahl: </w:t>
      </w:r>
      <w:hyperlink r:id="rId24" w:history="1">
        <w:r w:rsidRPr="00AB0154">
          <w:rPr>
            <w:rStyle w:val="Hyperkobling"/>
            <w:sz w:val="22"/>
          </w:rPr>
          <w:t>lise.sagdahl@ntnu.no</w:t>
        </w:r>
      </w:hyperlink>
      <w:r w:rsidR="00063BFA" w:rsidRPr="00AB0154">
        <w:rPr>
          <w:sz w:val="22"/>
        </w:rPr>
        <w:t xml:space="preserve"> innen fristen (15. mai 2019)</w:t>
      </w:r>
      <w:r w:rsidR="0024186A" w:rsidRPr="00AB0154">
        <w:rPr>
          <w:sz w:val="22"/>
        </w:rPr>
        <w:t>.</w:t>
      </w:r>
    </w:p>
    <w:p w:rsidR="00063BFA" w:rsidRDefault="00063BFA" w:rsidP="00CB11BE"/>
    <w:p w:rsidR="00707EBE" w:rsidRPr="00E0612F" w:rsidRDefault="00C429E3" w:rsidP="00CB11BE">
      <w:pPr>
        <w:rPr>
          <w:b/>
        </w:rPr>
      </w:pPr>
      <w:r w:rsidRPr="00063BFA">
        <w:rPr>
          <w:b/>
        </w:rPr>
        <w:t>TDI-modellen</w:t>
      </w:r>
      <w:r w:rsidR="00333AB5" w:rsidRPr="00063BFA">
        <w:rPr>
          <w:b/>
        </w:rPr>
        <w:t xml:space="preserve"> for etterutdanning</w:t>
      </w:r>
    </w:p>
    <w:p w:rsidR="00BF7A9E" w:rsidRDefault="00EA6530" w:rsidP="00BF7A9E">
      <w:pPr>
        <w:rPr>
          <w:rFonts w:ascii="Calibri" w:hAnsi="Calibri"/>
          <w:sz w:val="22"/>
          <w:szCs w:val="22"/>
        </w:rPr>
      </w:pPr>
      <w:r w:rsidRPr="00AB0154">
        <w:rPr>
          <w:sz w:val="22"/>
        </w:rPr>
        <w:t xml:space="preserve">UHR har utviklet en TDI-modell som hjelp til budsjettering av EVU. </w:t>
      </w:r>
      <w:r w:rsidR="00E0612F" w:rsidRPr="00AB0154">
        <w:rPr>
          <w:sz w:val="22"/>
        </w:rPr>
        <w:t xml:space="preserve">Økonomiavdelingen </w:t>
      </w:r>
      <w:r w:rsidR="00AF2877" w:rsidRPr="00AB0154">
        <w:rPr>
          <w:sz w:val="22"/>
        </w:rPr>
        <w:t>arbeider med</w:t>
      </w:r>
      <w:r w:rsidRPr="00AB0154">
        <w:rPr>
          <w:sz w:val="22"/>
        </w:rPr>
        <w:t xml:space="preserve"> en budsjettmal for </w:t>
      </w:r>
      <w:r w:rsidR="00AF2877" w:rsidRPr="00AB0154">
        <w:rPr>
          <w:sz w:val="22"/>
        </w:rPr>
        <w:t xml:space="preserve">EVU </w:t>
      </w:r>
      <w:r w:rsidRPr="00AB0154">
        <w:rPr>
          <w:sz w:val="22"/>
        </w:rPr>
        <w:t xml:space="preserve">basert på TDI-modellen. </w:t>
      </w:r>
      <w:r w:rsidR="008B51C5" w:rsidRPr="00AB0154">
        <w:rPr>
          <w:sz w:val="22"/>
        </w:rPr>
        <w:t xml:space="preserve">Inntil videre </w:t>
      </w:r>
      <w:r w:rsidR="00B75DB7" w:rsidRPr="00AB0154">
        <w:rPr>
          <w:sz w:val="22"/>
        </w:rPr>
        <w:t xml:space="preserve">(vår 2019) </w:t>
      </w:r>
      <w:r w:rsidR="008B51C5" w:rsidRPr="00AB0154">
        <w:rPr>
          <w:sz w:val="22"/>
        </w:rPr>
        <w:t>kan fakultetene benytte budsjettmalen som Seksjon for etter- og videreutdanning forvalter</w:t>
      </w:r>
      <w:r w:rsidR="00B75DB7" w:rsidRPr="00AB0154">
        <w:rPr>
          <w:sz w:val="22"/>
        </w:rPr>
        <w:t xml:space="preserve"> (med 40 % indirekte kostnader)</w:t>
      </w:r>
      <w:r w:rsidR="005B0F76" w:rsidRPr="00AB0154">
        <w:rPr>
          <w:sz w:val="22"/>
        </w:rPr>
        <w:t>,</w:t>
      </w:r>
      <w:r w:rsidR="00B75DB7" w:rsidRPr="00AB0154">
        <w:rPr>
          <w:sz w:val="22"/>
        </w:rPr>
        <w:t xml:space="preserve"> eller prøve ut </w:t>
      </w:r>
      <w:hyperlink r:id="rId25" w:history="1">
        <w:r w:rsidR="00B75DB7" w:rsidRPr="00BF7A9E">
          <w:rPr>
            <w:rStyle w:val="Hyperkobling"/>
            <w:sz w:val="22"/>
          </w:rPr>
          <w:t>TDI-malen</w:t>
        </w:r>
      </w:hyperlink>
      <w:r w:rsidR="00BF7A9E">
        <w:rPr>
          <w:sz w:val="22"/>
        </w:rPr>
        <w:t xml:space="preserve">. Spørsmål om TDI rettes til </w:t>
      </w:r>
      <w:hyperlink r:id="rId26" w:history="1">
        <w:r w:rsidR="00BF7A9E">
          <w:rPr>
            <w:rStyle w:val="Hyperkobling"/>
            <w:rFonts w:cs="Arial"/>
            <w:color w:val="0066CC"/>
            <w:sz w:val="21"/>
            <w:szCs w:val="21"/>
            <w:shd w:val="clear" w:color="auto" w:fill="FFFFFF"/>
          </w:rPr>
          <w:t>kontakt@okavd.ntnu.no</w:t>
        </w:r>
      </w:hyperlink>
      <w:r w:rsidR="00BF7A9E">
        <w:t>.</w:t>
      </w:r>
    </w:p>
    <w:p w:rsidR="00C429E3" w:rsidRPr="00E0612F" w:rsidRDefault="00C429E3" w:rsidP="009561D5">
      <w:pPr>
        <w:rPr>
          <w:color w:val="FF0000"/>
        </w:rPr>
      </w:pPr>
    </w:p>
    <w:p w:rsidR="000D66DF" w:rsidRPr="00063BFA" w:rsidRDefault="000D66DF" w:rsidP="00063BFA">
      <w:pPr>
        <w:rPr>
          <w:b/>
        </w:rPr>
      </w:pPr>
      <w:r w:rsidRPr="00E0612F">
        <w:rPr>
          <w:b/>
        </w:rPr>
        <w:t>Opplæring</w:t>
      </w:r>
    </w:p>
    <w:p w:rsidR="00063BFA" w:rsidRPr="00AB0154" w:rsidRDefault="00EA6530" w:rsidP="00063BFA">
      <w:pPr>
        <w:rPr>
          <w:sz w:val="22"/>
        </w:rPr>
      </w:pPr>
      <w:r w:rsidRPr="00AB0154">
        <w:rPr>
          <w:sz w:val="22"/>
        </w:rPr>
        <w:t>Fakultet som ønsker hjelp til opplæring i regelverk og leveransemodeller, kan kontakte Lise T. Sagdahl (</w:t>
      </w:r>
      <w:hyperlink r:id="rId27" w:history="1">
        <w:r w:rsidR="00063BFA" w:rsidRPr="00AB0154">
          <w:rPr>
            <w:rStyle w:val="Hyperkobling"/>
            <w:color w:val="0070C0"/>
            <w:sz w:val="22"/>
          </w:rPr>
          <w:t>lise.sagdahl@ntnu.no</w:t>
        </w:r>
      </w:hyperlink>
      <w:r w:rsidR="00063BFA" w:rsidRPr="00AB0154">
        <w:rPr>
          <w:sz w:val="22"/>
        </w:rPr>
        <w:t>)</w:t>
      </w:r>
      <w:r w:rsidR="00EF5C6F" w:rsidRPr="00AB0154">
        <w:rPr>
          <w:sz w:val="22"/>
        </w:rPr>
        <w:t xml:space="preserve">. </w:t>
      </w:r>
      <w:r w:rsidR="006B6E32" w:rsidRPr="00AB0154">
        <w:rPr>
          <w:sz w:val="22"/>
        </w:rPr>
        <w:t>Seksjon for etter- og videreutdanning kan bidra med hjelp i vurdering av leveransemodeller</w:t>
      </w:r>
      <w:r w:rsidR="00E9259D" w:rsidRPr="00AB0154">
        <w:rPr>
          <w:sz w:val="22"/>
        </w:rPr>
        <w:t xml:space="preserve"> (</w:t>
      </w:r>
      <w:hyperlink r:id="rId28" w:history="1">
        <w:r w:rsidR="00044602" w:rsidRPr="00AB0154">
          <w:rPr>
            <w:rStyle w:val="Hyperkobling"/>
            <w:sz w:val="22"/>
          </w:rPr>
          <w:t>videre@ntnu.no</w:t>
        </w:r>
      </w:hyperlink>
      <w:r w:rsidR="00E9259D" w:rsidRPr="00AB0154">
        <w:rPr>
          <w:sz w:val="22"/>
        </w:rPr>
        <w:t>).</w:t>
      </w:r>
    </w:p>
    <w:p w:rsidR="00063BFA" w:rsidRDefault="00063BFA" w:rsidP="00063BFA"/>
    <w:p w:rsidR="00707EBE" w:rsidRPr="005B0F76" w:rsidRDefault="005B0F76" w:rsidP="00063BFA">
      <w:pPr>
        <w:rPr>
          <w:b/>
        </w:rPr>
      </w:pPr>
      <w:r w:rsidRPr="005B0F76">
        <w:rPr>
          <w:b/>
        </w:rPr>
        <w:t>Spørsmål</w:t>
      </w:r>
    </w:p>
    <w:p w:rsidR="005B0F76" w:rsidRPr="00AC0716" w:rsidRDefault="005B0F76" w:rsidP="00063BFA">
      <w:pPr>
        <w:rPr>
          <w:sz w:val="22"/>
          <w:szCs w:val="22"/>
        </w:rPr>
      </w:pPr>
      <w:r w:rsidRPr="00AC0716">
        <w:rPr>
          <w:sz w:val="22"/>
          <w:szCs w:val="22"/>
        </w:rPr>
        <w:t xml:space="preserve">Det er opprettet en </w:t>
      </w:r>
      <w:r w:rsidR="00063BFA" w:rsidRPr="00AC0716">
        <w:rPr>
          <w:sz w:val="22"/>
          <w:szCs w:val="22"/>
        </w:rPr>
        <w:t>wiki</w:t>
      </w:r>
      <w:r w:rsidRPr="00AC0716">
        <w:rPr>
          <w:sz w:val="22"/>
          <w:szCs w:val="22"/>
        </w:rPr>
        <w:t>side</w:t>
      </w:r>
      <w:r w:rsidR="0097581D" w:rsidRPr="00AC0716">
        <w:rPr>
          <w:sz w:val="22"/>
          <w:szCs w:val="22"/>
        </w:rPr>
        <w:t>,</w:t>
      </w:r>
      <w:r w:rsidRPr="00AC0716">
        <w:rPr>
          <w:sz w:val="22"/>
          <w:szCs w:val="22"/>
        </w:rPr>
        <w:t xml:space="preserve"> </w:t>
      </w:r>
      <w:hyperlink r:id="rId29" w:history="1">
        <w:r w:rsidR="00063BFA" w:rsidRPr="00AC0716">
          <w:rPr>
            <w:rStyle w:val="Hyperkobling"/>
            <w:sz w:val="22"/>
            <w:szCs w:val="22"/>
          </w:rPr>
          <w:t>Utredninger og høringer om etter- og videreutdanning</w:t>
        </w:r>
      </w:hyperlink>
      <w:r w:rsidR="0097581D" w:rsidRPr="00AC0716">
        <w:rPr>
          <w:sz w:val="22"/>
          <w:szCs w:val="22"/>
        </w:rPr>
        <w:t>,</w:t>
      </w:r>
      <w:r w:rsidR="00063BFA" w:rsidRPr="00AC0716">
        <w:rPr>
          <w:sz w:val="22"/>
          <w:szCs w:val="22"/>
        </w:rPr>
        <w:t xml:space="preserve"> </w:t>
      </w:r>
      <w:r w:rsidRPr="00AC0716">
        <w:rPr>
          <w:sz w:val="22"/>
          <w:szCs w:val="22"/>
        </w:rPr>
        <w:t xml:space="preserve">der rapporter, </w:t>
      </w:r>
      <w:r w:rsidR="0097581D" w:rsidRPr="00AC0716">
        <w:rPr>
          <w:sz w:val="22"/>
          <w:szCs w:val="22"/>
        </w:rPr>
        <w:t>simuleringsmodell</w:t>
      </w:r>
      <w:r w:rsidRPr="00AC0716">
        <w:rPr>
          <w:sz w:val="22"/>
          <w:szCs w:val="22"/>
        </w:rPr>
        <w:t xml:space="preserve"> og presentasjoner av regelverket, er tilgjengelig. </w:t>
      </w:r>
      <w:r w:rsidR="0097581D" w:rsidRPr="00AC0716">
        <w:rPr>
          <w:sz w:val="22"/>
          <w:szCs w:val="22"/>
        </w:rPr>
        <w:t>Høringsbrev vil bli lagt ut på samme side.</w:t>
      </w:r>
    </w:p>
    <w:p w:rsidR="005B0F76" w:rsidRPr="00AC0716" w:rsidRDefault="005B0F76" w:rsidP="00063BFA">
      <w:pPr>
        <w:rPr>
          <w:sz w:val="22"/>
          <w:szCs w:val="22"/>
        </w:rPr>
      </w:pPr>
    </w:p>
    <w:p w:rsidR="00611985" w:rsidRDefault="004609C3" w:rsidP="00611985">
      <w:pPr>
        <w:rPr>
          <w:sz w:val="22"/>
          <w:szCs w:val="22"/>
        </w:rPr>
      </w:pPr>
      <w:r w:rsidRPr="00AC0716">
        <w:rPr>
          <w:sz w:val="22"/>
          <w:szCs w:val="22"/>
        </w:rPr>
        <w:t>Spørsmål til bestillingen</w:t>
      </w:r>
      <w:r w:rsidR="00903915" w:rsidRPr="00AC0716">
        <w:rPr>
          <w:sz w:val="22"/>
          <w:szCs w:val="22"/>
        </w:rPr>
        <w:t>, regnearket og</w:t>
      </w:r>
      <w:r w:rsidR="007A3AF1" w:rsidRPr="00AC0716">
        <w:rPr>
          <w:sz w:val="22"/>
          <w:szCs w:val="22"/>
        </w:rPr>
        <w:t xml:space="preserve"> regelverket</w:t>
      </w:r>
      <w:r w:rsidRPr="00AC0716">
        <w:rPr>
          <w:sz w:val="22"/>
          <w:szCs w:val="22"/>
        </w:rPr>
        <w:t xml:space="preserve"> kan rettes til Lise T. Sagdahl</w:t>
      </w:r>
      <w:r w:rsidR="007A3AF1" w:rsidRPr="00AC0716">
        <w:rPr>
          <w:sz w:val="22"/>
          <w:szCs w:val="22"/>
        </w:rPr>
        <w:t>, gjerne</w:t>
      </w:r>
      <w:r w:rsidRPr="00AC0716">
        <w:rPr>
          <w:sz w:val="22"/>
          <w:szCs w:val="22"/>
        </w:rPr>
        <w:t xml:space="preserve"> på epost.</w:t>
      </w:r>
      <w:bookmarkStart w:id="39" w:name="lblHilsen"/>
    </w:p>
    <w:p w:rsidR="00611985" w:rsidRDefault="00611985" w:rsidP="00611985">
      <w:pPr>
        <w:rPr>
          <w:sz w:val="22"/>
          <w:szCs w:val="22"/>
        </w:rPr>
      </w:pPr>
    </w:p>
    <w:p w:rsidR="00611985" w:rsidRDefault="009561D5" w:rsidP="00611985">
      <w:pPr>
        <w:rPr>
          <w:sz w:val="22"/>
          <w:szCs w:val="22"/>
        </w:rPr>
      </w:pPr>
      <w:r w:rsidRPr="00AC0716">
        <w:rPr>
          <w:sz w:val="22"/>
          <w:szCs w:val="22"/>
        </w:rPr>
        <w:t>Med hilsen</w:t>
      </w:r>
      <w:bookmarkEnd w:id="39"/>
    </w:p>
    <w:p w:rsidR="00611985" w:rsidRDefault="00611985" w:rsidP="00611985">
      <w:pPr>
        <w:rPr>
          <w:sz w:val="22"/>
          <w:szCs w:val="22"/>
        </w:rPr>
      </w:pPr>
    </w:p>
    <w:p w:rsidR="00707EBE" w:rsidRPr="00AC0716" w:rsidRDefault="00707EBE" w:rsidP="00611985">
      <w:pPr>
        <w:rPr>
          <w:sz w:val="22"/>
          <w:szCs w:val="22"/>
        </w:rPr>
      </w:pPr>
      <w:r w:rsidRPr="00AC0716">
        <w:rPr>
          <w:sz w:val="22"/>
          <w:szCs w:val="22"/>
        </w:rPr>
        <w:t>Roar Tobro</w:t>
      </w:r>
      <w:r w:rsidRPr="00AC0716">
        <w:rPr>
          <w:sz w:val="22"/>
          <w:szCs w:val="22"/>
        </w:rPr>
        <w:tab/>
      </w:r>
      <w:r w:rsidRPr="00AC0716">
        <w:rPr>
          <w:sz w:val="22"/>
          <w:szCs w:val="22"/>
        </w:rPr>
        <w:tab/>
      </w:r>
      <w:r w:rsidRPr="00AC0716">
        <w:rPr>
          <w:sz w:val="22"/>
          <w:szCs w:val="22"/>
        </w:rPr>
        <w:tab/>
      </w:r>
      <w:r w:rsidRPr="00AC0716">
        <w:rPr>
          <w:sz w:val="22"/>
          <w:szCs w:val="22"/>
        </w:rPr>
        <w:tab/>
      </w:r>
      <w:r w:rsidRPr="00AC0716">
        <w:rPr>
          <w:sz w:val="22"/>
          <w:szCs w:val="22"/>
        </w:rPr>
        <w:tab/>
      </w:r>
      <w:r w:rsidRPr="00AC0716">
        <w:rPr>
          <w:sz w:val="22"/>
          <w:szCs w:val="22"/>
        </w:rPr>
        <w:tab/>
      </w:r>
      <w:r w:rsidRPr="00AC0716">
        <w:rPr>
          <w:sz w:val="22"/>
          <w:szCs w:val="22"/>
        </w:rPr>
        <w:tab/>
        <w:t>Lise T. Sagdahl</w:t>
      </w:r>
    </w:p>
    <w:p w:rsidR="009561D5" w:rsidRDefault="009561D5" w:rsidP="009561D5"/>
    <w:p w:rsidR="00611985" w:rsidRDefault="00611985" w:rsidP="009561D5"/>
    <w:p w:rsidR="00AB1AFE" w:rsidRDefault="0061778C" w:rsidP="0061778C">
      <w:pPr>
        <w:ind w:left="0"/>
        <w:rPr>
          <w:sz w:val="22"/>
        </w:rPr>
      </w:pPr>
      <w:r w:rsidRPr="00E31B3D">
        <w:rPr>
          <w:sz w:val="22"/>
        </w:rPr>
        <w:t xml:space="preserve">Vedlegg: </w:t>
      </w:r>
    </w:p>
    <w:p w:rsidR="0061778C" w:rsidRPr="00E31B3D" w:rsidRDefault="0061778C" w:rsidP="0061778C">
      <w:pPr>
        <w:ind w:left="0"/>
        <w:rPr>
          <w:sz w:val="22"/>
        </w:rPr>
      </w:pPr>
      <w:r w:rsidRPr="00E31B3D">
        <w:rPr>
          <w:sz w:val="22"/>
        </w:rPr>
        <w:t>Regneark med oversikt over videreutdanning</w:t>
      </w:r>
      <w:r w:rsidR="00AF1A9A">
        <w:rPr>
          <w:sz w:val="22"/>
        </w:rPr>
        <w:t>er</w:t>
      </w:r>
      <w:r w:rsidRPr="00E31B3D">
        <w:rPr>
          <w:sz w:val="22"/>
        </w:rPr>
        <w:t xml:space="preserve"> 2016/2017</w:t>
      </w:r>
      <w:r w:rsidR="00611985">
        <w:rPr>
          <w:sz w:val="22"/>
        </w:rPr>
        <w:t xml:space="preserve"> (Tallgrunnlag EVU bestilling</w:t>
      </w:r>
      <w:r w:rsidR="00AB1AFE">
        <w:rPr>
          <w:sz w:val="22"/>
        </w:rPr>
        <w:t>.xlsx)</w:t>
      </w:r>
    </w:p>
    <w:sectPr w:rsidR="0061778C" w:rsidRPr="00E31B3D">
      <w:headerReference w:type="even" r:id="rId30"/>
      <w:headerReference w:type="default" r:id="rId31"/>
      <w:footerReference w:type="even" r:id="rId32"/>
      <w:footerReference w:type="default" r:id="rId33"/>
      <w:headerReference w:type="first" r:id="rId34"/>
      <w:footerReference w:type="first" r:id="rId35"/>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3D6" w:rsidRDefault="003143D6">
      <w:r>
        <w:separator/>
      </w:r>
    </w:p>
  </w:endnote>
  <w:endnote w:type="continuationSeparator" w:id="0">
    <w:p w:rsidR="003143D6" w:rsidRDefault="0031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12" w:rsidRDefault="009654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12" w:rsidRDefault="0096541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D5" w:rsidRDefault="009561D5" w:rsidP="004A58C2">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176D2C" w:rsidRPr="00176D2C" w:rsidTr="00491517">
      <w:tc>
        <w:tcPr>
          <w:tcW w:w="1916" w:type="dxa"/>
        </w:tcPr>
        <w:p w:rsidR="00176D2C" w:rsidRPr="00176D2C" w:rsidRDefault="00176D2C" w:rsidP="0015224A">
          <w:pPr>
            <w:pStyle w:val="FooterFet"/>
            <w:tabs>
              <w:tab w:val="clear" w:pos="1916"/>
              <w:tab w:val="clear" w:pos="4360"/>
              <w:tab w:val="clear" w:pos="6282"/>
              <w:tab w:val="clear" w:pos="8023"/>
            </w:tabs>
            <w:ind w:left="0"/>
          </w:pPr>
          <w:bookmarkStart w:id="12" w:name="lblPostadresse"/>
          <w:r w:rsidRPr="00176D2C">
            <w:t>Postadresse</w:t>
          </w:r>
          <w:bookmarkEnd w:id="12"/>
        </w:p>
      </w:tc>
      <w:tc>
        <w:tcPr>
          <w:tcW w:w="2444" w:type="dxa"/>
        </w:tcPr>
        <w:p w:rsidR="00176D2C" w:rsidRPr="00176D2C" w:rsidRDefault="00176D2C" w:rsidP="0015224A">
          <w:pPr>
            <w:pStyle w:val="FooterFet"/>
            <w:tabs>
              <w:tab w:val="clear" w:pos="1916"/>
              <w:tab w:val="clear" w:pos="4360"/>
              <w:tab w:val="clear" w:pos="6282"/>
              <w:tab w:val="clear" w:pos="8023"/>
            </w:tabs>
            <w:ind w:left="0"/>
            <w:rPr>
              <w:bCs/>
            </w:rPr>
          </w:pPr>
          <w:bookmarkStart w:id="13" w:name="lblOrgnr"/>
          <w:r w:rsidRPr="00176D2C">
            <w:t>Org.nr.</w:t>
          </w:r>
          <w:bookmarkEnd w:id="13"/>
          <w:r w:rsidRPr="00176D2C">
            <w:t xml:space="preserve"> 974 767 880</w:t>
          </w:r>
        </w:p>
      </w:tc>
      <w:tc>
        <w:tcPr>
          <w:tcW w:w="1922" w:type="dxa"/>
        </w:tcPr>
        <w:p w:rsidR="00176D2C" w:rsidRPr="00176D2C" w:rsidRDefault="00176D2C" w:rsidP="0015224A">
          <w:pPr>
            <w:pStyle w:val="FooterFet"/>
            <w:tabs>
              <w:tab w:val="clear" w:pos="1916"/>
              <w:tab w:val="clear" w:pos="4360"/>
              <w:tab w:val="clear" w:pos="6282"/>
              <w:tab w:val="clear" w:pos="8023"/>
            </w:tabs>
            <w:ind w:left="0"/>
          </w:pPr>
          <w:bookmarkStart w:id="14" w:name="lblBesoksAdresse"/>
          <w:r w:rsidRPr="00176D2C">
            <w:t>Besøksadresse</w:t>
          </w:r>
          <w:bookmarkEnd w:id="14"/>
        </w:p>
      </w:tc>
      <w:tc>
        <w:tcPr>
          <w:tcW w:w="1741" w:type="dxa"/>
        </w:tcPr>
        <w:p w:rsidR="00176D2C" w:rsidRPr="00176D2C" w:rsidRDefault="00176D2C" w:rsidP="0015224A">
          <w:pPr>
            <w:pStyle w:val="FooterFet"/>
            <w:tabs>
              <w:tab w:val="clear" w:pos="1916"/>
              <w:tab w:val="clear" w:pos="4360"/>
              <w:tab w:val="clear" w:pos="6282"/>
              <w:tab w:val="clear" w:pos="8023"/>
            </w:tabs>
            <w:ind w:left="0"/>
          </w:pPr>
          <w:bookmarkStart w:id="15" w:name="lblTelefon"/>
          <w:r w:rsidRPr="00176D2C">
            <w:t>Telefon</w:t>
          </w:r>
          <w:bookmarkEnd w:id="15"/>
        </w:p>
      </w:tc>
      <w:tc>
        <w:tcPr>
          <w:tcW w:w="1761" w:type="dxa"/>
        </w:tcPr>
        <w:p w:rsidR="00176D2C" w:rsidRPr="00176D2C" w:rsidRDefault="00176D2C" w:rsidP="0015224A">
          <w:pPr>
            <w:pStyle w:val="FooterFet"/>
            <w:tabs>
              <w:tab w:val="clear" w:pos="1916"/>
              <w:tab w:val="clear" w:pos="4360"/>
              <w:tab w:val="clear" w:pos="6282"/>
              <w:tab w:val="clear" w:pos="8023"/>
            </w:tabs>
            <w:ind w:left="0"/>
            <w:rPr>
              <w:bCs/>
            </w:rPr>
          </w:pPr>
          <w:bookmarkStart w:id="16" w:name="lblSaksbehandler"/>
          <w:r w:rsidRPr="00176D2C">
            <w:t>Saksbehandler</w:t>
          </w:r>
          <w:bookmarkEnd w:id="16"/>
        </w:p>
      </w:tc>
    </w:tr>
    <w:tr w:rsidR="00176D2C" w:rsidRPr="00176D2C" w:rsidTr="00491517">
      <w:tc>
        <w:tcPr>
          <w:tcW w:w="1916" w:type="dxa"/>
        </w:tcPr>
        <w:p w:rsidR="00176D2C" w:rsidRPr="00176D2C" w:rsidRDefault="00176D2C" w:rsidP="0015224A">
          <w:pPr>
            <w:pStyle w:val="FooterTekst"/>
            <w:tabs>
              <w:tab w:val="clear" w:pos="1916"/>
              <w:tab w:val="clear" w:pos="4360"/>
              <w:tab w:val="clear" w:pos="6282"/>
              <w:tab w:val="clear" w:pos="8023"/>
            </w:tabs>
            <w:ind w:left="0"/>
          </w:pPr>
          <w:bookmarkStart w:id="17" w:name="info_Postadresse1"/>
          <w:bookmarkEnd w:id="17"/>
        </w:p>
      </w:tc>
      <w:tc>
        <w:tcPr>
          <w:tcW w:w="2444" w:type="dxa"/>
        </w:tcPr>
        <w:p w:rsidR="00176D2C" w:rsidRPr="00176D2C" w:rsidRDefault="00176D2C" w:rsidP="0015224A">
          <w:pPr>
            <w:pStyle w:val="FooterTekst"/>
            <w:tabs>
              <w:tab w:val="clear" w:pos="1916"/>
              <w:tab w:val="clear" w:pos="4360"/>
              <w:tab w:val="clear" w:pos="6282"/>
              <w:tab w:val="clear" w:pos="8023"/>
            </w:tabs>
            <w:ind w:left="0"/>
          </w:pPr>
          <w:r w:rsidRPr="00176D2C">
            <w:t xml:space="preserve"> </w:t>
          </w:r>
        </w:p>
      </w:tc>
      <w:tc>
        <w:tcPr>
          <w:tcW w:w="1922" w:type="dxa"/>
        </w:tcPr>
        <w:p w:rsidR="00176D2C" w:rsidRPr="00176D2C" w:rsidRDefault="0063486D" w:rsidP="0015224A">
          <w:pPr>
            <w:pStyle w:val="FooterTekst"/>
            <w:tabs>
              <w:tab w:val="clear" w:pos="1916"/>
              <w:tab w:val="clear" w:pos="4360"/>
              <w:tab w:val="clear" w:pos="6282"/>
              <w:tab w:val="clear" w:pos="8023"/>
            </w:tabs>
            <w:ind w:left="0"/>
          </w:pPr>
          <w:bookmarkStart w:id="18" w:name="info_Besok1"/>
          <w:r>
            <w:t>Høgskoleringen 1</w:t>
          </w:r>
          <w:bookmarkEnd w:id="18"/>
        </w:p>
      </w:tc>
      <w:tc>
        <w:tcPr>
          <w:tcW w:w="1741" w:type="dxa"/>
        </w:tcPr>
        <w:p w:rsidR="00176D2C" w:rsidRPr="00176D2C" w:rsidRDefault="0063486D" w:rsidP="0015224A">
          <w:pPr>
            <w:pStyle w:val="FooterTekst"/>
            <w:tabs>
              <w:tab w:val="clear" w:pos="1916"/>
              <w:tab w:val="clear" w:pos="4360"/>
              <w:tab w:val="clear" w:pos="6282"/>
              <w:tab w:val="clear" w:pos="8023"/>
            </w:tabs>
            <w:ind w:left="0"/>
          </w:pPr>
          <w:bookmarkStart w:id="19" w:name="info_telefon"/>
          <w:r>
            <w:t>+47 73595000</w:t>
          </w:r>
          <w:bookmarkEnd w:id="19"/>
        </w:p>
      </w:tc>
      <w:tc>
        <w:tcPr>
          <w:tcW w:w="1761" w:type="dxa"/>
        </w:tcPr>
        <w:p w:rsidR="00176D2C" w:rsidRPr="00176D2C" w:rsidRDefault="0063486D" w:rsidP="0015224A">
          <w:pPr>
            <w:pStyle w:val="FooterTekst"/>
            <w:tabs>
              <w:tab w:val="clear" w:pos="1916"/>
              <w:tab w:val="clear" w:pos="4360"/>
              <w:tab w:val="clear" w:pos="6282"/>
              <w:tab w:val="clear" w:pos="8023"/>
            </w:tabs>
            <w:ind w:left="0"/>
          </w:pPr>
          <w:bookmarkStart w:id="20" w:name="personlig_fornavn"/>
          <w:r>
            <w:t>Lise T. Sagdahl</w:t>
          </w:r>
          <w:bookmarkEnd w:id="20"/>
          <w:r w:rsidR="00176D2C" w:rsidRPr="00176D2C">
            <w:t xml:space="preserve"> </w:t>
          </w:r>
          <w:bookmarkStart w:id="21" w:name="personlig_etternavn"/>
          <w:bookmarkEnd w:id="21"/>
        </w:p>
      </w:tc>
    </w:tr>
    <w:tr w:rsidR="00176D2C" w:rsidRPr="00176D2C" w:rsidTr="00491517">
      <w:tc>
        <w:tcPr>
          <w:tcW w:w="1916" w:type="dxa"/>
        </w:tcPr>
        <w:p w:rsidR="00176D2C" w:rsidRPr="00176D2C" w:rsidRDefault="0063486D" w:rsidP="0015224A">
          <w:pPr>
            <w:pStyle w:val="FooterTekst"/>
            <w:tabs>
              <w:tab w:val="clear" w:pos="1916"/>
              <w:tab w:val="clear" w:pos="4360"/>
              <w:tab w:val="clear" w:pos="6282"/>
              <w:tab w:val="clear" w:pos="8023"/>
            </w:tabs>
            <w:ind w:left="0"/>
          </w:pPr>
          <w:bookmarkStart w:id="22" w:name="info_Postadresse2"/>
          <w:r>
            <w:t>7491 Trondheim</w:t>
          </w:r>
          <w:bookmarkEnd w:id="22"/>
        </w:p>
      </w:tc>
      <w:tc>
        <w:tcPr>
          <w:tcW w:w="2444" w:type="dxa"/>
        </w:tcPr>
        <w:p w:rsidR="00176D2C" w:rsidRPr="00176D2C" w:rsidRDefault="0063486D" w:rsidP="0015224A">
          <w:pPr>
            <w:pStyle w:val="FooterTekst"/>
            <w:tabs>
              <w:tab w:val="clear" w:pos="1916"/>
              <w:tab w:val="clear" w:pos="4360"/>
              <w:tab w:val="clear" w:pos="6282"/>
              <w:tab w:val="clear" w:pos="8023"/>
            </w:tabs>
            <w:ind w:left="0"/>
          </w:pPr>
          <w:bookmarkStart w:id="23" w:name="info_epost"/>
          <w:r>
            <w:t>postmottak@ntnu.no</w:t>
          </w:r>
          <w:bookmarkEnd w:id="23"/>
        </w:p>
      </w:tc>
      <w:tc>
        <w:tcPr>
          <w:tcW w:w="1922" w:type="dxa"/>
        </w:tcPr>
        <w:p w:rsidR="00176D2C" w:rsidRPr="00176D2C" w:rsidRDefault="0063486D" w:rsidP="0015224A">
          <w:pPr>
            <w:pStyle w:val="FooterTekst"/>
            <w:tabs>
              <w:tab w:val="clear" w:pos="1916"/>
              <w:tab w:val="clear" w:pos="4360"/>
              <w:tab w:val="clear" w:pos="6282"/>
              <w:tab w:val="clear" w:pos="8023"/>
            </w:tabs>
            <w:ind w:left="0"/>
          </w:pPr>
          <w:bookmarkStart w:id="24" w:name="info_Besok2"/>
          <w:r>
            <w:t xml:space="preserve">Hovedbygningen, 2. </w:t>
          </w:r>
          <w:proofErr w:type="spellStart"/>
          <w:r>
            <w:t>etg</w:t>
          </w:r>
          <w:proofErr w:type="spellEnd"/>
          <w:r>
            <w:t>.</w:t>
          </w:r>
          <w:bookmarkEnd w:id="24"/>
        </w:p>
      </w:tc>
      <w:tc>
        <w:tcPr>
          <w:tcW w:w="1741" w:type="dxa"/>
        </w:tcPr>
        <w:p w:rsidR="00176D2C" w:rsidRPr="00176D2C" w:rsidRDefault="00176D2C" w:rsidP="00DB4738">
          <w:pPr>
            <w:pStyle w:val="FooterTekst"/>
            <w:tabs>
              <w:tab w:val="clear" w:pos="1916"/>
              <w:tab w:val="clear" w:pos="4360"/>
              <w:tab w:val="clear" w:pos="6282"/>
              <w:tab w:val="clear" w:pos="8023"/>
            </w:tabs>
            <w:ind w:left="0"/>
          </w:pPr>
        </w:p>
      </w:tc>
      <w:tc>
        <w:tcPr>
          <w:tcW w:w="1761" w:type="dxa"/>
        </w:tcPr>
        <w:p w:rsidR="00176D2C" w:rsidRPr="00176D2C" w:rsidRDefault="0063486D" w:rsidP="0015224A">
          <w:pPr>
            <w:pStyle w:val="FooterTekst"/>
            <w:tabs>
              <w:tab w:val="clear" w:pos="1916"/>
              <w:tab w:val="clear" w:pos="4360"/>
              <w:tab w:val="clear" w:pos="6282"/>
              <w:tab w:val="clear" w:pos="8023"/>
            </w:tabs>
            <w:ind w:left="0"/>
          </w:pPr>
          <w:bookmarkStart w:id="25" w:name="personlig_epost"/>
          <w:r>
            <w:t>lise.sagdahl@ntnu.no</w:t>
          </w:r>
          <w:bookmarkEnd w:id="25"/>
        </w:p>
      </w:tc>
    </w:tr>
    <w:tr w:rsidR="00176D2C" w:rsidRPr="00176D2C" w:rsidTr="00491517">
      <w:tc>
        <w:tcPr>
          <w:tcW w:w="1916" w:type="dxa"/>
        </w:tcPr>
        <w:p w:rsidR="00176D2C" w:rsidRPr="00176D2C" w:rsidRDefault="0063486D" w:rsidP="0015224A">
          <w:pPr>
            <w:pStyle w:val="FooterTekst"/>
            <w:tabs>
              <w:tab w:val="clear" w:pos="1916"/>
              <w:tab w:val="clear" w:pos="4360"/>
              <w:tab w:val="clear" w:pos="6282"/>
              <w:tab w:val="clear" w:pos="8023"/>
            </w:tabs>
            <w:ind w:left="0"/>
          </w:pPr>
          <w:bookmarkStart w:id="26" w:name="info_Postadresse3"/>
          <w:r>
            <w:t>Norway</w:t>
          </w:r>
          <w:bookmarkEnd w:id="26"/>
        </w:p>
      </w:tc>
      <w:tc>
        <w:tcPr>
          <w:tcW w:w="2444" w:type="dxa"/>
        </w:tcPr>
        <w:p w:rsidR="00176D2C" w:rsidRPr="0063486D" w:rsidRDefault="0063486D" w:rsidP="0015224A">
          <w:pPr>
            <w:pStyle w:val="FooterTekst"/>
            <w:tabs>
              <w:tab w:val="clear" w:pos="1916"/>
              <w:tab w:val="clear" w:pos="4360"/>
              <w:tab w:val="clear" w:pos="6282"/>
              <w:tab w:val="clear" w:pos="8023"/>
            </w:tabs>
            <w:ind w:left="0"/>
          </w:pPr>
          <w:bookmarkStart w:id="27" w:name="info_web"/>
          <w:r>
            <w:t>www.ntnu.no/adm/virksom</w:t>
          </w:r>
          <w:bookmarkEnd w:id="27"/>
        </w:p>
      </w:tc>
      <w:tc>
        <w:tcPr>
          <w:tcW w:w="1922" w:type="dxa"/>
        </w:tcPr>
        <w:p w:rsidR="00176D2C" w:rsidRPr="0063486D" w:rsidRDefault="00176D2C" w:rsidP="0015224A">
          <w:pPr>
            <w:pStyle w:val="FooterTekst"/>
            <w:tabs>
              <w:tab w:val="clear" w:pos="1916"/>
              <w:tab w:val="clear" w:pos="4360"/>
              <w:tab w:val="clear" w:pos="6282"/>
              <w:tab w:val="clear" w:pos="8023"/>
            </w:tabs>
            <w:ind w:left="0"/>
          </w:pPr>
          <w:bookmarkStart w:id="28" w:name="info_Besok3"/>
          <w:bookmarkEnd w:id="28"/>
        </w:p>
      </w:tc>
      <w:tc>
        <w:tcPr>
          <w:tcW w:w="1741" w:type="dxa"/>
        </w:tcPr>
        <w:p w:rsidR="00DB4738" w:rsidRPr="0063486D" w:rsidRDefault="00DB4738" w:rsidP="0015224A">
          <w:pPr>
            <w:pStyle w:val="FooterTekst"/>
            <w:tabs>
              <w:tab w:val="clear" w:pos="1916"/>
              <w:tab w:val="clear" w:pos="4360"/>
              <w:tab w:val="clear" w:pos="6282"/>
              <w:tab w:val="clear" w:pos="8023"/>
            </w:tabs>
            <w:ind w:left="0"/>
          </w:pPr>
        </w:p>
      </w:tc>
      <w:tc>
        <w:tcPr>
          <w:tcW w:w="1761" w:type="dxa"/>
        </w:tcPr>
        <w:p w:rsidR="00176D2C" w:rsidRPr="00176D2C" w:rsidRDefault="00176D2C" w:rsidP="0015224A">
          <w:pPr>
            <w:pStyle w:val="FooterTekst"/>
            <w:tabs>
              <w:tab w:val="clear" w:pos="1916"/>
              <w:tab w:val="clear" w:pos="4360"/>
              <w:tab w:val="clear" w:pos="6282"/>
              <w:tab w:val="clear" w:pos="8023"/>
            </w:tabs>
            <w:ind w:left="0"/>
            <w:rPr>
              <w:lang w:val="en-US"/>
            </w:rPr>
          </w:pPr>
          <w:bookmarkStart w:id="29" w:name="lblTlf"/>
          <w:proofErr w:type="spellStart"/>
          <w:r w:rsidRPr="00176D2C">
            <w:rPr>
              <w:lang w:val="en-US"/>
            </w:rPr>
            <w:t>Tlf</w:t>
          </w:r>
          <w:proofErr w:type="spellEnd"/>
          <w:r w:rsidRPr="00176D2C">
            <w:rPr>
              <w:lang w:val="en-US"/>
            </w:rPr>
            <w:t>:</w:t>
          </w:r>
          <w:bookmarkEnd w:id="29"/>
          <w:r w:rsidRPr="00176D2C">
            <w:rPr>
              <w:lang w:val="en-US"/>
            </w:rPr>
            <w:t xml:space="preserve"> </w:t>
          </w:r>
          <w:bookmarkStart w:id="30" w:name="personlig_personligTelefon"/>
          <w:r w:rsidR="0063486D">
            <w:rPr>
              <w:lang w:val="en-US"/>
            </w:rPr>
            <w:t>+ 47 92296700</w:t>
          </w:r>
          <w:bookmarkEnd w:id="30"/>
          <w:r w:rsidRPr="00176D2C">
            <w:rPr>
              <w:lang w:val="en-US"/>
            </w:rPr>
            <w:t xml:space="preserve"> </w:t>
          </w:r>
        </w:p>
      </w:tc>
    </w:tr>
  </w:tbl>
  <w:p w:rsidR="009561D5" w:rsidRDefault="009561D5" w:rsidP="004A58C2">
    <w:pPr>
      <w:pStyle w:val="Bunntekst"/>
      <w:rPr>
        <w:sz w:val="6"/>
        <w:lang w:val="en-US"/>
      </w:rPr>
    </w:pPr>
  </w:p>
  <w:p w:rsidR="009561D5" w:rsidRPr="000A2455" w:rsidRDefault="00DB4738" w:rsidP="000A2455">
    <w:pPr>
      <w:pStyle w:val="FooterGraa"/>
    </w:pPr>
    <w:bookmarkStart w:id="31" w:name="lblBunntekst"/>
    <w:r w:rsidRPr="000A2455">
      <w:t>Adress</w:t>
    </w:r>
    <w:r w:rsidR="004A3DE0" w:rsidRPr="000A2455">
      <w:t>e</w:t>
    </w:r>
    <w:r w:rsidRPr="000A2455">
      <w:t>r korrespondanse til saksbehandlende enhet. Husk å oppgi referanse.</w:t>
    </w:r>
    <w:bookmarkEnd w:id="31"/>
  </w:p>
  <w:p w:rsidR="009561D5" w:rsidRDefault="009561D5" w:rsidP="004A58C2">
    <w:pPr>
      <w:pStyle w:val="Bunntekst"/>
    </w:pPr>
  </w:p>
  <w:p w:rsidR="009561D5" w:rsidRPr="004A3DE0" w:rsidRDefault="009561D5" w:rsidP="004A58C2">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80" w:rsidRDefault="00494780">
    <w:pPr>
      <w:pStyle w:val="Bunntekst"/>
    </w:pPr>
  </w:p>
  <w:p w:rsidR="00494780" w:rsidRDefault="00494780"/>
  <w:p w:rsidR="001A79AE" w:rsidRDefault="001A79A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80" w:rsidRDefault="00494780">
    <w:pPr>
      <w:pStyle w:val="Bunntekst"/>
    </w:pPr>
  </w:p>
  <w:p w:rsidR="00494780" w:rsidRDefault="00494780"/>
  <w:p w:rsidR="001A79AE" w:rsidRDefault="001A79A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80" w:rsidRDefault="00494780">
    <w:pPr>
      <w:pStyle w:val="Bunntekst"/>
      <w:pBdr>
        <w:bottom w:val="single" w:sz="4" w:space="1" w:color="auto"/>
      </w:pBdr>
    </w:pPr>
  </w:p>
  <w:p w:rsidR="00494780" w:rsidRDefault="00494780">
    <w:pPr>
      <w:pStyle w:val="FooterFet"/>
      <w:rPr>
        <w:bCs/>
      </w:rPr>
    </w:pPr>
    <w:r>
      <w:t>Postadresse</w:t>
    </w:r>
    <w:r>
      <w:tab/>
      <w:t xml:space="preserve">Org.nr. </w:t>
    </w:r>
    <w:r>
      <w:rPr>
        <w:b w:val="0"/>
        <w:bCs/>
      </w:rPr>
      <w:t>974 767 880</w:t>
    </w:r>
    <w:r>
      <w:rPr>
        <w:bCs/>
      </w:rPr>
      <w:tab/>
    </w:r>
    <w:r>
      <w:t>Besøksadresse</w:t>
    </w:r>
    <w:r>
      <w:tab/>
      <w:t>Telefon</w:t>
    </w:r>
    <w:r>
      <w:tab/>
    </w:r>
    <w:bookmarkStart w:id="46" w:name="tittel"/>
    <w:bookmarkEnd w:id="46"/>
  </w:p>
  <w:p w:rsidR="00494780" w:rsidRDefault="00494780">
    <w:pPr>
      <w:pStyle w:val="FooterTekst"/>
    </w:pPr>
    <w:r>
      <w:t>7491 Trondheim</w:t>
    </w:r>
    <w:r>
      <w:tab/>
      <w:t>E-post:</w:t>
    </w:r>
    <w:r>
      <w:tab/>
      <w:t>Hovedbygningen</w:t>
    </w:r>
    <w:r>
      <w:tab/>
      <w:t>+ 47 73 59 55 40</w:t>
    </w:r>
    <w:r>
      <w:tab/>
    </w:r>
    <w:bookmarkStart w:id="47" w:name="Navn"/>
    <w:bookmarkEnd w:id="47"/>
  </w:p>
  <w:p w:rsidR="00494780" w:rsidRDefault="00494780">
    <w:pPr>
      <w:pStyle w:val="FooterTekst"/>
    </w:pPr>
    <w:r>
      <w:tab/>
      <w:t>info@adm.ntnu.no</w:t>
    </w:r>
    <w:r>
      <w:tab/>
      <w:t>Høgskoleringen 1</w:t>
    </w:r>
    <w:r>
      <w:tab/>
    </w:r>
    <w:r>
      <w:rPr>
        <w:b/>
      </w:rPr>
      <w:t>Telefaks</w:t>
    </w:r>
    <w:r>
      <w:tab/>
    </w:r>
    <w:bookmarkStart w:id="48" w:name="Navn2"/>
    <w:bookmarkEnd w:id="48"/>
  </w:p>
  <w:p w:rsidR="00494780" w:rsidRPr="00DB4738" w:rsidRDefault="00494780">
    <w:pPr>
      <w:pStyle w:val="FooterTekst"/>
    </w:pPr>
    <w:r>
      <w:tab/>
    </w:r>
    <w:r w:rsidRPr="00DB4738">
      <w:t>http://www.ntnu.no/adm/info</w:t>
    </w:r>
    <w:r w:rsidRPr="00DB4738">
      <w:tab/>
      <w:t>Gløshaugen</w:t>
    </w:r>
    <w:r w:rsidRPr="00DB4738">
      <w:tab/>
      <w:t>+ 47 73 59 54 37</w:t>
    </w:r>
    <w:r w:rsidRPr="00DB4738">
      <w:tab/>
    </w:r>
    <w:proofErr w:type="spellStart"/>
    <w:r w:rsidRPr="00DB4738">
      <w:t>Tlf</w:t>
    </w:r>
    <w:proofErr w:type="spellEnd"/>
    <w:r w:rsidRPr="00DB4738">
      <w:t xml:space="preserve">: + 47 </w:t>
    </w:r>
    <w:bookmarkStart w:id="49" w:name="Tlf"/>
    <w:bookmarkEnd w:id="49"/>
    <w:proofErr w:type="spellStart"/>
    <w:r w:rsidRPr="00DB4738">
      <w:t>lkjlljljkljklkjljklj</w:t>
    </w:r>
    <w:proofErr w:type="spellEnd"/>
  </w:p>
  <w:p w:rsidR="00494780" w:rsidRPr="00DB4738" w:rsidRDefault="00494780">
    <w:pPr>
      <w:pStyle w:val="Bunntekst"/>
      <w:rPr>
        <w:sz w:val="6"/>
      </w:rPr>
    </w:pPr>
  </w:p>
  <w:p w:rsidR="00494780" w:rsidRDefault="00494780" w:rsidP="000A2455">
    <w:pPr>
      <w:pStyle w:val="FooterGraa"/>
    </w:pPr>
    <w:r>
      <w:t>All korrespondanse som inngår i saksbehandling skal adresseres til saksbehandlende enhet ved NTNU og ikke direkte til enkeltpersoner. Ved henvendelse vennligst oppgi referanse.</w:t>
    </w:r>
  </w:p>
  <w:p w:rsidR="00494780" w:rsidRDefault="004947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3D6" w:rsidRDefault="003143D6">
      <w:r>
        <w:separator/>
      </w:r>
    </w:p>
  </w:footnote>
  <w:footnote w:type="continuationSeparator" w:id="0">
    <w:p w:rsidR="003143D6" w:rsidRDefault="00314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412" w:rsidRDefault="009654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D5" w:rsidRDefault="009561D5">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BF7A9E">
      <w:t>5</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9561D5">
      <w:tc>
        <w:tcPr>
          <w:tcW w:w="6579" w:type="dxa"/>
          <w:tcBorders>
            <w:top w:val="nil"/>
            <w:left w:val="nil"/>
            <w:bottom w:val="nil"/>
            <w:right w:val="nil"/>
          </w:tcBorders>
        </w:tcPr>
        <w:p w:rsidR="009561D5" w:rsidRDefault="009561D5">
          <w:pPr>
            <w:pStyle w:val="Header2"/>
          </w:pPr>
          <w:r>
            <w:t>Norges teknisk-naturvitenskapelige universitet</w:t>
          </w:r>
        </w:p>
      </w:tc>
      <w:tc>
        <w:tcPr>
          <w:tcW w:w="1341" w:type="dxa"/>
          <w:tcBorders>
            <w:top w:val="nil"/>
            <w:left w:val="nil"/>
            <w:bottom w:val="nil"/>
            <w:right w:val="nil"/>
          </w:tcBorders>
        </w:tcPr>
        <w:p w:rsidR="009561D5" w:rsidRDefault="009561D5">
          <w:pPr>
            <w:pStyle w:val="DatoRefTekst"/>
          </w:pPr>
          <w:r>
            <w:t>Vår dato</w:t>
          </w:r>
        </w:p>
        <w:p w:rsidR="009561D5" w:rsidRDefault="009561D5">
          <w:pPr>
            <w:pStyle w:val="DatoRefFyllInn"/>
          </w:pPr>
        </w:p>
      </w:tc>
      <w:tc>
        <w:tcPr>
          <w:tcW w:w="1996" w:type="dxa"/>
          <w:tcBorders>
            <w:top w:val="nil"/>
            <w:left w:val="nil"/>
            <w:bottom w:val="nil"/>
            <w:right w:val="nil"/>
          </w:tcBorders>
        </w:tcPr>
        <w:p w:rsidR="009561D5" w:rsidRDefault="009561D5">
          <w:pPr>
            <w:pStyle w:val="DatoRefTekst"/>
          </w:pPr>
          <w:r>
            <w:t>Vår referanse</w:t>
          </w:r>
        </w:p>
        <w:p w:rsidR="009561D5" w:rsidRDefault="009561D5">
          <w:pPr>
            <w:pStyle w:val="DatoRefFyllInn"/>
          </w:pPr>
        </w:p>
      </w:tc>
    </w:tr>
  </w:tbl>
  <w:p w:rsidR="009561D5" w:rsidRDefault="009561D5">
    <w:pPr>
      <w:pStyle w:val="Topptekst"/>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D5" w:rsidRDefault="009561D5">
    <w:pPr>
      <w:pStyle w:val="sidetall"/>
    </w:pPr>
    <w:bookmarkStart w:id="1" w:name="OLE_LINK1"/>
    <w:r>
      <w:rPr>
        <w:sz w:val="20"/>
        <w:lang w:eastAsia="nb-NO"/>
      </w:rPr>
      <w:drawing>
        <wp:anchor distT="0" distB="0" distL="114300" distR="114300" simplePos="0" relativeHeight="251657728" behindDoc="0" locked="0" layoutInCell="1" allowOverlap="1" wp14:anchorId="77120420" wp14:editId="093537E3">
          <wp:simplePos x="0" y="0"/>
          <wp:positionH relativeFrom="column">
            <wp:posOffset>53975</wp:posOffset>
          </wp:positionH>
          <wp:positionV relativeFrom="paragraph">
            <wp:posOffset>17780</wp:posOffset>
          </wp:positionV>
          <wp:extent cx="1638300" cy="304800"/>
          <wp:effectExtent l="0" t="0" r="0" b="0"/>
          <wp:wrapNone/>
          <wp:docPr id="1" name="Bilde 1"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965412">
      <w:t>1</w:t>
    </w:r>
    <w:r>
      <w:fldChar w:fldCharType="end"/>
    </w:r>
    <w:r>
      <w:t xml:space="preserve"> </w:t>
    </w:r>
    <w:bookmarkStart w:id="2" w:name="lblSideteller"/>
    <w:r>
      <w:t>av</w:t>
    </w:r>
    <w:bookmarkEnd w:id="2"/>
    <w:r>
      <w:t xml:space="preserve"> </w:t>
    </w:r>
    <w:r>
      <w:fldChar w:fldCharType="begin"/>
    </w:r>
    <w:r>
      <w:instrText xml:space="preserve"> NUMPAGES </w:instrText>
    </w:r>
    <w:r>
      <w:fldChar w:fldCharType="separate"/>
    </w:r>
    <w:r w:rsidR="00965412">
      <w:t>5</w:t>
    </w:r>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79"/>
      <w:gridCol w:w="1341"/>
      <w:gridCol w:w="1996"/>
    </w:tblGrid>
    <w:tr w:rsidR="009561D5" w:rsidTr="00BB7477">
      <w:tc>
        <w:tcPr>
          <w:tcW w:w="6579" w:type="dxa"/>
          <w:tcBorders>
            <w:top w:val="nil"/>
            <w:left w:val="nil"/>
            <w:bottom w:val="nil"/>
            <w:right w:val="nil"/>
          </w:tcBorders>
        </w:tcPr>
        <w:p w:rsidR="009561D5" w:rsidRDefault="009561D5">
          <w:pPr>
            <w:pStyle w:val="Topptekst"/>
          </w:pPr>
        </w:p>
      </w:tc>
      <w:tc>
        <w:tcPr>
          <w:tcW w:w="1341" w:type="dxa"/>
          <w:tcBorders>
            <w:top w:val="nil"/>
            <w:left w:val="nil"/>
            <w:bottom w:val="nil"/>
            <w:right w:val="nil"/>
          </w:tcBorders>
        </w:tcPr>
        <w:p w:rsidR="009561D5" w:rsidRDefault="009561D5">
          <w:pPr>
            <w:pStyle w:val="DatoRefTekst"/>
          </w:pPr>
          <w:bookmarkStart w:id="3" w:name="lblVarDato"/>
          <w:r>
            <w:t>Vår dato</w:t>
          </w:r>
          <w:bookmarkEnd w:id="3"/>
        </w:p>
        <w:p w:rsidR="009561D5" w:rsidRDefault="008D7E5F" w:rsidP="00B835D6">
          <w:pPr>
            <w:pStyle w:val="DatoFyllInn1"/>
          </w:pPr>
          <w:r>
            <w:t>21</w:t>
          </w:r>
          <w:r w:rsidR="0063486D">
            <w:t>.01.19</w:t>
          </w:r>
        </w:p>
      </w:tc>
      <w:tc>
        <w:tcPr>
          <w:tcW w:w="1996" w:type="dxa"/>
          <w:tcBorders>
            <w:top w:val="nil"/>
            <w:left w:val="nil"/>
            <w:bottom w:val="nil"/>
            <w:right w:val="nil"/>
          </w:tcBorders>
        </w:tcPr>
        <w:p w:rsidR="009561D5" w:rsidRDefault="009561D5">
          <w:pPr>
            <w:pStyle w:val="DatoRefTekst"/>
          </w:pPr>
          <w:bookmarkStart w:id="4" w:name="lblVarRef"/>
          <w:r>
            <w:t>Vår referanse</w:t>
          </w:r>
          <w:bookmarkEnd w:id="4"/>
        </w:p>
        <w:p w:rsidR="009561D5" w:rsidRDefault="00965412">
          <w:pPr>
            <w:pStyle w:val="DatoFyllInn1"/>
          </w:pPr>
          <w:bookmarkStart w:id="5" w:name="varRef"/>
          <w:bookmarkEnd w:id="5"/>
          <w:r w:rsidRPr="00965412">
            <w:t>2019/2990</w:t>
          </w:r>
          <w:bookmarkStart w:id="6" w:name="_GoBack"/>
          <w:bookmarkEnd w:id="6"/>
        </w:p>
      </w:tc>
    </w:tr>
    <w:tr w:rsidR="009561D5" w:rsidTr="00BB7477">
      <w:tc>
        <w:tcPr>
          <w:tcW w:w="6579" w:type="dxa"/>
          <w:tcBorders>
            <w:top w:val="nil"/>
            <w:left w:val="nil"/>
            <w:bottom w:val="nil"/>
            <w:right w:val="nil"/>
          </w:tcBorders>
        </w:tcPr>
        <w:p w:rsidR="0063486D" w:rsidRDefault="0063486D" w:rsidP="00BB7477">
          <w:pPr>
            <w:pStyle w:val="Header1"/>
          </w:pPr>
          <w:bookmarkStart w:id="7" w:name="lblTopptekst"/>
          <w:r>
            <w:t>Avdeling for virksomhetsstyring</w:t>
          </w:r>
        </w:p>
        <w:bookmarkEnd w:id="7"/>
        <w:p w:rsidR="009561D5" w:rsidRDefault="009561D5" w:rsidP="00BB7477">
          <w:pPr>
            <w:pStyle w:val="Header1"/>
          </w:pPr>
        </w:p>
      </w:tc>
      <w:tc>
        <w:tcPr>
          <w:tcW w:w="1341" w:type="dxa"/>
          <w:tcBorders>
            <w:top w:val="nil"/>
            <w:left w:val="nil"/>
            <w:bottom w:val="nil"/>
            <w:right w:val="nil"/>
          </w:tcBorders>
        </w:tcPr>
        <w:p w:rsidR="009561D5" w:rsidRDefault="009561D5">
          <w:pPr>
            <w:pStyle w:val="DatoRefTekst2"/>
          </w:pPr>
          <w:bookmarkStart w:id="8" w:name="lblDeresDato"/>
          <w:r>
            <w:t>Deres dato</w:t>
          </w:r>
          <w:bookmarkEnd w:id="8"/>
        </w:p>
        <w:p w:rsidR="009561D5" w:rsidRDefault="009561D5">
          <w:pPr>
            <w:pStyle w:val="DatoRefFyllInn"/>
          </w:pPr>
          <w:bookmarkStart w:id="9" w:name="deresDato"/>
          <w:bookmarkEnd w:id="9"/>
        </w:p>
      </w:tc>
      <w:tc>
        <w:tcPr>
          <w:tcW w:w="1996" w:type="dxa"/>
          <w:tcBorders>
            <w:top w:val="nil"/>
            <w:left w:val="nil"/>
            <w:bottom w:val="nil"/>
            <w:right w:val="nil"/>
          </w:tcBorders>
        </w:tcPr>
        <w:p w:rsidR="009561D5" w:rsidRDefault="009561D5">
          <w:pPr>
            <w:pStyle w:val="DatoRefTekst2"/>
          </w:pPr>
          <w:bookmarkStart w:id="10" w:name="lblDeresRef"/>
          <w:r>
            <w:t>Deres referanse</w:t>
          </w:r>
          <w:bookmarkEnd w:id="10"/>
        </w:p>
        <w:p w:rsidR="009561D5" w:rsidRDefault="009561D5">
          <w:pPr>
            <w:pStyle w:val="DatoRefFyllInn"/>
          </w:pPr>
          <w:bookmarkStart w:id="11" w:name="deresRef"/>
          <w:bookmarkEnd w:id="11"/>
        </w:p>
      </w:tc>
    </w:tr>
    <w:bookmarkEnd w:id="1"/>
  </w:tbl>
  <w:p w:rsidR="009561D5" w:rsidRDefault="009561D5">
    <w:pPr>
      <w:pStyle w:val="Topptekst"/>
      <w:pBdr>
        <w:bottom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80" w:rsidRDefault="00494780">
    <w:pPr>
      <w:pStyle w:val="Topptekst"/>
    </w:pPr>
  </w:p>
  <w:p w:rsidR="00494780" w:rsidRDefault="00494780"/>
  <w:p w:rsidR="001A79AE" w:rsidRDefault="001A79A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3D" w:rsidRPr="009A4C3D" w:rsidRDefault="009A4C3D" w:rsidP="009A4C3D">
    <w:pPr>
      <w:tabs>
        <w:tab w:val="center" w:pos="4153"/>
        <w:tab w:val="right" w:pos="8306"/>
      </w:tabs>
      <w:ind w:left="0"/>
      <w:jc w:val="right"/>
      <w:rPr>
        <w:noProof/>
        <w:snapToGrid w:val="0"/>
        <w:sz w:val="19"/>
        <w:szCs w:val="20"/>
      </w:rPr>
    </w:pPr>
    <w:r w:rsidRPr="009A4C3D">
      <w:rPr>
        <w:noProof/>
        <w:snapToGrid w:val="0"/>
        <w:sz w:val="19"/>
        <w:szCs w:val="20"/>
      </w:rPr>
      <w:tab/>
    </w:r>
    <w:r w:rsidRPr="009A4C3D">
      <w:rPr>
        <w:noProof/>
        <w:snapToGrid w:val="0"/>
        <w:sz w:val="19"/>
        <w:szCs w:val="20"/>
      </w:rPr>
      <w:tab/>
    </w:r>
    <w:r w:rsidRPr="009A4C3D">
      <w:rPr>
        <w:noProof/>
        <w:snapToGrid w:val="0"/>
        <w:sz w:val="19"/>
        <w:szCs w:val="20"/>
      </w:rPr>
      <w:fldChar w:fldCharType="begin"/>
    </w:r>
    <w:r w:rsidRPr="009A4C3D">
      <w:rPr>
        <w:noProof/>
        <w:snapToGrid w:val="0"/>
        <w:sz w:val="19"/>
        <w:szCs w:val="20"/>
      </w:rPr>
      <w:instrText xml:space="preserve"> PAGE </w:instrText>
    </w:r>
    <w:r w:rsidRPr="009A4C3D">
      <w:rPr>
        <w:noProof/>
        <w:snapToGrid w:val="0"/>
        <w:sz w:val="19"/>
        <w:szCs w:val="20"/>
      </w:rPr>
      <w:fldChar w:fldCharType="separate"/>
    </w:r>
    <w:r w:rsidR="00965412">
      <w:rPr>
        <w:noProof/>
        <w:snapToGrid w:val="0"/>
        <w:sz w:val="19"/>
        <w:szCs w:val="20"/>
      </w:rPr>
      <w:t>5</w:t>
    </w:r>
    <w:r w:rsidRPr="009A4C3D">
      <w:rPr>
        <w:noProof/>
        <w:snapToGrid w:val="0"/>
        <w:sz w:val="19"/>
        <w:szCs w:val="20"/>
      </w:rPr>
      <w:fldChar w:fldCharType="end"/>
    </w:r>
    <w:r w:rsidRPr="009A4C3D">
      <w:rPr>
        <w:noProof/>
        <w:snapToGrid w:val="0"/>
        <w:sz w:val="19"/>
        <w:szCs w:val="20"/>
      </w:rPr>
      <w:t xml:space="preserve"> </w:t>
    </w:r>
    <w:bookmarkStart w:id="40" w:name="lblSideteller2"/>
    <w:r w:rsidRPr="009A4C3D">
      <w:rPr>
        <w:noProof/>
        <w:snapToGrid w:val="0"/>
        <w:sz w:val="19"/>
        <w:szCs w:val="20"/>
      </w:rPr>
      <w:t>av</w:t>
    </w:r>
    <w:bookmarkEnd w:id="40"/>
    <w:r w:rsidRPr="009A4C3D">
      <w:rPr>
        <w:noProof/>
        <w:snapToGrid w:val="0"/>
        <w:sz w:val="19"/>
        <w:szCs w:val="20"/>
      </w:rPr>
      <w:t xml:space="preserve"> </w:t>
    </w:r>
    <w:r w:rsidRPr="009A4C3D">
      <w:rPr>
        <w:noProof/>
        <w:snapToGrid w:val="0"/>
        <w:sz w:val="19"/>
        <w:szCs w:val="20"/>
      </w:rPr>
      <w:fldChar w:fldCharType="begin"/>
    </w:r>
    <w:r w:rsidRPr="009A4C3D">
      <w:rPr>
        <w:noProof/>
        <w:snapToGrid w:val="0"/>
        <w:sz w:val="19"/>
        <w:szCs w:val="20"/>
      </w:rPr>
      <w:instrText xml:space="preserve"> NUMPAGES </w:instrText>
    </w:r>
    <w:r w:rsidRPr="009A4C3D">
      <w:rPr>
        <w:noProof/>
        <w:snapToGrid w:val="0"/>
        <w:sz w:val="19"/>
        <w:szCs w:val="20"/>
      </w:rPr>
      <w:fldChar w:fldCharType="separate"/>
    </w:r>
    <w:r w:rsidR="00965412">
      <w:rPr>
        <w:noProof/>
        <w:snapToGrid w:val="0"/>
        <w:sz w:val="19"/>
        <w:szCs w:val="20"/>
      </w:rPr>
      <w:t>5</w:t>
    </w:r>
    <w:r w:rsidRPr="009A4C3D">
      <w:rPr>
        <w:noProof/>
        <w:snapToGrid w:val="0"/>
        <w:sz w:val="19"/>
        <w:szCs w:val="2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8"/>
      <w:gridCol w:w="1335"/>
      <w:gridCol w:w="1975"/>
    </w:tblGrid>
    <w:tr w:rsidR="009A4C3D" w:rsidRPr="009A4C3D" w:rsidTr="00FA1436">
      <w:tc>
        <w:tcPr>
          <w:tcW w:w="6579" w:type="dxa"/>
          <w:tcBorders>
            <w:top w:val="nil"/>
            <w:left w:val="nil"/>
            <w:bottom w:val="nil"/>
            <w:right w:val="nil"/>
          </w:tcBorders>
        </w:tcPr>
        <w:p w:rsidR="009A4C3D" w:rsidRPr="009A4C3D" w:rsidRDefault="009A4C3D" w:rsidP="009A4C3D">
          <w:pPr>
            <w:tabs>
              <w:tab w:val="center" w:pos="4153"/>
              <w:tab w:val="right" w:pos="8306"/>
            </w:tabs>
            <w:spacing w:before="204"/>
            <w:rPr>
              <w:b/>
              <w:sz w:val="20"/>
            </w:rPr>
          </w:pPr>
          <w:bookmarkStart w:id="41" w:name="lblTopptekst2"/>
          <w:r w:rsidRPr="009A4C3D">
            <w:rPr>
              <w:b/>
              <w:sz w:val="20"/>
            </w:rPr>
            <w:t>Norges teknisk-naturvitenskapelige universitet</w:t>
          </w:r>
          <w:bookmarkEnd w:id="41"/>
        </w:p>
      </w:tc>
      <w:tc>
        <w:tcPr>
          <w:tcW w:w="1341" w:type="dxa"/>
          <w:tcBorders>
            <w:top w:val="nil"/>
            <w:left w:val="nil"/>
            <w:bottom w:val="nil"/>
            <w:right w:val="nil"/>
          </w:tcBorders>
        </w:tcPr>
        <w:p w:rsidR="009A4C3D" w:rsidRPr="009A4C3D" w:rsidRDefault="009A4C3D" w:rsidP="009A4C3D">
          <w:pPr>
            <w:tabs>
              <w:tab w:val="center" w:pos="4153"/>
              <w:tab w:val="right" w:pos="8306"/>
            </w:tabs>
            <w:spacing w:after="0"/>
            <w:ind w:left="0" w:right="0"/>
            <w:rPr>
              <w:sz w:val="16"/>
              <w:szCs w:val="20"/>
            </w:rPr>
          </w:pPr>
          <w:bookmarkStart w:id="42" w:name="lblVarDato2"/>
          <w:r w:rsidRPr="009A4C3D">
            <w:rPr>
              <w:sz w:val="16"/>
              <w:szCs w:val="20"/>
            </w:rPr>
            <w:t>Vår dato</w:t>
          </w:r>
          <w:bookmarkEnd w:id="42"/>
        </w:p>
        <w:p w:rsidR="009A4C3D" w:rsidRPr="009A4C3D" w:rsidRDefault="008D7E5F" w:rsidP="00B835D6">
          <w:pPr>
            <w:tabs>
              <w:tab w:val="center" w:pos="4153"/>
              <w:tab w:val="right" w:pos="8306"/>
            </w:tabs>
            <w:ind w:left="0" w:right="0"/>
            <w:rPr>
              <w:sz w:val="21"/>
              <w:szCs w:val="20"/>
            </w:rPr>
          </w:pPr>
          <w:bookmarkStart w:id="43" w:name="varDato2"/>
          <w:r>
            <w:rPr>
              <w:sz w:val="21"/>
              <w:szCs w:val="20"/>
            </w:rPr>
            <w:t>21</w:t>
          </w:r>
          <w:r w:rsidR="00B835D6">
            <w:rPr>
              <w:sz w:val="21"/>
              <w:szCs w:val="20"/>
            </w:rPr>
            <w:t>.01.1</w:t>
          </w:r>
          <w:r w:rsidR="0063486D">
            <w:rPr>
              <w:sz w:val="21"/>
              <w:szCs w:val="20"/>
            </w:rPr>
            <w:t>9</w:t>
          </w:r>
          <w:bookmarkEnd w:id="43"/>
        </w:p>
      </w:tc>
      <w:tc>
        <w:tcPr>
          <w:tcW w:w="1996" w:type="dxa"/>
          <w:tcBorders>
            <w:top w:val="nil"/>
            <w:left w:val="nil"/>
            <w:bottom w:val="nil"/>
            <w:right w:val="nil"/>
          </w:tcBorders>
        </w:tcPr>
        <w:p w:rsidR="009A4C3D" w:rsidRPr="009A4C3D" w:rsidRDefault="009A4C3D" w:rsidP="009A4C3D">
          <w:pPr>
            <w:tabs>
              <w:tab w:val="center" w:pos="4153"/>
              <w:tab w:val="right" w:pos="8306"/>
            </w:tabs>
            <w:spacing w:after="0"/>
            <w:ind w:left="0" w:right="0"/>
            <w:rPr>
              <w:sz w:val="16"/>
              <w:szCs w:val="20"/>
            </w:rPr>
          </w:pPr>
          <w:bookmarkStart w:id="44" w:name="lblVarRef2"/>
          <w:r w:rsidRPr="009A4C3D">
            <w:rPr>
              <w:sz w:val="16"/>
              <w:szCs w:val="20"/>
            </w:rPr>
            <w:t>Vår referanse</w:t>
          </w:r>
          <w:bookmarkEnd w:id="44"/>
        </w:p>
        <w:p w:rsidR="009A4C3D" w:rsidRPr="009A4C3D" w:rsidRDefault="009A4C3D" w:rsidP="009A4C3D">
          <w:pPr>
            <w:tabs>
              <w:tab w:val="center" w:pos="4153"/>
              <w:tab w:val="right" w:pos="8306"/>
            </w:tabs>
            <w:ind w:left="0" w:right="0"/>
            <w:rPr>
              <w:sz w:val="21"/>
              <w:szCs w:val="20"/>
            </w:rPr>
          </w:pPr>
          <w:bookmarkStart w:id="45" w:name="varRef2"/>
          <w:bookmarkEnd w:id="45"/>
        </w:p>
      </w:tc>
    </w:tr>
  </w:tbl>
  <w:p w:rsidR="009A4C3D" w:rsidRPr="009A4C3D" w:rsidRDefault="009A4C3D" w:rsidP="009A4C3D">
    <w:pPr>
      <w:pBdr>
        <w:bottom w:val="single" w:sz="4" w:space="1" w:color="auto"/>
      </w:pBdr>
      <w:tabs>
        <w:tab w:val="center" w:pos="4153"/>
        <w:tab w:val="right" w:pos="8306"/>
      </w:tabs>
      <w:spacing w:after="20"/>
      <w:ind w:left="0" w:right="0"/>
      <w:rPr>
        <w:sz w:val="2"/>
      </w:rPr>
    </w:pPr>
  </w:p>
  <w:p w:rsidR="009A4C3D" w:rsidRPr="009A4C3D" w:rsidRDefault="009A4C3D" w:rsidP="009A4C3D"/>
  <w:p w:rsidR="001A79AE" w:rsidRPr="009A4C3D" w:rsidRDefault="001A79AE" w:rsidP="009A4C3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80" w:rsidRDefault="00494780">
    <w:pPr>
      <w:pStyle w:val="sidetall"/>
    </w:pPr>
    <w:r>
      <w:rPr>
        <w:sz w:val="20"/>
        <w:lang w:eastAsia="nb-NO"/>
      </w:rPr>
      <w:drawing>
        <wp:anchor distT="0" distB="0" distL="114300" distR="114300" simplePos="0" relativeHeight="251656704" behindDoc="0" locked="0" layoutInCell="1" allowOverlap="1" wp14:anchorId="5C34B44C" wp14:editId="6CF59F46">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BF7A9E">
      <w:t>5</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3800"/>
      <w:gridCol w:w="1479"/>
    </w:tblGrid>
    <w:tr w:rsidR="00494780">
      <w:tc>
        <w:tcPr>
          <w:tcW w:w="6579" w:type="dxa"/>
          <w:tcBorders>
            <w:top w:val="nil"/>
            <w:left w:val="nil"/>
            <w:bottom w:val="nil"/>
            <w:right w:val="nil"/>
          </w:tcBorders>
        </w:tcPr>
        <w:p w:rsidR="00494780" w:rsidRDefault="00494780">
          <w:pPr>
            <w:pStyle w:val="Topptekst"/>
          </w:pPr>
        </w:p>
      </w:tc>
      <w:tc>
        <w:tcPr>
          <w:tcW w:w="1341" w:type="dxa"/>
          <w:tcBorders>
            <w:top w:val="nil"/>
            <w:left w:val="nil"/>
            <w:bottom w:val="nil"/>
            <w:right w:val="nil"/>
          </w:tcBorders>
        </w:tcPr>
        <w:p w:rsidR="00494780" w:rsidRDefault="00494780">
          <w:pPr>
            <w:pStyle w:val="DatoRefTekst"/>
          </w:pPr>
          <w:r>
            <w:t>Vår dato</w:t>
          </w:r>
        </w:p>
        <w:p w:rsidR="00494780" w:rsidRDefault="00494780">
          <w:pPr>
            <w:pStyle w:val="DatoFyllInn1"/>
          </w:pPr>
          <w:proofErr w:type="spellStart"/>
          <w:r>
            <w:t>fdsfsfsdfdsffsdsdfsdfsdffdsfsdfsffsdfsdf</w:t>
          </w:r>
          <w:proofErr w:type="spellEnd"/>
        </w:p>
      </w:tc>
      <w:tc>
        <w:tcPr>
          <w:tcW w:w="1996" w:type="dxa"/>
          <w:tcBorders>
            <w:top w:val="nil"/>
            <w:left w:val="nil"/>
            <w:bottom w:val="nil"/>
            <w:right w:val="nil"/>
          </w:tcBorders>
        </w:tcPr>
        <w:p w:rsidR="00494780" w:rsidRDefault="00494780">
          <w:pPr>
            <w:pStyle w:val="DatoRefTekst"/>
          </w:pPr>
          <w:r>
            <w:t>Vår referanse</w:t>
          </w:r>
        </w:p>
        <w:p w:rsidR="00494780" w:rsidRDefault="00494780">
          <w:pPr>
            <w:pStyle w:val="DatoFyllInn1"/>
          </w:pPr>
        </w:p>
      </w:tc>
    </w:tr>
    <w:tr w:rsidR="00494780">
      <w:tc>
        <w:tcPr>
          <w:tcW w:w="6579" w:type="dxa"/>
          <w:tcBorders>
            <w:top w:val="nil"/>
            <w:left w:val="nil"/>
            <w:bottom w:val="nil"/>
            <w:right w:val="nil"/>
          </w:tcBorders>
        </w:tcPr>
        <w:p w:rsidR="00494780" w:rsidRDefault="00494780" w:rsidP="00BB7477">
          <w:pPr>
            <w:pStyle w:val="Header1"/>
          </w:pPr>
          <w:r>
            <w:t>Kommunikasjonsavdelingen</w:t>
          </w:r>
        </w:p>
        <w:p w:rsidR="00494780" w:rsidRDefault="00494780" w:rsidP="00BB7477">
          <w:pPr>
            <w:pStyle w:val="Header1"/>
          </w:pPr>
        </w:p>
      </w:tc>
      <w:tc>
        <w:tcPr>
          <w:tcW w:w="1341" w:type="dxa"/>
          <w:tcBorders>
            <w:top w:val="nil"/>
            <w:left w:val="nil"/>
            <w:bottom w:val="nil"/>
            <w:right w:val="nil"/>
          </w:tcBorders>
        </w:tcPr>
        <w:p w:rsidR="00494780" w:rsidRDefault="00494780">
          <w:pPr>
            <w:pStyle w:val="DatoRefTekst2"/>
          </w:pPr>
          <w:r>
            <w:t>Deres dato</w:t>
          </w:r>
        </w:p>
        <w:p w:rsidR="00494780" w:rsidRDefault="00494780">
          <w:pPr>
            <w:pStyle w:val="DatoRefFyllInn"/>
          </w:pPr>
        </w:p>
      </w:tc>
      <w:tc>
        <w:tcPr>
          <w:tcW w:w="1996" w:type="dxa"/>
          <w:tcBorders>
            <w:top w:val="nil"/>
            <w:left w:val="nil"/>
            <w:bottom w:val="nil"/>
            <w:right w:val="nil"/>
          </w:tcBorders>
        </w:tcPr>
        <w:p w:rsidR="00494780" w:rsidRDefault="00494780">
          <w:pPr>
            <w:pStyle w:val="DatoRefTekst2"/>
          </w:pPr>
          <w:r>
            <w:t>Deres referanse</w:t>
          </w:r>
        </w:p>
        <w:p w:rsidR="00494780" w:rsidRDefault="00494780">
          <w:pPr>
            <w:pStyle w:val="DatoRefFyllInn"/>
          </w:pPr>
        </w:p>
      </w:tc>
    </w:tr>
  </w:tbl>
  <w:p w:rsidR="00494780" w:rsidRDefault="00494780">
    <w:pPr>
      <w:pStyle w:val="Topptekst"/>
      <w:pBdr>
        <w:bottom w:val="single" w:sz="4" w:space="1" w:color="auto"/>
      </w:pBdr>
    </w:pPr>
  </w:p>
  <w:p w:rsidR="00494780" w:rsidRDefault="00494780"/>
  <w:p w:rsidR="001A79AE" w:rsidRDefault="001A79A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D80"/>
    <w:multiLevelType w:val="hybridMultilevel"/>
    <w:tmpl w:val="E12CD646"/>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 w15:restartNumberingAfterBreak="0">
    <w:nsid w:val="0FC819E0"/>
    <w:multiLevelType w:val="hybridMultilevel"/>
    <w:tmpl w:val="DE4EE08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124059BF"/>
    <w:multiLevelType w:val="hybridMultilevel"/>
    <w:tmpl w:val="7AFEDA92"/>
    <w:lvl w:ilvl="0" w:tplc="0414000F">
      <w:start w:val="1"/>
      <w:numFmt w:val="decimal"/>
      <w:lvlText w:val="%1."/>
      <w:lvlJc w:val="left"/>
      <w:pPr>
        <w:tabs>
          <w:tab w:val="num" w:pos="720"/>
        </w:tabs>
        <w:ind w:left="720" w:hanging="360"/>
      </w:pPr>
      <w:rPr>
        <w:rFonts w:hint="default"/>
      </w:rPr>
    </w:lvl>
    <w:lvl w:ilvl="1" w:tplc="2430A94E" w:tentative="1">
      <w:start w:val="1"/>
      <w:numFmt w:val="bullet"/>
      <w:lvlText w:val="•"/>
      <w:lvlJc w:val="left"/>
      <w:pPr>
        <w:tabs>
          <w:tab w:val="num" w:pos="1440"/>
        </w:tabs>
        <w:ind w:left="1440" w:hanging="360"/>
      </w:pPr>
      <w:rPr>
        <w:rFonts w:ascii="Arial" w:hAnsi="Arial" w:hint="default"/>
      </w:rPr>
    </w:lvl>
    <w:lvl w:ilvl="2" w:tplc="8A1A996A" w:tentative="1">
      <w:start w:val="1"/>
      <w:numFmt w:val="bullet"/>
      <w:lvlText w:val="•"/>
      <w:lvlJc w:val="left"/>
      <w:pPr>
        <w:tabs>
          <w:tab w:val="num" w:pos="2160"/>
        </w:tabs>
        <w:ind w:left="2160" w:hanging="360"/>
      </w:pPr>
      <w:rPr>
        <w:rFonts w:ascii="Arial" w:hAnsi="Arial" w:hint="default"/>
      </w:rPr>
    </w:lvl>
    <w:lvl w:ilvl="3" w:tplc="143CC0CC" w:tentative="1">
      <w:start w:val="1"/>
      <w:numFmt w:val="bullet"/>
      <w:lvlText w:val="•"/>
      <w:lvlJc w:val="left"/>
      <w:pPr>
        <w:tabs>
          <w:tab w:val="num" w:pos="2880"/>
        </w:tabs>
        <w:ind w:left="2880" w:hanging="360"/>
      </w:pPr>
      <w:rPr>
        <w:rFonts w:ascii="Arial" w:hAnsi="Arial" w:hint="default"/>
      </w:rPr>
    </w:lvl>
    <w:lvl w:ilvl="4" w:tplc="D8A487F6" w:tentative="1">
      <w:start w:val="1"/>
      <w:numFmt w:val="bullet"/>
      <w:lvlText w:val="•"/>
      <w:lvlJc w:val="left"/>
      <w:pPr>
        <w:tabs>
          <w:tab w:val="num" w:pos="3600"/>
        </w:tabs>
        <w:ind w:left="3600" w:hanging="360"/>
      </w:pPr>
      <w:rPr>
        <w:rFonts w:ascii="Arial" w:hAnsi="Arial" w:hint="default"/>
      </w:rPr>
    </w:lvl>
    <w:lvl w:ilvl="5" w:tplc="8AA2FEF2" w:tentative="1">
      <w:start w:val="1"/>
      <w:numFmt w:val="bullet"/>
      <w:lvlText w:val="•"/>
      <w:lvlJc w:val="left"/>
      <w:pPr>
        <w:tabs>
          <w:tab w:val="num" w:pos="4320"/>
        </w:tabs>
        <w:ind w:left="4320" w:hanging="360"/>
      </w:pPr>
      <w:rPr>
        <w:rFonts w:ascii="Arial" w:hAnsi="Arial" w:hint="default"/>
      </w:rPr>
    </w:lvl>
    <w:lvl w:ilvl="6" w:tplc="1070D850" w:tentative="1">
      <w:start w:val="1"/>
      <w:numFmt w:val="bullet"/>
      <w:lvlText w:val="•"/>
      <w:lvlJc w:val="left"/>
      <w:pPr>
        <w:tabs>
          <w:tab w:val="num" w:pos="5040"/>
        </w:tabs>
        <w:ind w:left="5040" w:hanging="360"/>
      </w:pPr>
      <w:rPr>
        <w:rFonts w:ascii="Arial" w:hAnsi="Arial" w:hint="default"/>
      </w:rPr>
    </w:lvl>
    <w:lvl w:ilvl="7" w:tplc="31A6248E" w:tentative="1">
      <w:start w:val="1"/>
      <w:numFmt w:val="bullet"/>
      <w:lvlText w:val="•"/>
      <w:lvlJc w:val="left"/>
      <w:pPr>
        <w:tabs>
          <w:tab w:val="num" w:pos="5760"/>
        </w:tabs>
        <w:ind w:left="5760" w:hanging="360"/>
      </w:pPr>
      <w:rPr>
        <w:rFonts w:ascii="Arial" w:hAnsi="Arial" w:hint="default"/>
      </w:rPr>
    </w:lvl>
    <w:lvl w:ilvl="8" w:tplc="CA5E0F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027B7E"/>
    <w:multiLevelType w:val="hybridMultilevel"/>
    <w:tmpl w:val="BBE0F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7230FF"/>
    <w:multiLevelType w:val="hybridMultilevel"/>
    <w:tmpl w:val="A43658FC"/>
    <w:lvl w:ilvl="0" w:tplc="04140013">
      <w:start w:val="1"/>
      <w:numFmt w:val="upperRoman"/>
      <w:lvlText w:val="%1."/>
      <w:lvlJc w:val="righ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365C290E"/>
    <w:multiLevelType w:val="hybridMultilevel"/>
    <w:tmpl w:val="964A1E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E61ABF"/>
    <w:multiLevelType w:val="hybridMultilevel"/>
    <w:tmpl w:val="6CA0BBD4"/>
    <w:lvl w:ilvl="0" w:tplc="04140019">
      <w:start w:val="1"/>
      <w:numFmt w:val="lowerLetter"/>
      <w:lvlText w:val="%1."/>
      <w:lvlJc w:val="left"/>
      <w:pPr>
        <w:tabs>
          <w:tab w:val="num" w:pos="720"/>
        </w:tabs>
        <w:ind w:left="720" w:hanging="360"/>
      </w:pPr>
      <w:rPr>
        <w:rFonts w:hint="default"/>
      </w:rPr>
    </w:lvl>
    <w:lvl w:ilvl="1" w:tplc="2430A94E" w:tentative="1">
      <w:start w:val="1"/>
      <w:numFmt w:val="bullet"/>
      <w:lvlText w:val="•"/>
      <w:lvlJc w:val="left"/>
      <w:pPr>
        <w:tabs>
          <w:tab w:val="num" w:pos="1440"/>
        </w:tabs>
        <w:ind w:left="1440" w:hanging="360"/>
      </w:pPr>
      <w:rPr>
        <w:rFonts w:ascii="Arial" w:hAnsi="Arial" w:hint="default"/>
      </w:rPr>
    </w:lvl>
    <w:lvl w:ilvl="2" w:tplc="8A1A996A" w:tentative="1">
      <w:start w:val="1"/>
      <w:numFmt w:val="bullet"/>
      <w:lvlText w:val="•"/>
      <w:lvlJc w:val="left"/>
      <w:pPr>
        <w:tabs>
          <w:tab w:val="num" w:pos="2160"/>
        </w:tabs>
        <w:ind w:left="2160" w:hanging="360"/>
      </w:pPr>
      <w:rPr>
        <w:rFonts w:ascii="Arial" w:hAnsi="Arial" w:hint="default"/>
      </w:rPr>
    </w:lvl>
    <w:lvl w:ilvl="3" w:tplc="143CC0CC" w:tentative="1">
      <w:start w:val="1"/>
      <w:numFmt w:val="bullet"/>
      <w:lvlText w:val="•"/>
      <w:lvlJc w:val="left"/>
      <w:pPr>
        <w:tabs>
          <w:tab w:val="num" w:pos="2880"/>
        </w:tabs>
        <w:ind w:left="2880" w:hanging="360"/>
      </w:pPr>
      <w:rPr>
        <w:rFonts w:ascii="Arial" w:hAnsi="Arial" w:hint="default"/>
      </w:rPr>
    </w:lvl>
    <w:lvl w:ilvl="4" w:tplc="D8A487F6" w:tentative="1">
      <w:start w:val="1"/>
      <w:numFmt w:val="bullet"/>
      <w:lvlText w:val="•"/>
      <w:lvlJc w:val="left"/>
      <w:pPr>
        <w:tabs>
          <w:tab w:val="num" w:pos="3600"/>
        </w:tabs>
        <w:ind w:left="3600" w:hanging="360"/>
      </w:pPr>
      <w:rPr>
        <w:rFonts w:ascii="Arial" w:hAnsi="Arial" w:hint="default"/>
      </w:rPr>
    </w:lvl>
    <w:lvl w:ilvl="5" w:tplc="8AA2FEF2" w:tentative="1">
      <w:start w:val="1"/>
      <w:numFmt w:val="bullet"/>
      <w:lvlText w:val="•"/>
      <w:lvlJc w:val="left"/>
      <w:pPr>
        <w:tabs>
          <w:tab w:val="num" w:pos="4320"/>
        </w:tabs>
        <w:ind w:left="4320" w:hanging="360"/>
      </w:pPr>
      <w:rPr>
        <w:rFonts w:ascii="Arial" w:hAnsi="Arial" w:hint="default"/>
      </w:rPr>
    </w:lvl>
    <w:lvl w:ilvl="6" w:tplc="1070D850" w:tentative="1">
      <w:start w:val="1"/>
      <w:numFmt w:val="bullet"/>
      <w:lvlText w:val="•"/>
      <w:lvlJc w:val="left"/>
      <w:pPr>
        <w:tabs>
          <w:tab w:val="num" w:pos="5040"/>
        </w:tabs>
        <w:ind w:left="5040" w:hanging="360"/>
      </w:pPr>
      <w:rPr>
        <w:rFonts w:ascii="Arial" w:hAnsi="Arial" w:hint="default"/>
      </w:rPr>
    </w:lvl>
    <w:lvl w:ilvl="7" w:tplc="31A6248E" w:tentative="1">
      <w:start w:val="1"/>
      <w:numFmt w:val="bullet"/>
      <w:lvlText w:val="•"/>
      <w:lvlJc w:val="left"/>
      <w:pPr>
        <w:tabs>
          <w:tab w:val="num" w:pos="5760"/>
        </w:tabs>
        <w:ind w:left="5760" w:hanging="360"/>
      </w:pPr>
      <w:rPr>
        <w:rFonts w:ascii="Arial" w:hAnsi="Arial" w:hint="default"/>
      </w:rPr>
    </w:lvl>
    <w:lvl w:ilvl="8" w:tplc="CA5E0F2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0FD310D"/>
    <w:multiLevelType w:val="hybridMultilevel"/>
    <w:tmpl w:val="DBA60064"/>
    <w:lvl w:ilvl="0" w:tplc="6CE06B92">
      <w:start w:val="1"/>
      <w:numFmt w:val="bullet"/>
      <w:lvlText w:val="•"/>
      <w:lvlJc w:val="left"/>
      <w:pPr>
        <w:tabs>
          <w:tab w:val="num" w:pos="720"/>
        </w:tabs>
        <w:ind w:left="720" w:hanging="360"/>
      </w:pPr>
      <w:rPr>
        <w:rFonts w:ascii="Arial" w:hAnsi="Arial" w:hint="default"/>
      </w:rPr>
    </w:lvl>
    <w:lvl w:ilvl="1" w:tplc="2430A94E" w:tentative="1">
      <w:start w:val="1"/>
      <w:numFmt w:val="bullet"/>
      <w:lvlText w:val="•"/>
      <w:lvlJc w:val="left"/>
      <w:pPr>
        <w:tabs>
          <w:tab w:val="num" w:pos="1440"/>
        </w:tabs>
        <w:ind w:left="1440" w:hanging="360"/>
      </w:pPr>
      <w:rPr>
        <w:rFonts w:ascii="Arial" w:hAnsi="Arial" w:hint="default"/>
      </w:rPr>
    </w:lvl>
    <w:lvl w:ilvl="2" w:tplc="8A1A996A" w:tentative="1">
      <w:start w:val="1"/>
      <w:numFmt w:val="bullet"/>
      <w:lvlText w:val="•"/>
      <w:lvlJc w:val="left"/>
      <w:pPr>
        <w:tabs>
          <w:tab w:val="num" w:pos="2160"/>
        </w:tabs>
        <w:ind w:left="2160" w:hanging="360"/>
      </w:pPr>
      <w:rPr>
        <w:rFonts w:ascii="Arial" w:hAnsi="Arial" w:hint="default"/>
      </w:rPr>
    </w:lvl>
    <w:lvl w:ilvl="3" w:tplc="143CC0CC" w:tentative="1">
      <w:start w:val="1"/>
      <w:numFmt w:val="bullet"/>
      <w:lvlText w:val="•"/>
      <w:lvlJc w:val="left"/>
      <w:pPr>
        <w:tabs>
          <w:tab w:val="num" w:pos="2880"/>
        </w:tabs>
        <w:ind w:left="2880" w:hanging="360"/>
      </w:pPr>
      <w:rPr>
        <w:rFonts w:ascii="Arial" w:hAnsi="Arial" w:hint="default"/>
      </w:rPr>
    </w:lvl>
    <w:lvl w:ilvl="4" w:tplc="D8A487F6" w:tentative="1">
      <w:start w:val="1"/>
      <w:numFmt w:val="bullet"/>
      <w:lvlText w:val="•"/>
      <w:lvlJc w:val="left"/>
      <w:pPr>
        <w:tabs>
          <w:tab w:val="num" w:pos="3600"/>
        </w:tabs>
        <w:ind w:left="3600" w:hanging="360"/>
      </w:pPr>
      <w:rPr>
        <w:rFonts w:ascii="Arial" w:hAnsi="Arial" w:hint="default"/>
      </w:rPr>
    </w:lvl>
    <w:lvl w:ilvl="5" w:tplc="8AA2FEF2" w:tentative="1">
      <w:start w:val="1"/>
      <w:numFmt w:val="bullet"/>
      <w:lvlText w:val="•"/>
      <w:lvlJc w:val="left"/>
      <w:pPr>
        <w:tabs>
          <w:tab w:val="num" w:pos="4320"/>
        </w:tabs>
        <w:ind w:left="4320" w:hanging="360"/>
      </w:pPr>
      <w:rPr>
        <w:rFonts w:ascii="Arial" w:hAnsi="Arial" w:hint="default"/>
      </w:rPr>
    </w:lvl>
    <w:lvl w:ilvl="6" w:tplc="1070D850" w:tentative="1">
      <w:start w:val="1"/>
      <w:numFmt w:val="bullet"/>
      <w:lvlText w:val="•"/>
      <w:lvlJc w:val="left"/>
      <w:pPr>
        <w:tabs>
          <w:tab w:val="num" w:pos="5040"/>
        </w:tabs>
        <w:ind w:left="5040" w:hanging="360"/>
      </w:pPr>
      <w:rPr>
        <w:rFonts w:ascii="Arial" w:hAnsi="Arial" w:hint="default"/>
      </w:rPr>
    </w:lvl>
    <w:lvl w:ilvl="7" w:tplc="31A6248E" w:tentative="1">
      <w:start w:val="1"/>
      <w:numFmt w:val="bullet"/>
      <w:lvlText w:val="•"/>
      <w:lvlJc w:val="left"/>
      <w:pPr>
        <w:tabs>
          <w:tab w:val="num" w:pos="5760"/>
        </w:tabs>
        <w:ind w:left="5760" w:hanging="360"/>
      </w:pPr>
      <w:rPr>
        <w:rFonts w:ascii="Arial" w:hAnsi="Arial" w:hint="default"/>
      </w:rPr>
    </w:lvl>
    <w:lvl w:ilvl="8" w:tplc="CA5E0F2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C40000"/>
    <w:multiLevelType w:val="hybridMultilevel"/>
    <w:tmpl w:val="EFB47004"/>
    <w:lvl w:ilvl="0" w:tplc="C9FAF216">
      <w:start w:val="1"/>
      <w:numFmt w:val="lowerLetter"/>
      <w:lvlText w:val="%1)"/>
      <w:lvlJc w:val="left"/>
      <w:pPr>
        <w:ind w:left="360" w:hanging="360"/>
      </w:pPr>
      <w:rPr>
        <w:rFonts w:asciiTheme="minorHAnsi" w:hAnsiTheme="minorHAnsi" w:cstheme="minorHAnsi" w:hint="default"/>
        <w:color w:val="auto"/>
        <w:sz w:val="2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7AD5026C"/>
    <w:multiLevelType w:val="hybridMultilevel"/>
    <w:tmpl w:val="1A20A512"/>
    <w:lvl w:ilvl="0" w:tplc="04140001">
      <w:start w:val="1"/>
      <w:numFmt w:val="bullet"/>
      <w:lvlText w:val=""/>
      <w:lvlJc w:val="left"/>
      <w:pPr>
        <w:ind w:left="2415" w:hanging="360"/>
      </w:pPr>
      <w:rPr>
        <w:rFonts w:ascii="Symbol" w:hAnsi="Symbol" w:hint="default"/>
      </w:rPr>
    </w:lvl>
    <w:lvl w:ilvl="1" w:tplc="04140003">
      <w:start w:val="1"/>
      <w:numFmt w:val="bullet"/>
      <w:lvlText w:val="o"/>
      <w:lvlJc w:val="left"/>
      <w:pPr>
        <w:ind w:left="3135" w:hanging="360"/>
      </w:pPr>
      <w:rPr>
        <w:rFonts w:ascii="Courier New" w:hAnsi="Courier New" w:cs="Courier New" w:hint="default"/>
      </w:rPr>
    </w:lvl>
    <w:lvl w:ilvl="2" w:tplc="04140005" w:tentative="1">
      <w:start w:val="1"/>
      <w:numFmt w:val="bullet"/>
      <w:lvlText w:val=""/>
      <w:lvlJc w:val="left"/>
      <w:pPr>
        <w:ind w:left="3855" w:hanging="360"/>
      </w:pPr>
      <w:rPr>
        <w:rFonts w:ascii="Wingdings" w:hAnsi="Wingdings" w:hint="default"/>
      </w:rPr>
    </w:lvl>
    <w:lvl w:ilvl="3" w:tplc="04140001" w:tentative="1">
      <w:start w:val="1"/>
      <w:numFmt w:val="bullet"/>
      <w:lvlText w:val=""/>
      <w:lvlJc w:val="left"/>
      <w:pPr>
        <w:ind w:left="4575" w:hanging="360"/>
      </w:pPr>
      <w:rPr>
        <w:rFonts w:ascii="Symbol" w:hAnsi="Symbol" w:hint="default"/>
      </w:rPr>
    </w:lvl>
    <w:lvl w:ilvl="4" w:tplc="04140003" w:tentative="1">
      <w:start w:val="1"/>
      <w:numFmt w:val="bullet"/>
      <w:lvlText w:val="o"/>
      <w:lvlJc w:val="left"/>
      <w:pPr>
        <w:ind w:left="5295" w:hanging="360"/>
      </w:pPr>
      <w:rPr>
        <w:rFonts w:ascii="Courier New" w:hAnsi="Courier New" w:cs="Courier New" w:hint="default"/>
      </w:rPr>
    </w:lvl>
    <w:lvl w:ilvl="5" w:tplc="04140005" w:tentative="1">
      <w:start w:val="1"/>
      <w:numFmt w:val="bullet"/>
      <w:lvlText w:val=""/>
      <w:lvlJc w:val="left"/>
      <w:pPr>
        <w:ind w:left="6015" w:hanging="360"/>
      </w:pPr>
      <w:rPr>
        <w:rFonts w:ascii="Wingdings" w:hAnsi="Wingdings" w:hint="default"/>
      </w:rPr>
    </w:lvl>
    <w:lvl w:ilvl="6" w:tplc="04140001" w:tentative="1">
      <w:start w:val="1"/>
      <w:numFmt w:val="bullet"/>
      <w:lvlText w:val=""/>
      <w:lvlJc w:val="left"/>
      <w:pPr>
        <w:ind w:left="6735" w:hanging="360"/>
      </w:pPr>
      <w:rPr>
        <w:rFonts w:ascii="Symbol" w:hAnsi="Symbol" w:hint="default"/>
      </w:rPr>
    </w:lvl>
    <w:lvl w:ilvl="7" w:tplc="04140003" w:tentative="1">
      <w:start w:val="1"/>
      <w:numFmt w:val="bullet"/>
      <w:lvlText w:val="o"/>
      <w:lvlJc w:val="left"/>
      <w:pPr>
        <w:ind w:left="7455" w:hanging="360"/>
      </w:pPr>
      <w:rPr>
        <w:rFonts w:ascii="Courier New" w:hAnsi="Courier New" w:cs="Courier New" w:hint="default"/>
      </w:rPr>
    </w:lvl>
    <w:lvl w:ilvl="8" w:tplc="04140005" w:tentative="1">
      <w:start w:val="1"/>
      <w:numFmt w:val="bullet"/>
      <w:lvlText w:val=""/>
      <w:lvlJc w:val="left"/>
      <w:pPr>
        <w:ind w:left="8175"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6"/>
  </w:num>
  <w:num w:numId="6">
    <w:abstractNumId w:val="8"/>
  </w:num>
  <w:num w:numId="7">
    <w:abstractNumId w:val="3"/>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nb-N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6D"/>
    <w:rsid w:val="000021F1"/>
    <w:rsid w:val="00006D12"/>
    <w:rsid w:val="000129B6"/>
    <w:rsid w:val="00017E83"/>
    <w:rsid w:val="000243D7"/>
    <w:rsid w:val="00034378"/>
    <w:rsid w:val="0003625A"/>
    <w:rsid w:val="00044602"/>
    <w:rsid w:val="0005232C"/>
    <w:rsid w:val="000545D7"/>
    <w:rsid w:val="000577C9"/>
    <w:rsid w:val="00061303"/>
    <w:rsid w:val="00063BFA"/>
    <w:rsid w:val="00072E86"/>
    <w:rsid w:val="00080EBD"/>
    <w:rsid w:val="00094AAB"/>
    <w:rsid w:val="000A2455"/>
    <w:rsid w:val="000A3271"/>
    <w:rsid w:val="000A7618"/>
    <w:rsid w:val="000B4FDC"/>
    <w:rsid w:val="000D2D78"/>
    <w:rsid w:val="000D66DF"/>
    <w:rsid w:val="000E2EB1"/>
    <w:rsid w:val="00101FDB"/>
    <w:rsid w:val="00123F19"/>
    <w:rsid w:val="001447CF"/>
    <w:rsid w:val="00152EA8"/>
    <w:rsid w:val="00155CA4"/>
    <w:rsid w:val="00156588"/>
    <w:rsid w:val="00167CAE"/>
    <w:rsid w:val="00173188"/>
    <w:rsid w:val="00176D2C"/>
    <w:rsid w:val="00177C8E"/>
    <w:rsid w:val="001841E0"/>
    <w:rsid w:val="00197592"/>
    <w:rsid w:val="001A79AE"/>
    <w:rsid w:val="001A7E8E"/>
    <w:rsid w:val="001B156C"/>
    <w:rsid w:val="001D0304"/>
    <w:rsid w:val="001D0A6B"/>
    <w:rsid w:val="001D5778"/>
    <w:rsid w:val="001E04BB"/>
    <w:rsid w:val="001E4832"/>
    <w:rsid w:val="001E4E8E"/>
    <w:rsid w:val="001F312C"/>
    <w:rsid w:val="001F6E22"/>
    <w:rsid w:val="002101D4"/>
    <w:rsid w:val="002109A7"/>
    <w:rsid w:val="00213E34"/>
    <w:rsid w:val="00216FD3"/>
    <w:rsid w:val="0022236B"/>
    <w:rsid w:val="002250C0"/>
    <w:rsid w:val="00233C19"/>
    <w:rsid w:val="00237F5E"/>
    <w:rsid w:val="0024186A"/>
    <w:rsid w:val="00243968"/>
    <w:rsid w:val="0024396A"/>
    <w:rsid w:val="002531C8"/>
    <w:rsid w:val="00265163"/>
    <w:rsid w:val="00272AFF"/>
    <w:rsid w:val="00275390"/>
    <w:rsid w:val="00284128"/>
    <w:rsid w:val="00284131"/>
    <w:rsid w:val="00291653"/>
    <w:rsid w:val="00296901"/>
    <w:rsid w:val="002D5D10"/>
    <w:rsid w:val="002D5D99"/>
    <w:rsid w:val="002E1A4F"/>
    <w:rsid w:val="002E461D"/>
    <w:rsid w:val="002F3CC3"/>
    <w:rsid w:val="002F4C84"/>
    <w:rsid w:val="002F6C5D"/>
    <w:rsid w:val="0030528C"/>
    <w:rsid w:val="003058B6"/>
    <w:rsid w:val="003143D6"/>
    <w:rsid w:val="00333AB5"/>
    <w:rsid w:val="003344E5"/>
    <w:rsid w:val="003438EA"/>
    <w:rsid w:val="00346409"/>
    <w:rsid w:val="00346634"/>
    <w:rsid w:val="00350092"/>
    <w:rsid w:val="003537B4"/>
    <w:rsid w:val="00353A31"/>
    <w:rsid w:val="00370734"/>
    <w:rsid w:val="003742D8"/>
    <w:rsid w:val="003773C1"/>
    <w:rsid w:val="00387558"/>
    <w:rsid w:val="00391861"/>
    <w:rsid w:val="0039764F"/>
    <w:rsid w:val="003A3107"/>
    <w:rsid w:val="003C299F"/>
    <w:rsid w:val="003C512E"/>
    <w:rsid w:val="003F7584"/>
    <w:rsid w:val="00402E5C"/>
    <w:rsid w:val="004060E8"/>
    <w:rsid w:val="004119E9"/>
    <w:rsid w:val="004257A0"/>
    <w:rsid w:val="00430244"/>
    <w:rsid w:val="004317FD"/>
    <w:rsid w:val="00431B6D"/>
    <w:rsid w:val="0043332D"/>
    <w:rsid w:val="0045256B"/>
    <w:rsid w:val="00454C9C"/>
    <w:rsid w:val="00456ADF"/>
    <w:rsid w:val="004609C3"/>
    <w:rsid w:val="00464FFF"/>
    <w:rsid w:val="004763F0"/>
    <w:rsid w:val="00484A8D"/>
    <w:rsid w:val="00491517"/>
    <w:rsid w:val="004945E9"/>
    <w:rsid w:val="00494780"/>
    <w:rsid w:val="00496581"/>
    <w:rsid w:val="004A3DE0"/>
    <w:rsid w:val="004A58C2"/>
    <w:rsid w:val="004B0B19"/>
    <w:rsid w:val="004B2968"/>
    <w:rsid w:val="004C09F2"/>
    <w:rsid w:val="004C0AA8"/>
    <w:rsid w:val="004C215D"/>
    <w:rsid w:val="004D3291"/>
    <w:rsid w:val="004E20C8"/>
    <w:rsid w:val="004F119E"/>
    <w:rsid w:val="004F295B"/>
    <w:rsid w:val="00503E46"/>
    <w:rsid w:val="00515FC0"/>
    <w:rsid w:val="005273E5"/>
    <w:rsid w:val="00541D74"/>
    <w:rsid w:val="00542F68"/>
    <w:rsid w:val="00545152"/>
    <w:rsid w:val="005663C1"/>
    <w:rsid w:val="00567AC7"/>
    <w:rsid w:val="00571B98"/>
    <w:rsid w:val="00577D68"/>
    <w:rsid w:val="00587EEF"/>
    <w:rsid w:val="005951AF"/>
    <w:rsid w:val="005A086F"/>
    <w:rsid w:val="005A72FB"/>
    <w:rsid w:val="005A7AF2"/>
    <w:rsid w:val="005B0F76"/>
    <w:rsid w:val="005C3D22"/>
    <w:rsid w:val="005C5EB8"/>
    <w:rsid w:val="005C6820"/>
    <w:rsid w:val="005C68E6"/>
    <w:rsid w:val="005D0F3A"/>
    <w:rsid w:val="005D5B28"/>
    <w:rsid w:val="005E2873"/>
    <w:rsid w:val="00611985"/>
    <w:rsid w:val="0061778C"/>
    <w:rsid w:val="0062155A"/>
    <w:rsid w:val="00623871"/>
    <w:rsid w:val="00625D05"/>
    <w:rsid w:val="0063486D"/>
    <w:rsid w:val="00640CF1"/>
    <w:rsid w:val="00642A7B"/>
    <w:rsid w:val="0065351D"/>
    <w:rsid w:val="00655201"/>
    <w:rsid w:val="00656743"/>
    <w:rsid w:val="00666EA4"/>
    <w:rsid w:val="00667312"/>
    <w:rsid w:val="00694E05"/>
    <w:rsid w:val="00696A79"/>
    <w:rsid w:val="00697928"/>
    <w:rsid w:val="006B29F8"/>
    <w:rsid w:val="006B5332"/>
    <w:rsid w:val="006B6E32"/>
    <w:rsid w:val="006C30AF"/>
    <w:rsid w:val="006C35A8"/>
    <w:rsid w:val="006D168B"/>
    <w:rsid w:val="006E060E"/>
    <w:rsid w:val="006E13F5"/>
    <w:rsid w:val="006E3606"/>
    <w:rsid w:val="006E42FE"/>
    <w:rsid w:val="006F1607"/>
    <w:rsid w:val="006F20BE"/>
    <w:rsid w:val="00707EBE"/>
    <w:rsid w:val="00726AB4"/>
    <w:rsid w:val="00745D98"/>
    <w:rsid w:val="00756C9A"/>
    <w:rsid w:val="007576AA"/>
    <w:rsid w:val="0076192F"/>
    <w:rsid w:val="00772270"/>
    <w:rsid w:val="00783692"/>
    <w:rsid w:val="00791041"/>
    <w:rsid w:val="00792801"/>
    <w:rsid w:val="007A3AF1"/>
    <w:rsid w:val="007E17DF"/>
    <w:rsid w:val="007E4E21"/>
    <w:rsid w:val="00814C7E"/>
    <w:rsid w:val="00826167"/>
    <w:rsid w:val="00827C98"/>
    <w:rsid w:val="008320B3"/>
    <w:rsid w:val="008360A0"/>
    <w:rsid w:val="00841336"/>
    <w:rsid w:val="00844DB1"/>
    <w:rsid w:val="00874B2B"/>
    <w:rsid w:val="0087658E"/>
    <w:rsid w:val="00877A3F"/>
    <w:rsid w:val="00885029"/>
    <w:rsid w:val="008A377B"/>
    <w:rsid w:val="008A655B"/>
    <w:rsid w:val="008B0C07"/>
    <w:rsid w:val="008B1AB4"/>
    <w:rsid w:val="008B4A64"/>
    <w:rsid w:val="008B51C5"/>
    <w:rsid w:val="008B68F9"/>
    <w:rsid w:val="008C03B1"/>
    <w:rsid w:val="008C19CB"/>
    <w:rsid w:val="008C3903"/>
    <w:rsid w:val="008D7E5F"/>
    <w:rsid w:val="008E5457"/>
    <w:rsid w:val="008E63DF"/>
    <w:rsid w:val="008E6A55"/>
    <w:rsid w:val="00901A97"/>
    <w:rsid w:val="00902537"/>
    <w:rsid w:val="00903915"/>
    <w:rsid w:val="009142B9"/>
    <w:rsid w:val="009222EF"/>
    <w:rsid w:val="009369DF"/>
    <w:rsid w:val="0093756B"/>
    <w:rsid w:val="00940814"/>
    <w:rsid w:val="009439DC"/>
    <w:rsid w:val="009561D5"/>
    <w:rsid w:val="00963A0A"/>
    <w:rsid w:val="00964A0E"/>
    <w:rsid w:val="00965412"/>
    <w:rsid w:val="0097581D"/>
    <w:rsid w:val="00983D77"/>
    <w:rsid w:val="00986244"/>
    <w:rsid w:val="00995F44"/>
    <w:rsid w:val="009A4C3D"/>
    <w:rsid w:val="009B071B"/>
    <w:rsid w:val="009B103F"/>
    <w:rsid w:val="009B2BA1"/>
    <w:rsid w:val="009C05B7"/>
    <w:rsid w:val="009C6A59"/>
    <w:rsid w:val="009E55EC"/>
    <w:rsid w:val="009F307A"/>
    <w:rsid w:val="009F43A2"/>
    <w:rsid w:val="00A014AE"/>
    <w:rsid w:val="00A031F1"/>
    <w:rsid w:val="00A05E28"/>
    <w:rsid w:val="00A12DED"/>
    <w:rsid w:val="00A12F17"/>
    <w:rsid w:val="00A32318"/>
    <w:rsid w:val="00A33158"/>
    <w:rsid w:val="00A41907"/>
    <w:rsid w:val="00A47B18"/>
    <w:rsid w:val="00A537D4"/>
    <w:rsid w:val="00A7182B"/>
    <w:rsid w:val="00A727E6"/>
    <w:rsid w:val="00A75E01"/>
    <w:rsid w:val="00A76734"/>
    <w:rsid w:val="00A84F29"/>
    <w:rsid w:val="00A87CEA"/>
    <w:rsid w:val="00A91078"/>
    <w:rsid w:val="00A91A75"/>
    <w:rsid w:val="00AA56AC"/>
    <w:rsid w:val="00AA64A8"/>
    <w:rsid w:val="00AA67C3"/>
    <w:rsid w:val="00AB0154"/>
    <w:rsid w:val="00AB1AFE"/>
    <w:rsid w:val="00AC0716"/>
    <w:rsid w:val="00AC1895"/>
    <w:rsid w:val="00AD08DF"/>
    <w:rsid w:val="00AD1743"/>
    <w:rsid w:val="00AD3004"/>
    <w:rsid w:val="00AE0631"/>
    <w:rsid w:val="00AE16A7"/>
    <w:rsid w:val="00AF1A9A"/>
    <w:rsid w:val="00AF2877"/>
    <w:rsid w:val="00AF3BC7"/>
    <w:rsid w:val="00AF6BCE"/>
    <w:rsid w:val="00B00B8D"/>
    <w:rsid w:val="00B14768"/>
    <w:rsid w:val="00B22A4E"/>
    <w:rsid w:val="00B26C7C"/>
    <w:rsid w:val="00B47BCE"/>
    <w:rsid w:val="00B51443"/>
    <w:rsid w:val="00B52BC2"/>
    <w:rsid w:val="00B54618"/>
    <w:rsid w:val="00B6069A"/>
    <w:rsid w:val="00B621D2"/>
    <w:rsid w:val="00B70D84"/>
    <w:rsid w:val="00B732BC"/>
    <w:rsid w:val="00B752B0"/>
    <w:rsid w:val="00B75DB7"/>
    <w:rsid w:val="00B76CB7"/>
    <w:rsid w:val="00B77096"/>
    <w:rsid w:val="00B777A2"/>
    <w:rsid w:val="00B81B1E"/>
    <w:rsid w:val="00B835D6"/>
    <w:rsid w:val="00B90C4E"/>
    <w:rsid w:val="00B95B0E"/>
    <w:rsid w:val="00B9756D"/>
    <w:rsid w:val="00BA2CBC"/>
    <w:rsid w:val="00BA3F30"/>
    <w:rsid w:val="00BA4615"/>
    <w:rsid w:val="00BB4DCD"/>
    <w:rsid w:val="00BB5FED"/>
    <w:rsid w:val="00BB7477"/>
    <w:rsid w:val="00BC489B"/>
    <w:rsid w:val="00BF046A"/>
    <w:rsid w:val="00BF0D97"/>
    <w:rsid w:val="00BF17D2"/>
    <w:rsid w:val="00BF1E63"/>
    <w:rsid w:val="00BF4BB8"/>
    <w:rsid w:val="00BF7A9E"/>
    <w:rsid w:val="00C025C6"/>
    <w:rsid w:val="00C066AB"/>
    <w:rsid w:val="00C1012A"/>
    <w:rsid w:val="00C2664F"/>
    <w:rsid w:val="00C31D2F"/>
    <w:rsid w:val="00C37746"/>
    <w:rsid w:val="00C4088F"/>
    <w:rsid w:val="00C4142C"/>
    <w:rsid w:val="00C429E3"/>
    <w:rsid w:val="00C6269C"/>
    <w:rsid w:val="00C65A9C"/>
    <w:rsid w:val="00C65ECD"/>
    <w:rsid w:val="00C7263B"/>
    <w:rsid w:val="00C7574D"/>
    <w:rsid w:val="00C82209"/>
    <w:rsid w:val="00C90724"/>
    <w:rsid w:val="00C90CD4"/>
    <w:rsid w:val="00C942CD"/>
    <w:rsid w:val="00CB05A1"/>
    <w:rsid w:val="00CB11BE"/>
    <w:rsid w:val="00CB505B"/>
    <w:rsid w:val="00CC41F3"/>
    <w:rsid w:val="00CC4C87"/>
    <w:rsid w:val="00CD25C5"/>
    <w:rsid w:val="00CD60A2"/>
    <w:rsid w:val="00CE001E"/>
    <w:rsid w:val="00CE4064"/>
    <w:rsid w:val="00CF1AE1"/>
    <w:rsid w:val="00CF2FD8"/>
    <w:rsid w:val="00D23D45"/>
    <w:rsid w:val="00D24D0F"/>
    <w:rsid w:val="00D26C32"/>
    <w:rsid w:val="00D37EC4"/>
    <w:rsid w:val="00D5290F"/>
    <w:rsid w:val="00D61035"/>
    <w:rsid w:val="00D66875"/>
    <w:rsid w:val="00D7242D"/>
    <w:rsid w:val="00D74BB0"/>
    <w:rsid w:val="00D81F84"/>
    <w:rsid w:val="00D8355A"/>
    <w:rsid w:val="00DA5E23"/>
    <w:rsid w:val="00DA609F"/>
    <w:rsid w:val="00DB2E3B"/>
    <w:rsid w:val="00DB4738"/>
    <w:rsid w:val="00DB4D7A"/>
    <w:rsid w:val="00DC36D5"/>
    <w:rsid w:val="00DC4E18"/>
    <w:rsid w:val="00DC585B"/>
    <w:rsid w:val="00DD5C56"/>
    <w:rsid w:val="00DD68CA"/>
    <w:rsid w:val="00DF3155"/>
    <w:rsid w:val="00DF7080"/>
    <w:rsid w:val="00E0577E"/>
    <w:rsid w:val="00E0612F"/>
    <w:rsid w:val="00E06B72"/>
    <w:rsid w:val="00E10B5A"/>
    <w:rsid w:val="00E24797"/>
    <w:rsid w:val="00E271B8"/>
    <w:rsid w:val="00E31B3D"/>
    <w:rsid w:val="00E35D89"/>
    <w:rsid w:val="00E37A5C"/>
    <w:rsid w:val="00E40F25"/>
    <w:rsid w:val="00E45A14"/>
    <w:rsid w:val="00E50DAC"/>
    <w:rsid w:val="00E6343C"/>
    <w:rsid w:val="00E905C7"/>
    <w:rsid w:val="00E9259D"/>
    <w:rsid w:val="00E93502"/>
    <w:rsid w:val="00E96141"/>
    <w:rsid w:val="00EA6530"/>
    <w:rsid w:val="00EA6BD1"/>
    <w:rsid w:val="00EA7762"/>
    <w:rsid w:val="00EA7A0B"/>
    <w:rsid w:val="00EB0688"/>
    <w:rsid w:val="00EB4DEF"/>
    <w:rsid w:val="00EC45B3"/>
    <w:rsid w:val="00ED2248"/>
    <w:rsid w:val="00ED2DF4"/>
    <w:rsid w:val="00ED3022"/>
    <w:rsid w:val="00EE192F"/>
    <w:rsid w:val="00EE6723"/>
    <w:rsid w:val="00EF4191"/>
    <w:rsid w:val="00EF5314"/>
    <w:rsid w:val="00EF5C6F"/>
    <w:rsid w:val="00F01CC7"/>
    <w:rsid w:val="00F11FD3"/>
    <w:rsid w:val="00F2149C"/>
    <w:rsid w:val="00F25AC4"/>
    <w:rsid w:val="00F414CC"/>
    <w:rsid w:val="00F506D7"/>
    <w:rsid w:val="00F50DA4"/>
    <w:rsid w:val="00F56CA6"/>
    <w:rsid w:val="00F647E3"/>
    <w:rsid w:val="00F67DCE"/>
    <w:rsid w:val="00F761B9"/>
    <w:rsid w:val="00F76B71"/>
    <w:rsid w:val="00F81517"/>
    <w:rsid w:val="00F91424"/>
    <w:rsid w:val="00FD3F71"/>
    <w:rsid w:val="00FF0621"/>
    <w:rsid w:val="00FF2B1A"/>
    <w:rsid w:val="00FF33FE"/>
    <w:rsid w:val="00FF7EF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95C3ADE-2E3C-4D9A-93FE-00B08BCAA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B1"/>
    <w:pPr>
      <w:spacing w:after="60"/>
      <w:ind w:left="85" w:right="85"/>
    </w:pPr>
    <w:rPr>
      <w:rFonts w:ascii="Arial" w:hAnsi="Arial"/>
      <w:sz w:val="24"/>
      <w:szCs w:val="24"/>
      <w:lang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rPr>
  </w:style>
  <w:style w:type="paragraph" w:customStyle="1" w:styleId="DatoRefTekst">
    <w:name w:val="DatoRefTekst"/>
    <w:basedOn w:val="Topptekst"/>
    <w:autoRedefine/>
    <w:pPr>
      <w:spacing w:after="0"/>
    </w:pPr>
    <w:rPr>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b/>
      <w:sz w:val="20"/>
    </w:rPr>
  </w:style>
  <w:style w:type="paragraph" w:customStyle="1" w:styleId="underheader">
    <w:name w:val="underheader"/>
    <w:basedOn w:val="Topptekst"/>
    <w:autoRedefine/>
    <w:pPr>
      <w:ind w:left="57"/>
    </w:pPr>
    <w:rPr>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rsid w:val="000A2455"/>
    <w:pPr>
      <w:tabs>
        <w:tab w:val="clear" w:pos="4153"/>
        <w:tab w:val="clear" w:pos="8306"/>
        <w:tab w:val="left" w:pos="1916"/>
        <w:tab w:val="left" w:pos="4360"/>
        <w:tab w:val="left" w:pos="6282"/>
        <w:tab w:val="left" w:pos="8023"/>
      </w:tabs>
      <w:spacing w:after="30"/>
      <w:ind w:left="85"/>
    </w:pPr>
    <w:rPr>
      <w:b/>
      <w:color w:val="808080"/>
      <w:sz w:val="16"/>
      <w:szCs w:val="16"/>
    </w:rPr>
  </w:style>
  <w:style w:type="paragraph" w:customStyle="1" w:styleId="Tilfelt">
    <w:name w:val="Tilfelt"/>
    <w:basedOn w:val="Normal"/>
    <w:pPr>
      <w:spacing w:after="20"/>
    </w:pPr>
  </w:style>
  <w:style w:type="paragraph" w:customStyle="1" w:styleId="Merknad">
    <w:name w:val="Merknad"/>
    <w:basedOn w:val="Normal"/>
    <w:pPr>
      <w:spacing w:before="50" w:after="50"/>
      <w:ind w:left="0"/>
    </w:pPr>
    <w:rPr>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rsid w:val="00BB7477"/>
    <w:pPr>
      <w:spacing w:after="60"/>
      <w:ind w:right="85"/>
    </w:pPr>
    <w:rPr>
      <w:sz w:val="19"/>
    </w:rPr>
  </w:style>
  <w:style w:type="paragraph" w:customStyle="1" w:styleId="FyllLinje">
    <w:name w:val="FyllLinje"/>
    <w:basedOn w:val="Normal"/>
    <w:autoRedefine/>
    <w:pPr>
      <w:spacing w:after="170"/>
    </w:pPr>
    <w:rPr>
      <w:sz w:val="2"/>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176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DED"/>
    <w:pPr>
      <w:autoSpaceDE w:val="0"/>
      <w:autoSpaceDN w:val="0"/>
      <w:adjustRightInd w:val="0"/>
    </w:pPr>
    <w:rPr>
      <w:rFonts w:ascii="Calibri" w:hAnsi="Calibri" w:cs="Calibri"/>
      <w:color w:val="000000"/>
      <w:sz w:val="24"/>
      <w:szCs w:val="24"/>
    </w:rPr>
  </w:style>
  <w:style w:type="character" w:styleId="Hyperkobling">
    <w:name w:val="Hyperlink"/>
    <w:basedOn w:val="Standardskriftforavsnitt"/>
    <w:rsid w:val="00A12DED"/>
    <w:rPr>
      <w:color w:val="0563C1" w:themeColor="hyperlink"/>
      <w:u w:val="single"/>
    </w:rPr>
  </w:style>
  <w:style w:type="character" w:styleId="Merknadsreferanse">
    <w:name w:val="annotation reference"/>
    <w:basedOn w:val="Standardskriftforavsnitt"/>
    <w:semiHidden/>
    <w:unhideWhenUsed/>
    <w:rsid w:val="00A12DED"/>
    <w:rPr>
      <w:sz w:val="16"/>
      <w:szCs w:val="16"/>
    </w:rPr>
  </w:style>
  <w:style w:type="paragraph" w:styleId="Merknadstekst">
    <w:name w:val="annotation text"/>
    <w:basedOn w:val="Normal"/>
    <w:link w:val="MerknadstekstTegn"/>
    <w:semiHidden/>
    <w:unhideWhenUsed/>
    <w:rsid w:val="00A12DED"/>
    <w:rPr>
      <w:sz w:val="20"/>
      <w:szCs w:val="20"/>
    </w:rPr>
  </w:style>
  <w:style w:type="character" w:customStyle="1" w:styleId="MerknadstekstTegn">
    <w:name w:val="Merknadstekst Tegn"/>
    <w:basedOn w:val="Standardskriftforavsnitt"/>
    <w:link w:val="Merknadstekst"/>
    <w:semiHidden/>
    <w:rsid w:val="00A12DED"/>
    <w:rPr>
      <w:rFonts w:ascii="Arial" w:hAnsi="Arial"/>
      <w:lang w:val="en-GB" w:eastAsia="en-US"/>
    </w:rPr>
  </w:style>
  <w:style w:type="paragraph" w:styleId="Kommentaremne">
    <w:name w:val="annotation subject"/>
    <w:basedOn w:val="Merknadstekst"/>
    <w:next w:val="Merknadstekst"/>
    <w:link w:val="KommentaremneTegn"/>
    <w:semiHidden/>
    <w:unhideWhenUsed/>
    <w:rsid w:val="00A12DED"/>
    <w:rPr>
      <w:b/>
      <w:bCs/>
    </w:rPr>
  </w:style>
  <w:style w:type="character" w:customStyle="1" w:styleId="KommentaremneTegn">
    <w:name w:val="Kommentaremne Tegn"/>
    <w:basedOn w:val="MerknadstekstTegn"/>
    <w:link w:val="Kommentaremne"/>
    <w:semiHidden/>
    <w:rsid w:val="00A12DED"/>
    <w:rPr>
      <w:rFonts w:ascii="Arial" w:hAnsi="Arial"/>
      <w:b/>
      <w:bCs/>
      <w:lang w:val="en-GB" w:eastAsia="en-US"/>
    </w:rPr>
  </w:style>
  <w:style w:type="paragraph" w:styleId="Bobletekst">
    <w:name w:val="Balloon Text"/>
    <w:basedOn w:val="Normal"/>
    <w:link w:val="BobletekstTegn"/>
    <w:semiHidden/>
    <w:unhideWhenUsed/>
    <w:rsid w:val="00A12DED"/>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A12DED"/>
    <w:rPr>
      <w:rFonts w:ascii="Segoe UI" w:hAnsi="Segoe UI" w:cs="Segoe UI"/>
      <w:sz w:val="18"/>
      <w:szCs w:val="18"/>
      <w:lang w:val="en-GB" w:eastAsia="en-US"/>
    </w:rPr>
  </w:style>
  <w:style w:type="paragraph" w:styleId="Listeavsnitt">
    <w:name w:val="List Paragraph"/>
    <w:basedOn w:val="Normal"/>
    <w:uiPriority w:val="34"/>
    <w:qFormat/>
    <w:rsid w:val="00F11FD3"/>
    <w:pPr>
      <w:spacing w:after="0"/>
      <w:ind w:left="720" w:right="0"/>
      <w:contextualSpacing/>
    </w:pPr>
    <w:rPr>
      <w:rFonts w:ascii="Times New Roman" w:hAnsi="Times New Roman"/>
      <w:lang w:eastAsia="nb-NO"/>
    </w:rPr>
  </w:style>
  <w:style w:type="table" w:customStyle="1" w:styleId="Tabellrutenett1">
    <w:name w:val="Tabellrutenett1"/>
    <w:basedOn w:val="Vanligtabell"/>
    <w:next w:val="Tabellrutenett"/>
    <w:rsid w:val="00621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rsid w:val="00044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74911">
      <w:bodyDiv w:val="1"/>
      <w:marLeft w:val="0"/>
      <w:marRight w:val="0"/>
      <w:marTop w:val="0"/>
      <w:marBottom w:val="0"/>
      <w:divBdr>
        <w:top w:val="none" w:sz="0" w:space="0" w:color="auto"/>
        <w:left w:val="none" w:sz="0" w:space="0" w:color="auto"/>
        <w:bottom w:val="none" w:sz="0" w:space="0" w:color="auto"/>
        <w:right w:val="none" w:sz="0" w:space="0" w:color="auto"/>
      </w:divBdr>
    </w:div>
    <w:div w:id="1801068498">
      <w:bodyDiv w:val="1"/>
      <w:marLeft w:val="0"/>
      <w:marRight w:val="0"/>
      <w:marTop w:val="0"/>
      <w:marBottom w:val="0"/>
      <w:divBdr>
        <w:top w:val="none" w:sz="0" w:space="0" w:color="auto"/>
        <w:left w:val="none" w:sz="0" w:space="0" w:color="auto"/>
        <w:bottom w:val="none" w:sz="0" w:space="0" w:color="auto"/>
        <w:right w:val="none" w:sz="0" w:space="0" w:color="auto"/>
      </w:divBdr>
      <w:divsChild>
        <w:div w:id="1152405205">
          <w:marLeft w:val="547"/>
          <w:marRight w:val="0"/>
          <w:marTop w:val="96"/>
          <w:marBottom w:val="0"/>
          <w:divBdr>
            <w:top w:val="none" w:sz="0" w:space="0" w:color="auto"/>
            <w:left w:val="none" w:sz="0" w:space="0" w:color="auto"/>
            <w:bottom w:val="none" w:sz="0" w:space="0" w:color="auto"/>
            <w:right w:val="none" w:sz="0" w:space="0" w:color="auto"/>
          </w:divBdr>
        </w:div>
        <w:div w:id="813376029">
          <w:marLeft w:val="547"/>
          <w:marRight w:val="0"/>
          <w:marTop w:val="96"/>
          <w:marBottom w:val="0"/>
          <w:divBdr>
            <w:top w:val="none" w:sz="0" w:space="0" w:color="auto"/>
            <w:left w:val="none" w:sz="0" w:space="0" w:color="auto"/>
            <w:bottom w:val="none" w:sz="0" w:space="0" w:color="auto"/>
            <w:right w:val="none" w:sz="0" w:space="0" w:color="auto"/>
          </w:divBdr>
        </w:div>
        <w:div w:id="1977644519">
          <w:marLeft w:val="547"/>
          <w:marRight w:val="0"/>
          <w:marTop w:val="96"/>
          <w:marBottom w:val="0"/>
          <w:divBdr>
            <w:top w:val="none" w:sz="0" w:space="0" w:color="auto"/>
            <w:left w:val="none" w:sz="0" w:space="0" w:color="auto"/>
            <w:bottom w:val="none" w:sz="0" w:space="0" w:color="auto"/>
            <w:right w:val="none" w:sz="0" w:space="0" w:color="auto"/>
          </w:divBdr>
        </w:div>
        <w:div w:id="1073313930">
          <w:marLeft w:val="547"/>
          <w:marRight w:val="0"/>
          <w:marTop w:val="96"/>
          <w:marBottom w:val="0"/>
          <w:divBdr>
            <w:top w:val="none" w:sz="0" w:space="0" w:color="auto"/>
            <w:left w:val="none" w:sz="0" w:space="0" w:color="auto"/>
            <w:bottom w:val="none" w:sz="0" w:space="0" w:color="auto"/>
            <w:right w:val="none" w:sz="0" w:space="0" w:color="auto"/>
          </w:divBdr>
        </w:div>
      </w:divsChild>
    </w:div>
    <w:div w:id="1850870210">
      <w:bodyDiv w:val="1"/>
      <w:marLeft w:val="0"/>
      <w:marRight w:val="0"/>
      <w:marTop w:val="0"/>
      <w:marBottom w:val="0"/>
      <w:divBdr>
        <w:top w:val="none" w:sz="0" w:space="0" w:color="auto"/>
        <w:left w:val="none" w:sz="0" w:space="0" w:color="auto"/>
        <w:bottom w:val="none" w:sz="0" w:space="0" w:color="auto"/>
        <w:right w:val="none" w:sz="0" w:space="0" w:color="auto"/>
      </w:divBdr>
    </w:div>
    <w:div w:id="1902321932">
      <w:bodyDiv w:val="1"/>
      <w:marLeft w:val="0"/>
      <w:marRight w:val="0"/>
      <w:marTop w:val="0"/>
      <w:marBottom w:val="0"/>
      <w:divBdr>
        <w:top w:val="none" w:sz="0" w:space="0" w:color="auto"/>
        <w:left w:val="none" w:sz="0" w:space="0" w:color="auto"/>
        <w:bottom w:val="none" w:sz="0" w:space="0" w:color="auto"/>
        <w:right w:val="none" w:sz="0" w:space="0" w:color="auto"/>
      </w:divBdr>
    </w:div>
    <w:div w:id="20453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nsida.ntnu.no/documents/10157/2554309629/Budsjettmal+EVU/e9efc94d-feb2-46a0-84ab-430e5a4badad" TargetMode="External"/><Relationship Id="rId26" Type="http://schemas.openxmlformats.org/officeDocument/2006/relationships/hyperlink" Target="mailto:kontakt@okavd.ntnu.no?subject=Prosjektst%C3%B8tte" TargetMode="External"/><Relationship Id="rId3" Type="http://schemas.openxmlformats.org/officeDocument/2006/relationships/styles" Target="styles.xml"/><Relationship Id="rId21" Type="http://schemas.openxmlformats.org/officeDocument/2006/relationships/hyperlink" Target="https://innsida.ntnu.no/c/wiki/get_page_attachment?p_l_id=22780&amp;nodeId=24647&amp;title=Utredninger+og+h%C3%B8ringer+om+etter-+og+videreutdanning&amp;fileName=Rapport%20fra%20Reitanutvalget%2001.12.18.pdf"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bh.nsd.uib.no/dokumentasjon/kategorier.action" TargetMode="External"/><Relationship Id="rId25" Type="http://schemas.openxmlformats.org/officeDocument/2006/relationships/hyperlink" Target="https://innsida.ntnu.no/documents/10157/2554309629/Budsjettmal+EVU/e9efc94d-feb2-46a0-84ab-430e5a4badad"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lovdata.no/dokument/SF/forskrift/2005-12-15-1506" TargetMode="External"/><Relationship Id="rId20" Type="http://schemas.openxmlformats.org/officeDocument/2006/relationships/hyperlink" Target="https://www.regjeringen.no/no/dokumenter/rundskriv-f-07-13-reglement-om-statlige-/id734714/" TargetMode="External"/><Relationship Id="rId29" Type="http://schemas.openxmlformats.org/officeDocument/2006/relationships/hyperlink" Target="https://innsida.ntnu.no/wiki/-/wiki/Norsk/Utredninger+og+h%C3%B8ringer+om+etter-+og+videreutda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ise.sagdahl@ntnu.no"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nsida.ntnu.no/c/wiki/get_page_attachment?p_l_id=22780&amp;nodeId=24647&amp;title=Utredninger+og+h%C3%B8ringer+om+etter-+og+videreutdanning&amp;fileName=UHR-rapport%20Tolking%20av%20regelverket%20for%20finansiering%20av%20etter-%20og%20videreutdanning%20(EVU).pdf" TargetMode="External"/><Relationship Id="rId23" Type="http://schemas.openxmlformats.org/officeDocument/2006/relationships/hyperlink" Target="https://innsida.ntnu.no/wiki/-/wiki/Norsk/Utredninger+og+h%C3%B8ringer+om+etter-+og+videreutdanning" TargetMode="External"/><Relationship Id="rId28" Type="http://schemas.openxmlformats.org/officeDocument/2006/relationships/hyperlink" Target="mailto:videre@ntnu.no"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innsida.ntnu.no/c/wiki/get_page_attachment?p_l_id=22780&amp;nodeId=24647&amp;title=Utredninger+og+h%C3%B8ringer+om+etter-+og+videreutdanning&amp;fileName=Rapport%20fra%20Reitanutvalget%2001.12.18.pdf" TargetMode="External"/><Relationship Id="rId22" Type="http://schemas.openxmlformats.org/officeDocument/2006/relationships/hyperlink" Target="file:///\\home.ansatt.ntnu.no\sagdahl\Documents\EVU\Simuleringsverkt&#248;y%20for%20beregning%20av%20egenfinansieringsprosent%20(.xlsx)" TargetMode="External"/><Relationship Id="rId27" Type="http://schemas.openxmlformats.org/officeDocument/2006/relationships/hyperlink" Target="mailto:lise.sagdahl@ntnu.no" TargetMode="External"/><Relationship Id="rId30" Type="http://schemas.openxmlformats.org/officeDocument/2006/relationships/header" Target="header4.xml"/><Relationship Id="rId35"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LED_OG_ADM\OE\OE-VIRKS\mal-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98583-895D-4250-8A52-0C999665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mal-brev.dotm</Template>
  <TotalTime>0</TotalTime>
  <Pages>5</Pages>
  <Words>1642</Words>
  <Characters>11994</Characters>
  <Application>Microsoft Office Word</Application>
  <DocSecurity>0</DocSecurity>
  <Lines>99</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Brev Gjennomgang av EVU-portefølje</vt:lpstr>
      <vt:lpstr>Ny linje</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Gjennomgang av EVU-portefølje</dc:title>
  <dc:subject/>
  <dc:creator>Jørgen Bye</dc:creator>
  <cp:keywords/>
  <dc:description/>
  <cp:lastModifiedBy>Lise Trondsen Sagdahl</cp:lastModifiedBy>
  <cp:revision>16</cp:revision>
  <cp:lastPrinted>2019-01-21T11:42:00Z</cp:lastPrinted>
  <dcterms:created xsi:type="dcterms:W3CDTF">2019-01-21T06:24:00Z</dcterms:created>
  <dcterms:modified xsi:type="dcterms:W3CDTF">2019-01-22T09:26:00Z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kghjkhgjkj</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