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2C50" w14:textId="77777777" w:rsidR="00383712" w:rsidRDefault="00383712" w:rsidP="00383712">
      <w:pPr>
        <w:pStyle w:val="Tilfelt"/>
        <w:ind w:left="5125" w:righ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3DC94ED" w14:textId="08F6BD6C" w:rsidR="00222700" w:rsidRDefault="00222700" w:rsidP="00222700">
      <w:pPr>
        <w:pStyle w:val="Tilfelt"/>
        <w:ind w:right="0"/>
        <w:rPr>
          <w:rFonts w:ascii="Times New Roman" w:hAnsi="Times New Roman"/>
          <w:b/>
          <w:bCs/>
          <w:sz w:val="28"/>
          <w:szCs w:val="28"/>
        </w:rPr>
      </w:pPr>
      <w:r w:rsidRPr="00222700">
        <w:rPr>
          <w:rFonts w:ascii="Times New Roman" w:hAnsi="Times New Roman"/>
          <w:b/>
          <w:bCs/>
          <w:sz w:val="28"/>
          <w:szCs w:val="28"/>
        </w:rPr>
        <w:t>Vurdering av annen passende stilling</w:t>
      </w:r>
    </w:p>
    <w:p w14:paraId="34270697" w14:textId="77777777" w:rsidR="00222700" w:rsidRDefault="00222700" w:rsidP="00222700">
      <w:pPr>
        <w:pStyle w:val="Tilfelt"/>
        <w:ind w:right="0"/>
        <w:rPr>
          <w:rFonts w:ascii="Times New Roman" w:hAnsi="Times New Roman"/>
        </w:rPr>
      </w:pPr>
    </w:p>
    <w:p w14:paraId="7594D937" w14:textId="5432CDBA" w:rsidR="00222700" w:rsidRDefault="00D674B9" w:rsidP="0022270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Navn</w:t>
      </w:r>
      <w:r w:rsidR="00222700" w:rsidRPr="00222700">
        <w:rPr>
          <w:rFonts w:ascii="Times New Roman" w:hAnsi="Times New Roman"/>
          <w:b/>
          <w:bCs/>
        </w:rPr>
        <w:t>:</w:t>
      </w:r>
    </w:p>
    <w:p w14:paraId="4BF66D89" w14:textId="690B9C0B" w:rsidR="00D674B9" w:rsidRPr="00D674B9" w:rsidRDefault="00D674B9" w:rsidP="00D674B9">
      <w:pPr>
        <w:pStyle w:val="Tilfelt"/>
        <w:ind w:left="0" w:right="0"/>
        <w:rPr>
          <w:rFonts w:ascii="Times New Roman" w:hAnsi="Times New Roman"/>
        </w:rPr>
      </w:pPr>
    </w:p>
    <w:p w14:paraId="6CF09168" w14:textId="2790D001" w:rsidR="00222700" w:rsidRDefault="00D674B9" w:rsidP="00222700">
      <w:pPr>
        <w:pStyle w:val="Tilfelt"/>
        <w:ind w:right="0"/>
        <w:rPr>
          <w:rFonts w:ascii="Times New Roman" w:hAnsi="Times New Roman"/>
          <w:b/>
          <w:bCs/>
        </w:rPr>
      </w:pPr>
      <w:proofErr w:type="spellStart"/>
      <w:r w:rsidRPr="00D674B9">
        <w:rPr>
          <w:rFonts w:ascii="Times New Roman" w:hAnsi="Times New Roman"/>
          <w:b/>
          <w:bCs/>
        </w:rPr>
        <w:t>Jobbnorge</w:t>
      </w:r>
      <w:proofErr w:type="spellEnd"/>
      <w:r w:rsidRPr="00D674B9">
        <w:rPr>
          <w:rFonts w:ascii="Times New Roman" w:hAnsi="Times New Roman"/>
          <w:b/>
          <w:bCs/>
        </w:rPr>
        <w:t xml:space="preserve"> id</w:t>
      </w:r>
      <w:r w:rsidR="009933A3">
        <w:rPr>
          <w:rFonts w:ascii="Times New Roman" w:hAnsi="Times New Roman"/>
          <w:b/>
          <w:bCs/>
        </w:rPr>
        <w:t xml:space="preserve"> </w:t>
      </w:r>
      <w:r w:rsidR="009933A3" w:rsidRPr="009933A3">
        <w:rPr>
          <w:rFonts w:ascii="Times New Roman" w:hAnsi="Times New Roman"/>
        </w:rPr>
        <w:t>(ny stilling)</w:t>
      </w:r>
      <w:r w:rsidRPr="009933A3">
        <w:rPr>
          <w:rFonts w:ascii="Times New Roman" w:hAnsi="Times New Roman"/>
        </w:rPr>
        <w:t>:</w:t>
      </w:r>
    </w:p>
    <w:p w14:paraId="0923E4EE" w14:textId="77777777" w:rsidR="00D674B9" w:rsidRPr="00D674B9" w:rsidRDefault="00D674B9" w:rsidP="00222700">
      <w:pPr>
        <w:pStyle w:val="Tilfelt"/>
        <w:ind w:right="0"/>
        <w:rPr>
          <w:rFonts w:ascii="Times New Roman" w:hAnsi="Times New Roman"/>
          <w:b/>
          <w:bCs/>
        </w:rPr>
      </w:pPr>
    </w:p>
    <w:p w14:paraId="18107BB7" w14:textId="4F64B5A6" w:rsidR="00D674B9" w:rsidRPr="00D674B9" w:rsidRDefault="00D674B9" w:rsidP="00222700">
      <w:pPr>
        <w:pStyle w:val="Tilfelt"/>
        <w:ind w:right="0"/>
        <w:rPr>
          <w:rFonts w:ascii="Times New Roman" w:hAnsi="Times New Roman"/>
          <w:b/>
          <w:bCs/>
        </w:rPr>
      </w:pPr>
      <w:r w:rsidRPr="00D674B9">
        <w:rPr>
          <w:rFonts w:ascii="Times New Roman" w:hAnsi="Times New Roman"/>
          <w:b/>
          <w:bCs/>
        </w:rPr>
        <w:t>Søknadsfrist:</w:t>
      </w:r>
    </w:p>
    <w:p w14:paraId="6DE673FE" w14:textId="77777777" w:rsidR="00222700" w:rsidRDefault="00222700" w:rsidP="00222700">
      <w:pPr>
        <w:pStyle w:val="Tilfelt"/>
        <w:ind w:right="0"/>
        <w:rPr>
          <w:rFonts w:ascii="Times New Roman" w:hAnsi="Times New Roman"/>
        </w:rPr>
      </w:pPr>
    </w:p>
    <w:p w14:paraId="3CFCBD1A" w14:textId="3715DB99" w:rsidR="00222700" w:rsidRDefault="00222700" w:rsidP="00222700">
      <w:pPr>
        <w:pStyle w:val="Tilfelt"/>
        <w:ind w:right="0"/>
        <w:rPr>
          <w:rFonts w:ascii="Times New Roman" w:hAnsi="Times New Roman"/>
        </w:rPr>
      </w:pPr>
      <w:r w:rsidRPr="219587B9">
        <w:rPr>
          <w:rFonts w:ascii="Times New Roman" w:hAnsi="Times New Roman"/>
        </w:rPr>
        <w:t xml:space="preserve">Det skal foretas en sammenligning av nåværende stilling og hver enkelt ledig stilling som </w:t>
      </w:r>
      <w:proofErr w:type="gramStart"/>
      <w:r w:rsidR="00C51E5E" w:rsidRPr="219587B9">
        <w:rPr>
          <w:rFonts w:ascii="Times New Roman" w:hAnsi="Times New Roman"/>
        </w:rPr>
        <w:t>potensielt</w:t>
      </w:r>
      <w:proofErr w:type="gramEnd"/>
      <w:r w:rsidR="00C51E5E" w:rsidRPr="219587B9">
        <w:rPr>
          <w:rFonts w:ascii="Times New Roman" w:hAnsi="Times New Roman"/>
        </w:rPr>
        <w:t xml:space="preserve"> </w:t>
      </w:r>
      <w:r w:rsidRPr="219587B9">
        <w:rPr>
          <w:rFonts w:ascii="Times New Roman" w:hAnsi="Times New Roman"/>
        </w:rPr>
        <w:t>kan være passende (se for øvrig veiledning for nærmere informasjon om hvilke vurderinger som skal legges til grunn for hva som kan være en passende stilling og ikke)</w:t>
      </w:r>
      <w:r w:rsidR="033FD211" w:rsidRPr="219587B9">
        <w:rPr>
          <w:rFonts w:ascii="Times New Roman" w:hAnsi="Times New Roman"/>
        </w:rPr>
        <w:t>.</w:t>
      </w:r>
    </w:p>
    <w:p w14:paraId="50BC3393" w14:textId="77777777" w:rsidR="00222700" w:rsidRDefault="00222700" w:rsidP="00222700">
      <w:pPr>
        <w:pStyle w:val="Tilfelt"/>
        <w:ind w:right="0"/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1"/>
        <w:gridCol w:w="2980"/>
        <w:gridCol w:w="2955"/>
      </w:tblGrid>
      <w:tr w:rsidR="00222700" w:rsidRPr="00222700" w14:paraId="1DF9F501" w14:textId="77777777" w:rsidTr="00212C5F">
        <w:tc>
          <w:tcPr>
            <w:tcW w:w="3273" w:type="dxa"/>
          </w:tcPr>
          <w:p w14:paraId="5B901580" w14:textId="21087117" w:rsidR="00222700" w:rsidRPr="00222700" w:rsidRDefault="00222700" w:rsidP="00212C5F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4195B46E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Gammel stilling</w:t>
            </w:r>
          </w:p>
        </w:tc>
        <w:tc>
          <w:tcPr>
            <w:tcW w:w="3274" w:type="dxa"/>
          </w:tcPr>
          <w:p w14:paraId="2737AD24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Ny stilling</w:t>
            </w:r>
          </w:p>
        </w:tc>
      </w:tr>
      <w:tr w:rsidR="00222700" w:rsidRPr="00222700" w14:paraId="2339589A" w14:textId="77777777" w:rsidTr="00212C5F">
        <w:tc>
          <w:tcPr>
            <w:tcW w:w="3273" w:type="dxa"/>
          </w:tcPr>
          <w:p w14:paraId="1938E050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Stillingskode – og navn</w:t>
            </w:r>
          </w:p>
        </w:tc>
        <w:tc>
          <w:tcPr>
            <w:tcW w:w="3274" w:type="dxa"/>
          </w:tcPr>
          <w:p w14:paraId="36021256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08864CB4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2700" w:rsidRPr="00222700" w14:paraId="391AC994" w14:textId="77777777" w:rsidTr="00212C5F">
        <w:tc>
          <w:tcPr>
            <w:tcW w:w="3273" w:type="dxa"/>
          </w:tcPr>
          <w:p w14:paraId="6A08E329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Lønnsplan nr.</w:t>
            </w:r>
          </w:p>
        </w:tc>
        <w:tc>
          <w:tcPr>
            <w:tcW w:w="3274" w:type="dxa"/>
          </w:tcPr>
          <w:p w14:paraId="71FF8637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72CCE284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2700" w:rsidRPr="00222700" w14:paraId="2E7D6887" w14:textId="77777777" w:rsidTr="00212C5F">
        <w:tc>
          <w:tcPr>
            <w:tcW w:w="3273" w:type="dxa"/>
          </w:tcPr>
          <w:p w14:paraId="53B414B2" w14:textId="5718AB4F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Årslønn/lønnstrinn</w:t>
            </w:r>
          </w:p>
        </w:tc>
        <w:tc>
          <w:tcPr>
            <w:tcW w:w="3274" w:type="dxa"/>
          </w:tcPr>
          <w:p w14:paraId="3E8ADA03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6FDA8DC3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2700" w:rsidRPr="00222700" w14:paraId="12B5FED2" w14:textId="77777777" w:rsidTr="00212C5F">
        <w:trPr>
          <w:trHeight w:val="4960"/>
        </w:trPr>
        <w:tc>
          <w:tcPr>
            <w:tcW w:w="3273" w:type="dxa"/>
          </w:tcPr>
          <w:p w14:paraId="1C1FD218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Stillingsinnhold</w:t>
            </w:r>
          </w:p>
        </w:tc>
        <w:tc>
          <w:tcPr>
            <w:tcW w:w="3274" w:type="dxa"/>
          </w:tcPr>
          <w:p w14:paraId="0BCBAE66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1FEE4411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2700" w:rsidRPr="00222700" w14:paraId="67EB84C2" w14:textId="77777777" w:rsidTr="00C91F57">
        <w:trPr>
          <w:trHeight w:val="1985"/>
        </w:trPr>
        <w:tc>
          <w:tcPr>
            <w:tcW w:w="3273" w:type="dxa"/>
          </w:tcPr>
          <w:p w14:paraId="653CC218" w14:textId="77777777" w:rsidR="00F05D12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Geografisk</w:t>
            </w:r>
            <w:r w:rsidR="00F05D1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plassering </w:t>
            </w:r>
          </w:p>
          <w:p w14:paraId="6AFD6C11" w14:textId="0DDE6D51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Trondheim,Gjøvik</w:t>
            </w:r>
            <w:proofErr w:type="spellEnd"/>
            <w:r w:rsidRPr="002227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 Ålesund)</w:t>
            </w:r>
          </w:p>
        </w:tc>
        <w:tc>
          <w:tcPr>
            <w:tcW w:w="3274" w:type="dxa"/>
          </w:tcPr>
          <w:p w14:paraId="1727C7B5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14:paraId="6C252439" w14:textId="77777777" w:rsidR="00222700" w:rsidRPr="00222700" w:rsidRDefault="00222700" w:rsidP="00212C5F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4502D81F" w14:textId="77777777" w:rsidR="00590CFF" w:rsidRPr="00222700" w:rsidRDefault="00590CFF" w:rsidP="00222700">
      <w:pPr>
        <w:rPr>
          <w:szCs w:val="24"/>
        </w:rPr>
      </w:pPr>
    </w:p>
    <w:p w14:paraId="33DE01D4" w14:textId="77777777" w:rsidR="00C91F57" w:rsidRDefault="00C91F57">
      <w:pPr>
        <w:spacing w:after="0"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668DE67" w14:textId="111D80AC" w:rsidR="00590CFF" w:rsidRDefault="00590CFF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90CFF">
        <w:rPr>
          <w:rFonts w:ascii="Times New Roman" w:hAnsi="Times New Roman"/>
          <w:b/>
          <w:bCs/>
        </w:rPr>
        <w:lastRenderedPageBreak/>
        <w:t>Kvalifikasjonskrav:</w:t>
      </w:r>
    </w:p>
    <w:p w14:paraId="605D8CA7" w14:textId="77777777" w:rsidR="00590CFF" w:rsidRPr="00590CFF" w:rsidRDefault="00590CFF">
      <w:pPr>
        <w:spacing w:after="0" w:line="240" w:lineRule="auto"/>
        <w:jc w:val="left"/>
        <w:rPr>
          <w:rFonts w:ascii="Times New Roman" w:hAnsi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4"/>
        <w:gridCol w:w="5982"/>
      </w:tblGrid>
      <w:tr w:rsidR="00590CFF" w14:paraId="22268B7B" w14:textId="77777777" w:rsidTr="00F25CEC">
        <w:tc>
          <w:tcPr>
            <w:tcW w:w="3273" w:type="dxa"/>
          </w:tcPr>
          <w:p w14:paraId="3029104D" w14:textId="485E506B" w:rsidR="00590CFF" w:rsidRPr="005B241E" w:rsidRDefault="00590CFF" w:rsidP="00F25CEC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8" w:type="dxa"/>
          </w:tcPr>
          <w:p w14:paraId="32632F9E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41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Ny stilling</w:t>
            </w:r>
          </w:p>
        </w:tc>
      </w:tr>
      <w:tr w:rsidR="00590CFF" w:rsidRPr="00666B20" w14:paraId="65A2C9C6" w14:textId="77777777" w:rsidTr="00F25CEC">
        <w:tc>
          <w:tcPr>
            <w:tcW w:w="3273" w:type="dxa"/>
          </w:tcPr>
          <w:p w14:paraId="3BC1A14F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4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Krav til faglige og personlige egenskaper</w:t>
            </w:r>
          </w:p>
          <w:p w14:paraId="0E563350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BFB2ED9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E4109CF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8" w:type="dxa"/>
          </w:tcPr>
          <w:p w14:paraId="70220EE8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90CFF" w:rsidRPr="00666B20" w14:paraId="0597BBEA" w14:textId="77777777" w:rsidTr="00F25CEC">
        <w:tc>
          <w:tcPr>
            <w:tcW w:w="3273" w:type="dxa"/>
          </w:tcPr>
          <w:p w14:paraId="3123958F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4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Beskriv et eventuelt behov for opplæring</w:t>
            </w:r>
          </w:p>
          <w:p w14:paraId="3D2D669E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1C682CF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794F6A6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8" w:type="dxa"/>
          </w:tcPr>
          <w:p w14:paraId="78C701A9" w14:textId="77777777" w:rsidR="00590CFF" w:rsidRPr="005B241E" w:rsidRDefault="00590CFF" w:rsidP="00F25CEC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910BBE1" w14:textId="77777777" w:rsidR="00590CFF" w:rsidRDefault="00590CFF" w:rsidP="00590CFF">
      <w:pPr>
        <w:pStyle w:val="Tilfelt"/>
        <w:ind w:left="0" w:right="0"/>
        <w:rPr>
          <w:rFonts w:ascii="Times New Roman" w:hAnsi="Times New Roman"/>
        </w:rPr>
      </w:pPr>
    </w:p>
    <w:p w14:paraId="078A1914" w14:textId="42792B0F" w:rsidR="00F05D12" w:rsidRDefault="00F05D12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14:paraId="14FF4BAE" w14:textId="072DC564" w:rsidR="000F029F" w:rsidRDefault="000F029F" w:rsidP="000F029F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Enhetens vurdering/sammenligning av nåværende og ledig stilling</w:t>
      </w:r>
      <w:r w:rsidR="00C51E5E">
        <w:rPr>
          <w:rFonts w:ascii="Times New Roman" w:hAnsi="Times New Roman"/>
          <w:b/>
          <w:bCs/>
        </w:rPr>
        <w:t xml:space="preserve"> (og konklusjon)</w:t>
      </w:r>
      <w:r>
        <w:rPr>
          <w:rFonts w:ascii="Times New Roman" w:hAnsi="Times New Roman"/>
          <w:b/>
          <w:bCs/>
        </w:rPr>
        <w:t>.:</w:t>
      </w:r>
    </w:p>
    <w:p w14:paraId="1786034E" w14:textId="1F6C87DB" w:rsidR="004F7DDB" w:rsidRPr="00C51E5E" w:rsidRDefault="004F7DDB" w:rsidP="219587B9">
      <w:pPr>
        <w:rPr>
          <w:rFonts w:ascii="Times New Roman" w:hAnsi="Times New Roman" w:cs="Times New Roman"/>
          <w:sz w:val="22"/>
        </w:rPr>
      </w:pPr>
      <w:r w:rsidRPr="219587B9">
        <w:rPr>
          <w:rFonts w:ascii="Times New Roman" w:hAnsi="Times New Roman" w:cs="Times New Roman"/>
          <w:sz w:val="22"/>
        </w:rPr>
        <w:t>Dersom stillingen ikke anses å være annen passende må dette begrunnes i et eller flere av forholdene under. Det må vises konkret til grunnlaget for at stillingen anses å falle inn under ett/flere av forholdene:</w:t>
      </w:r>
    </w:p>
    <w:p w14:paraId="0B398DFF" w14:textId="77777777" w:rsidR="004F7DDB" w:rsidRPr="00C51E5E" w:rsidRDefault="004F7DDB" w:rsidP="004F7DDB">
      <w:pPr>
        <w:rPr>
          <w:rFonts w:ascii="Times New Roman" w:hAnsi="Times New Roman" w:cs="Times New Roman"/>
          <w:sz w:val="22"/>
        </w:rPr>
      </w:pPr>
      <w:r w:rsidRPr="00C51E5E">
        <w:rPr>
          <w:rFonts w:ascii="Times New Roman" w:hAnsi="Times New Roman" w:cs="Times New Roman"/>
          <w:sz w:val="22"/>
        </w:rPr>
        <w:tab/>
        <w:t>a) stillingen er vurdert å være høyere rangert</w:t>
      </w:r>
    </w:p>
    <w:p w14:paraId="3A092E21" w14:textId="77777777" w:rsidR="004F7DDB" w:rsidRPr="00C51E5E" w:rsidRDefault="004F7DDB" w:rsidP="004F7DDB">
      <w:pPr>
        <w:ind w:firstLine="708"/>
        <w:rPr>
          <w:rFonts w:ascii="Times New Roman" w:hAnsi="Times New Roman" w:cs="Times New Roman"/>
          <w:sz w:val="22"/>
        </w:rPr>
      </w:pPr>
      <w:r w:rsidRPr="00C51E5E">
        <w:rPr>
          <w:rFonts w:ascii="Times New Roman" w:hAnsi="Times New Roman" w:cs="Times New Roman"/>
          <w:sz w:val="22"/>
        </w:rPr>
        <w:t>b) stillingen anses å være lavere rangert</w:t>
      </w:r>
    </w:p>
    <w:p w14:paraId="0D3B6E33" w14:textId="77777777" w:rsidR="004F7DDB" w:rsidRPr="00C51E5E" w:rsidRDefault="004F7DDB" w:rsidP="004F7DDB">
      <w:pPr>
        <w:ind w:firstLine="708"/>
        <w:rPr>
          <w:rFonts w:ascii="Times New Roman" w:hAnsi="Times New Roman" w:cs="Times New Roman"/>
          <w:sz w:val="22"/>
        </w:rPr>
      </w:pPr>
      <w:r w:rsidRPr="00C51E5E">
        <w:rPr>
          <w:rFonts w:ascii="Times New Roman" w:hAnsi="Times New Roman" w:cs="Times New Roman"/>
          <w:sz w:val="22"/>
        </w:rPr>
        <w:t>c) stillingen</w:t>
      </w:r>
      <w:r>
        <w:rPr>
          <w:rFonts w:ascii="Times New Roman" w:hAnsi="Times New Roman" w:cs="Times New Roman"/>
          <w:sz w:val="22"/>
        </w:rPr>
        <w:t>s innhold</w:t>
      </w:r>
      <w:r w:rsidRPr="00C51E5E">
        <w:rPr>
          <w:rFonts w:ascii="Times New Roman" w:hAnsi="Times New Roman" w:cs="Times New Roman"/>
          <w:sz w:val="22"/>
        </w:rPr>
        <w:t xml:space="preserve"> er vurdert å atskille seg vesentlig fra nåværende stilling</w:t>
      </w:r>
    </w:p>
    <w:p w14:paraId="0E4210AA" w14:textId="3BFF5592" w:rsidR="004F7DDB" w:rsidRPr="004F7DDB" w:rsidRDefault="004F7DDB" w:rsidP="00CD39C6">
      <w:pPr>
        <w:pStyle w:val="Tilfelt"/>
        <w:ind w:left="708" w:right="0"/>
        <w:rPr>
          <w:rFonts w:ascii="Times New Roman" w:hAnsi="Times New Roman"/>
        </w:rPr>
      </w:pPr>
      <w:r w:rsidRPr="00C51E5E">
        <w:rPr>
          <w:rFonts w:ascii="Times New Roman" w:hAnsi="Times New Roman"/>
          <w:sz w:val="22"/>
        </w:rPr>
        <w:t>d) den ansatte fyller</w:t>
      </w:r>
      <w:r>
        <w:rPr>
          <w:rFonts w:ascii="Times New Roman" w:hAnsi="Times New Roman"/>
          <w:sz w:val="22"/>
        </w:rPr>
        <w:t xml:space="preserve"> ikke</w:t>
      </w:r>
      <w:r w:rsidRPr="00C51E5E">
        <w:rPr>
          <w:rFonts w:ascii="Times New Roman" w:hAnsi="Times New Roman"/>
          <w:sz w:val="22"/>
        </w:rPr>
        <w:t xml:space="preserve"> kvalifikasjonskravene</w:t>
      </w:r>
      <w:r>
        <w:rPr>
          <w:rFonts w:ascii="Times New Roman" w:hAnsi="Times New Roman"/>
          <w:sz w:val="22"/>
        </w:rPr>
        <w:t xml:space="preserve"> (inkl. hvilke</w:t>
      </w:r>
      <w:r w:rsidRPr="00C51E5E">
        <w:rPr>
          <w:rFonts w:ascii="Times New Roman" w:hAnsi="Times New Roman"/>
          <w:sz w:val="22"/>
        </w:rPr>
        <w:t xml:space="preserve"> kvalifikasjonskrav</w:t>
      </w:r>
      <w:r>
        <w:rPr>
          <w:rFonts w:ascii="Times New Roman" w:hAnsi="Times New Roman"/>
          <w:sz w:val="22"/>
        </w:rPr>
        <w:t xml:space="preserve"> som</w:t>
      </w:r>
      <w:r w:rsidRPr="00C51E5E">
        <w:rPr>
          <w:rFonts w:ascii="Times New Roman" w:hAnsi="Times New Roman"/>
          <w:sz w:val="22"/>
        </w:rPr>
        <w:t xml:space="preserve"> ikke</w:t>
      </w:r>
      <w:r>
        <w:rPr>
          <w:rFonts w:ascii="Times New Roman" w:hAnsi="Times New Roman"/>
          <w:sz w:val="22"/>
        </w:rPr>
        <w:t xml:space="preserve"> er</w:t>
      </w:r>
      <w:r w:rsidRPr="00C51E5E">
        <w:rPr>
          <w:rFonts w:ascii="Times New Roman" w:hAnsi="Times New Roman"/>
          <w:sz w:val="22"/>
        </w:rPr>
        <w:t xml:space="preserve"> oppfylt</w:t>
      </w:r>
      <w:r>
        <w:rPr>
          <w:rFonts w:ascii="Times New Roman" w:hAnsi="Times New Roman"/>
          <w:sz w:val="22"/>
        </w:rPr>
        <w:t>, og hvilken</w:t>
      </w:r>
      <w:r w:rsidRPr="00C51E5E">
        <w:rPr>
          <w:rFonts w:ascii="Times New Roman" w:hAnsi="Times New Roman"/>
          <w:sz w:val="22"/>
        </w:rPr>
        <w:t xml:space="preserve"> opplæring</w:t>
      </w:r>
      <w:r>
        <w:rPr>
          <w:rFonts w:ascii="Times New Roman" w:hAnsi="Times New Roman"/>
          <w:sz w:val="22"/>
        </w:rPr>
        <w:t xml:space="preserve"> som kreves</w:t>
      </w:r>
      <w:r w:rsidRPr="00C51E5E">
        <w:rPr>
          <w:rFonts w:ascii="Times New Roman" w:hAnsi="Times New Roman"/>
          <w:sz w:val="22"/>
        </w:rPr>
        <w:t xml:space="preserve"> for å fylle kravene</w:t>
      </w:r>
      <w:r>
        <w:rPr>
          <w:rFonts w:ascii="Times New Roman" w:hAnsi="Times New Roman"/>
          <w:sz w:val="22"/>
        </w:rPr>
        <w:t>. Her må</w:t>
      </w:r>
      <w:r w:rsidRPr="00C51E5E">
        <w:rPr>
          <w:rFonts w:ascii="Times New Roman" w:hAnsi="Times New Roman"/>
          <w:sz w:val="22"/>
        </w:rPr>
        <w:t xml:space="preserve"> omfang og </w:t>
      </w:r>
      <w:r>
        <w:rPr>
          <w:rFonts w:ascii="Times New Roman" w:hAnsi="Times New Roman"/>
          <w:sz w:val="22"/>
        </w:rPr>
        <w:t xml:space="preserve">antatt </w:t>
      </w:r>
      <w:r w:rsidRPr="00C51E5E">
        <w:rPr>
          <w:rFonts w:ascii="Times New Roman" w:hAnsi="Times New Roman"/>
          <w:sz w:val="22"/>
        </w:rPr>
        <w:t>varighet</w:t>
      </w:r>
      <w:r>
        <w:rPr>
          <w:rFonts w:ascii="Times New Roman" w:hAnsi="Times New Roman"/>
          <w:sz w:val="22"/>
        </w:rPr>
        <w:t xml:space="preserve"> også inkluderes.)</w:t>
      </w:r>
    </w:p>
    <w:p w14:paraId="349C3F2B" w14:textId="77777777" w:rsidR="00053A56" w:rsidRDefault="00053A56" w:rsidP="000F029F">
      <w:pPr>
        <w:pStyle w:val="Tilfelt"/>
        <w:ind w:left="0" w:right="0"/>
        <w:rPr>
          <w:rFonts w:ascii="Times New Roman" w:hAnsi="Times New Roman"/>
          <w:b/>
          <w:bCs/>
        </w:rPr>
      </w:pP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C51E5E" w14:paraId="5B2D609E" w14:textId="77777777" w:rsidTr="00582E46">
        <w:trPr>
          <w:trHeight w:val="5072"/>
        </w:trPr>
        <w:tc>
          <w:tcPr>
            <w:tcW w:w="9099" w:type="dxa"/>
          </w:tcPr>
          <w:p w14:paraId="26C7D46F" w14:textId="213810CB" w:rsidR="00C51E5E" w:rsidRDefault="00C51E5E" w:rsidP="00C51E5E">
            <w:pPr>
              <w:pStyle w:val="Tilfelt"/>
              <w:ind w:left="0" w:right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C67D38F" w14:textId="77777777" w:rsidR="00C51E5E" w:rsidRDefault="00C51E5E" w:rsidP="000F029F">
      <w:pPr>
        <w:rPr>
          <w:rFonts w:ascii="Times New Roman" w:hAnsi="Times New Roman" w:cs="Times New Roman"/>
        </w:rPr>
      </w:pPr>
    </w:p>
    <w:p w14:paraId="221E2C8C" w14:textId="3E70FF01" w:rsidR="00A76B58" w:rsidRPr="00EF1432" w:rsidRDefault="00A76B58" w:rsidP="00EF1432">
      <w:pPr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color w:val="333333"/>
          <w:shd w:val="clear" w:color="auto" w:fill="FFFFFF"/>
          <w:lang w:eastAsia="nb-NO"/>
        </w:rPr>
        <w:t xml:space="preserve"> </w:t>
      </w:r>
    </w:p>
    <w:sectPr w:rsidR="00A76B58" w:rsidRPr="00EF1432" w:rsidSect="002E3A5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F688" w14:textId="77777777" w:rsidR="009A6589" w:rsidRDefault="009A6589" w:rsidP="00DC21A8">
      <w:pPr>
        <w:spacing w:after="0" w:line="240" w:lineRule="auto"/>
      </w:pPr>
      <w:r>
        <w:separator/>
      </w:r>
    </w:p>
  </w:endnote>
  <w:endnote w:type="continuationSeparator" w:id="0">
    <w:p w14:paraId="31FE996D" w14:textId="77777777" w:rsidR="009A6589" w:rsidRDefault="009A6589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7045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BDF54" wp14:editId="63137334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78BB23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491E" w14:textId="77777777" w:rsidR="009A6589" w:rsidRDefault="009A6589" w:rsidP="00DC21A8">
      <w:pPr>
        <w:spacing w:after="0" w:line="240" w:lineRule="auto"/>
      </w:pPr>
      <w:r>
        <w:separator/>
      </w:r>
    </w:p>
  </w:footnote>
  <w:footnote w:type="continuationSeparator" w:id="0">
    <w:p w14:paraId="5FBE379B" w14:textId="77777777" w:rsidR="009A6589" w:rsidRDefault="009A6589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BC9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6C0747E" wp14:editId="6041DD8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9C5"/>
    <w:multiLevelType w:val="multilevel"/>
    <w:tmpl w:val="4B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772E6"/>
    <w:multiLevelType w:val="multilevel"/>
    <w:tmpl w:val="661EF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5D72C3"/>
    <w:multiLevelType w:val="multilevel"/>
    <w:tmpl w:val="6292E356"/>
    <w:lvl w:ilvl="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5" w:hanging="2160"/>
      </w:pPr>
      <w:rPr>
        <w:rFonts w:hint="default"/>
      </w:rPr>
    </w:lvl>
  </w:abstractNum>
  <w:abstractNum w:abstractNumId="3" w15:restartNumberingAfterBreak="0">
    <w:nsid w:val="4E665460"/>
    <w:multiLevelType w:val="hybridMultilevel"/>
    <w:tmpl w:val="30769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5672"/>
    <w:multiLevelType w:val="hybridMultilevel"/>
    <w:tmpl w:val="2B16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865"/>
    <w:multiLevelType w:val="hybridMultilevel"/>
    <w:tmpl w:val="07280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1267C"/>
    <w:multiLevelType w:val="multilevel"/>
    <w:tmpl w:val="55C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364FA"/>
    <w:multiLevelType w:val="hybridMultilevel"/>
    <w:tmpl w:val="1CD21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689D"/>
    <w:multiLevelType w:val="hybridMultilevel"/>
    <w:tmpl w:val="15BAC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27721"/>
    <w:multiLevelType w:val="hybridMultilevel"/>
    <w:tmpl w:val="95FEABE0"/>
    <w:lvl w:ilvl="0" w:tplc="96640BF8">
      <w:start w:val="4"/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0" w15:restartNumberingAfterBreak="0">
    <w:nsid w:val="6CAE1020"/>
    <w:multiLevelType w:val="multilevel"/>
    <w:tmpl w:val="92FEA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 w15:restartNumberingAfterBreak="0">
    <w:nsid w:val="71173E47"/>
    <w:multiLevelType w:val="multilevel"/>
    <w:tmpl w:val="CF2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422586">
    <w:abstractNumId w:val="2"/>
  </w:num>
  <w:num w:numId="2" w16cid:durableId="939294577">
    <w:abstractNumId w:val="3"/>
  </w:num>
  <w:num w:numId="3" w16cid:durableId="1647007711">
    <w:abstractNumId w:val="4"/>
  </w:num>
  <w:num w:numId="4" w16cid:durableId="1120032003">
    <w:abstractNumId w:val="9"/>
  </w:num>
  <w:num w:numId="5" w16cid:durableId="203564346">
    <w:abstractNumId w:val="10"/>
  </w:num>
  <w:num w:numId="6" w16cid:durableId="1455783471">
    <w:abstractNumId w:val="1"/>
  </w:num>
  <w:num w:numId="7" w16cid:durableId="1286961005">
    <w:abstractNumId w:val="6"/>
  </w:num>
  <w:num w:numId="8" w16cid:durableId="1823544073">
    <w:abstractNumId w:val="11"/>
  </w:num>
  <w:num w:numId="9" w16cid:durableId="2030839330">
    <w:abstractNumId w:val="0"/>
  </w:num>
  <w:num w:numId="10" w16cid:durableId="1024289567">
    <w:abstractNumId w:val="7"/>
  </w:num>
  <w:num w:numId="11" w16cid:durableId="1586721232">
    <w:abstractNumId w:val="5"/>
  </w:num>
  <w:num w:numId="12" w16cid:durableId="386729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3C"/>
    <w:rsid w:val="0001338D"/>
    <w:rsid w:val="00026E6F"/>
    <w:rsid w:val="00041F56"/>
    <w:rsid w:val="00051909"/>
    <w:rsid w:val="00053A56"/>
    <w:rsid w:val="000A0FBC"/>
    <w:rsid w:val="000C6F16"/>
    <w:rsid w:val="000E3B87"/>
    <w:rsid w:val="000F029F"/>
    <w:rsid w:val="000F055E"/>
    <w:rsid w:val="00133DED"/>
    <w:rsid w:val="001534E6"/>
    <w:rsid w:val="00197693"/>
    <w:rsid w:val="00222700"/>
    <w:rsid w:val="002E3A5F"/>
    <w:rsid w:val="00311720"/>
    <w:rsid w:val="00350763"/>
    <w:rsid w:val="00354FA3"/>
    <w:rsid w:val="003713C2"/>
    <w:rsid w:val="003756E8"/>
    <w:rsid w:val="00383712"/>
    <w:rsid w:val="003E26CE"/>
    <w:rsid w:val="004E5753"/>
    <w:rsid w:val="004F64D6"/>
    <w:rsid w:val="004F7DDB"/>
    <w:rsid w:val="00524022"/>
    <w:rsid w:val="00582E46"/>
    <w:rsid w:val="00590B87"/>
    <w:rsid w:val="00590CFF"/>
    <w:rsid w:val="005B241E"/>
    <w:rsid w:val="005F3583"/>
    <w:rsid w:val="00671674"/>
    <w:rsid w:val="006E180C"/>
    <w:rsid w:val="00705A15"/>
    <w:rsid w:val="00737F5D"/>
    <w:rsid w:val="00742492"/>
    <w:rsid w:val="007448A6"/>
    <w:rsid w:val="007633C2"/>
    <w:rsid w:val="00830136"/>
    <w:rsid w:val="00830B64"/>
    <w:rsid w:val="00892D99"/>
    <w:rsid w:val="00896D2E"/>
    <w:rsid w:val="008F3FB9"/>
    <w:rsid w:val="00901BE6"/>
    <w:rsid w:val="00935AB9"/>
    <w:rsid w:val="009447B8"/>
    <w:rsid w:val="009933A3"/>
    <w:rsid w:val="009A6589"/>
    <w:rsid w:val="009C0727"/>
    <w:rsid w:val="00A76B58"/>
    <w:rsid w:val="00A902DA"/>
    <w:rsid w:val="00AA1967"/>
    <w:rsid w:val="00B36BB2"/>
    <w:rsid w:val="00B56D05"/>
    <w:rsid w:val="00C36878"/>
    <w:rsid w:val="00C50A37"/>
    <w:rsid w:val="00C51E5E"/>
    <w:rsid w:val="00C80A7C"/>
    <w:rsid w:val="00C91F57"/>
    <w:rsid w:val="00CD39C6"/>
    <w:rsid w:val="00CD3A6D"/>
    <w:rsid w:val="00D5260A"/>
    <w:rsid w:val="00D674B9"/>
    <w:rsid w:val="00D76C26"/>
    <w:rsid w:val="00DC21A8"/>
    <w:rsid w:val="00E17D8A"/>
    <w:rsid w:val="00E30D3C"/>
    <w:rsid w:val="00E93A98"/>
    <w:rsid w:val="00E95F26"/>
    <w:rsid w:val="00EA143B"/>
    <w:rsid w:val="00EC2DC2"/>
    <w:rsid w:val="00EF1432"/>
    <w:rsid w:val="00F0269B"/>
    <w:rsid w:val="00F05D12"/>
    <w:rsid w:val="00F457C4"/>
    <w:rsid w:val="00F62DB7"/>
    <w:rsid w:val="00F77C01"/>
    <w:rsid w:val="00FF34D0"/>
    <w:rsid w:val="033FD211"/>
    <w:rsid w:val="11FA60A9"/>
    <w:rsid w:val="21958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7A8A"/>
  <w15:chartTrackingRefBased/>
  <w15:docId w15:val="{64648608-C6F3-490E-9826-570FD64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customStyle="1" w:styleId="Tilfelt">
    <w:name w:val="Tilfelt"/>
    <w:basedOn w:val="Normal"/>
    <w:rsid w:val="00B36BB2"/>
    <w:pPr>
      <w:spacing w:after="20" w:line="240" w:lineRule="auto"/>
      <w:ind w:left="85" w:right="85"/>
      <w:jc w:val="left"/>
    </w:pPr>
    <w:rPr>
      <w:rFonts w:ascii="Arial" w:eastAsia="Times New Roman" w:hAnsi="Arial" w:cs="Times New Roman"/>
      <w:szCs w:val="24"/>
    </w:rPr>
  </w:style>
  <w:style w:type="table" w:styleId="Tabellrutenett">
    <w:name w:val="Table Grid"/>
    <w:basedOn w:val="Vanligtabell"/>
    <w:rsid w:val="00B36BB2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BB2"/>
    <w:pPr>
      <w:spacing w:after="60" w:line="240" w:lineRule="auto"/>
      <w:ind w:left="720" w:right="85"/>
      <w:contextualSpacing/>
      <w:jc w:val="left"/>
    </w:pPr>
    <w:rPr>
      <w:rFonts w:ascii="Arial" w:eastAsia="Times New Roman" w:hAnsi="Arial" w:cs="Times New Roman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6BB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6BB2"/>
    <w:rPr>
      <w:rFonts w:ascii="Garamond" w:hAnsi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36BB2"/>
    <w:rPr>
      <w:vertAlign w:val="superscript"/>
    </w:rPr>
  </w:style>
  <w:style w:type="character" w:customStyle="1" w:styleId="normaltextrun">
    <w:name w:val="normaltextrun"/>
    <w:basedOn w:val="Standardskriftforavsnitt"/>
    <w:rsid w:val="00B36BB2"/>
  </w:style>
  <w:style w:type="paragraph" w:styleId="Revisjon">
    <w:name w:val="Revision"/>
    <w:hidden/>
    <w:uiPriority w:val="99"/>
    <w:semiHidden/>
    <w:rsid w:val="004E5753"/>
    <w:rPr>
      <w:rFonts w:ascii="Garamond" w:hAnsi="Garamond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57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E57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E5753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57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5753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549D1262B7642B89AF1C1E82D7537" ma:contentTypeVersion="5" ma:contentTypeDescription="Create a new document." ma:contentTypeScope="" ma:versionID="c24951c2c8f36046120c89be3a399309">
  <xsd:schema xmlns:xsd="http://www.w3.org/2001/XMLSchema" xmlns:xs="http://www.w3.org/2001/XMLSchema" xmlns:p="http://schemas.microsoft.com/office/2006/metadata/properties" xmlns:ns2="2e3b9ec5-4609-4add-962f-2979c7143091" xmlns:ns3="cb6f59ec-3306-4146-a64d-f4e845eb632d" targetNamespace="http://schemas.microsoft.com/office/2006/metadata/properties" ma:root="true" ma:fieldsID="6c7c3dcdc719168f69f49c85aad7e609" ns2:_="" ns3:_="">
    <xsd:import namespace="2e3b9ec5-4609-4add-962f-2979c7143091"/>
    <xsd:import namespace="cb6f59ec-3306-4146-a64d-f4e845eb6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9ec5-4609-4add-962f-2979c714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9ec-3306-4146-a64d-f4e845eb6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EBA2F-7495-4205-AC42-E3E601A51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9ec5-4609-4add-962f-2979c7143091"/>
    <ds:schemaRef ds:uri="cb6f59ec-3306-4146-a64d-f4e845eb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57A80-A66D-4D1F-B2F6-0CA3247542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3b9ec5-4609-4add-962f-2979c7143091"/>
    <ds:schemaRef ds:uri="http://purl.org/dc/terms/"/>
    <ds:schemaRef ds:uri="http://schemas.openxmlformats.org/package/2006/metadata/core-properties"/>
    <ds:schemaRef ds:uri="cb6f59ec-3306-4146-a64d-f4e845eb63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4478D7-9D53-4DA6-B9FC-200C362FE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213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Gulbrand Larsen</dc:creator>
  <cp:keywords/>
  <dc:description/>
  <cp:lastModifiedBy>Gry Eva Sinkaberg Alterskjær</cp:lastModifiedBy>
  <cp:revision>2</cp:revision>
  <dcterms:created xsi:type="dcterms:W3CDTF">2023-12-20T12:43:00Z</dcterms:created>
  <dcterms:modified xsi:type="dcterms:W3CDTF">2023-12-20T12:43:00Z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0x010100B2C549D1262B7642B89AF1C1E82D7537</vt:lpwstr>
  </property>
</Properties>
</file>