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B3C" w:rsidRDefault="00DE0B3C" w:rsidP="003F0BF9">
      <w:pPr>
        <w:pStyle w:val="Overskrift1"/>
      </w:pPr>
      <w:bookmarkStart w:id="0" w:name="_GoBack"/>
      <w:bookmarkEnd w:id="0"/>
      <w:r>
        <w:t>Vedlegg 2</w:t>
      </w:r>
    </w:p>
    <w:p w:rsidR="00BB5098" w:rsidRDefault="003F0BF9" w:rsidP="003F0BF9">
      <w:pPr>
        <w:pStyle w:val="Overskrift1"/>
      </w:pPr>
      <w:r>
        <w:t>F</w:t>
      </w:r>
      <w:r w:rsidRPr="003F0BF9">
        <w:t>orskrift om ansettelse på innstegsvilkår</w:t>
      </w:r>
    </w:p>
    <w:p w:rsidR="001C76E4" w:rsidRPr="001C76E4" w:rsidRDefault="001C76E4" w:rsidP="003F0BF9">
      <w:pPr>
        <w:rPr>
          <w:i/>
        </w:rPr>
      </w:pPr>
      <w:r>
        <w:rPr>
          <w:i/>
        </w:rPr>
        <w:t>Fastsatt av Kunnskiapsdepartementet 24. mars 2015 med hjemmel i lov om universiteter og høyskoler §6-4 første avsnitt punkt k.</w:t>
      </w:r>
    </w:p>
    <w:p w:rsidR="001C76E4" w:rsidRPr="003F0BF9" w:rsidRDefault="001C76E4" w:rsidP="003F0BF9"/>
    <w:p w:rsidR="003F0BF9" w:rsidRPr="003F0BF9" w:rsidRDefault="003F0BF9" w:rsidP="003F0BF9">
      <w:r w:rsidRPr="003F0BF9">
        <w:t xml:space="preserve"> § </w:t>
      </w:r>
      <w:r w:rsidRPr="003F0BF9">
        <w:rPr>
          <w:i/>
          <w:iCs/>
        </w:rPr>
        <w:t xml:space="preserve">1 Formål </w:t>
      </w:r>
    </w:p>
    <w:p w:rsidR="003F0BF9" w:rsidRDefault="003F0BF9" w:rsidP="003F0BF9">
      <w:r w:rsidRPr="003F0BF9">
        <w:t>Ansettelse på innstegsvilkår har som formål å legge til re</w:t>
      </w:r>
      <w:r w:rsidR="000A6A0D">
        <w:t>tte for rekrutteringen av</w:t>
      </w:r>
      <w:r w:rsidRPr="003F0BF9">
        <w:t xml:space="preserve"> talentfullt faglig personale ved universiteter og høyskoler</w:t>
      </w:r>
      <w:r w:rsidR="000A6A0D">
        <w:t>.</w:t>
      </w:r>
      <w:r w:rsidRPr="003F0BF9">
        <w:t xml:space="preserve"> Ordningen skal bidra til å styrke institusjonenes muligheter til å konkurrere om de beste kandidatene internasjonalt, og forplikte institusjonene til å medvirke i videreutviklingen av den ansattes kompetanse både innen undervisning, forskning og formidling/innovasjon. Den som ansettes skal gis forutsigbarhet i arbeidet med å kvalifisere seg for fast ansettelse i undervisnings- og forskerstilling gjennom et langvarig ansettelsesforhold, og oppfølging og ressurstilførsel fra institusjonen. </w:t>
      </w:r>
    </w:p>
    <w:p w:rsidR="003F0BF9" w:rsidRPr="003F0BF9" w:rsidRDefault="003F0BF9" w:rsidP="003F0BF9"/>
    <w:p w:rsidR="003F0BF9" w:rsidRPr="003F0BF9" w:rsidRDefault="003F0BF9" w:rsidP="003F0BF9">
      <w:r w:rsidRPr="003F0BF9">
        <w:t xml:space="preserve">§ </w:t>
      </w:r>
      <w:r w:rsidRPr="003F0BF9">
        <w:rPr>
          <w:i/>
          <w:iCs/>
        </w:rPr>
        <w:t xml:space="preserve">2 Ansettelsesordninger </w:t>
      </w:r>
    </w:p>
    <w:p w:rsidR="004A5754" w:rsidRPr="001C76E4" w:rsidRDefault="003F0BF9" w:rsidP="004A5754">
      <w:r w:rsidRPr="003F0BF9">
        <w:t>En forutsetning for å kunne ansette på innstegsvilkår er at det</w:t>
      </w:r>
      <w:r w:rsidR="004538D7">
        <w:t xml:space="preserve"> </w:t>
      </w:r>
      <w:r w:rsidR="004538D7" w:rsidRPr="001C76E4">
        <w:t>normalt</w:t>
      </w:r>
      <w:r w:rsidR="004538D7">
        <w:rPr>
          <w:b/>
        </w:rPr>
        <w:t xml:space="preserve"> </w:t>
      </w:r>
      <w:r w:rsidRPr="003F0BF9">
        <w:t xml:space="preserve">ikke har gått mer enn 5 år siden den som ansettes disputerte for doktorgraden. </w:t>
      </w:r>
      <w:r w:rsidR="004A5754" w:rsidRPr="001C76E4">
        <w:t xml:space="preserve">Det kan gis tillegg i tid for permisjon knyttet til fødsel eller adopsjon. </w:t>
      </w:r>
    </w:p>
    <w:p w:rsidR="003F0BF9" w:rsidRDefault="003F0BF9" w:rsidP="003F0BF9"/>
    <w:p w:rsidR="00BD7582" w:rsidRPr="003F0BF9" w:rsidRDefault="00BD7582" w:rsidP="003F0BF9"/>
    <w:p w:rsidR="003F0BF9" w:rsidRPr="003F0BF9" w:rsidRDefault="003F0BF9" w:rsidP="003F0BF9">
      <w:r w:rsidRPr="003F0BF9">
        <w:t xml:space="preserve">Institusjonene kan velge mellom følgende to modeller for ansettelse på innstegsvilkår: </w:t>
      </w:r>
    </w:p>
    <w:p w:rsidR="00142AD4" w:rsidRPr="00142AD4" w:rsidRDefault="003F0BF9" w:rsidP="00142AD4">
      <w:pPr>
        <w:pStyle w:val="Listeavsnitt"/>
        <w:numPr>
          <w:ilvl w:val="0"/>
          <w:numId w:val="1"/>
        </w:numPr>
        <w:rPr>
          <w:rFonts w:ascii="DepCentury Old Style" w:hAnsi="DepCentury Old Style"/>
          <w:i/>
          <w:iCs/>
        </w:rPr>
      </w:pPr>
      <w:r w:rsidRPr="003F0BF9">
        <w:t>Ansettelsen skjer på åremål i en postdoktorstilling for en åremålsperiode på seks til sju år. I denne åremålsperioden gis kandidaten mulighet til å kvalifisere seg for fa</w:t>
      </w:r>
      <w:r w:rsidR="00BD7582">
        <w:t xml:space="preserve">st </w:t>
      </w:r>
      <w:r w:rsidR="001C76E4">
        <w:t>ansettelse</w:t>
      </w:r>
      <w:r w:rsidR="00BD7582" w:rsidRPr="004A5754">
        <w:rPr>
          <w:i/>
          <w:iCs/>
        </w:rPr>
        <w:t xml:space="preserve"> </w:t>
      </w:r>
      <w:r w:rsidR="00BD7582" w:rsidRPr="001C76E4">
        <w:rPr>
          <w:iCs/>
        </w:rPr>
        <w:t>i tråd med oppnådd kvalifikasjon til kombinert førsteamanuensis- eller professorstilling ved utløpet av åremålsperioden.</w:t>
      </w:r>
    </w:p>
    <w:p w:rsidR="003F0BF9" w:rsidRPr="003F0BF9" w:rsidRDefault="003F0BF9" w:rsidP="003F0BF9">
      <w:r w:rsidRPr="003F0BF9">
        <w:t xml:space="preserve">eller </w:t>
      </w:r>
    </w:p>
    <w:p w:rsidR="003F0BF9" w:rsidRPr="003F0BF9" w:rsidRDefault="003F0BF9" w:rsidP="00142AD4">
      <w:pPr>
        <w:ind w:left="708"/>
      </w:pPr>
      <w:r w:rsidRPr="003F0BF9">
        <w:t xml:space="preserve">b) Ansettelsen skjer på åremål i en førsteamanuensisstilling for en åremålsperiode på seks til sju år. I denne åremålsperioden gis kandidaten mulighet til å kvalifisere seg for fast ansettelse i en professorstilling. </w:t>
      </w:r>
    </w:p>
    <w:p w:rsidR="003F0BF9" w:rsidRPr="003F0BF9" w:rsidRDefault="003F0BF9" w:rsidP="003F0BF9"/>
    <w:p w:rsidR="003F0BF9" w:rsidRPr="003F0BF9" w:rsidRDefault="003F0BF9" w:rsidP="003F0BF9">
      <w:r w:rsidRPr="003F0BF9">
        <w:t xml:space="preserve">Postdoktorstillingen brukt ved ansettelse på innstegsvilkår er en kombinert undervisnings- og forskerstilling der oppgaver, resultater og krav følger denne forskrift. </w:t>
      </w:r>
    </w:p>
    <w:p w:rsidR="003F0BF9" w:rsidRPr="003F0BF9" w:rsidRDefault="003F0BF9" w:rsidP="003F0BF9">
      <w:r w:rsidRPr="003F0BF9">
        <w:t xml:space="preserve">Ansettelse på innstegsvilkår kan kun skje når stillingen har vært bredt utlyst nasjonalt og internasjonalt. </w:t>
      </w:r>
    </w:p>
    <w:p w:rsidR="003F0BF9" w:rsidRDefault="003F0BF9" w:rsidP="003F0BF9">
      <w:r w:rsidRPr="003F0BF9">
        <w:t xml:space="preserve">Ordningen med opprykk til professor etter kompetanse gjelder ikke for perioden vedkommende er åremålsansatt på innstegsvilkår. </w:t>
      </w:r>
    </w:p>
    <w:p w:rsidR="00142AD4" w:rsidRPr="003F0BF9" w:rsidRDefault="00142AD4" w:rsidP="003F0BF9"/>
    <w:p w:rsidR="003F0BF9" w:rsidRPr="003F0BF9" w:rsidRDefault="003F0BF9" w:rsidP="003F0BF9">
      <w:r w:rsidRPr="003F0BF9">
        <w:t xml:space="preserve">§ </w:t>
      </w:r>
      <w:r w:rsidRPr="003F0BF9">
        <w:rPr>
          <w:i/>
          <w:iCs/>
        </w:rPr>
        <w:t xml:space="preserve">3 Arbeidsavtalen </w:t>
      </w:r>
    </w:p>
    <w:p w:rsidR="003F0BF9" w:rsidRPr="003F0BF9" w:rsidRDefault="003F0BF9" w:rsidP="003F0BF9">
      <w:r w:rsidRPr="003F0BF9">
        <w:t xml:space="preserve">I arbeidsavtalen fastsettes hvilke resultater, krav og kriterier kandidaten skal oppfylle i løpet av åremålsperioden for å få fast ansettelse etter § 2a eller professor etter § 2b. </w:t>
      </w:r>
    </w:p>
    <w:p w:rsidR="003F0BF9" w:rsidRPr="003F0BF9" w:rsidRDefault="00663A61" w:rsidP="003F0BF9">
      <w:r w:rsidRPr="001C76E4">
        <w:t>Styret</w:t>
      </w:r>
      <w:r w:rsidR="00F34F3E" w:rsidRPr="001C76E4">
        <w:t>, eller avdelingen</w:t>
      </w:r>
      <w:r w:rsidRPr="001C76E4">
        <w:t xml:space="preserve"> selv etter styrets delegasjon</w:t>
      </w:r>
      <w:r w:rsidR="00F34F3E" w:rsidRPr="001C76E4">
        <w:t>,</w:t>
      </w:r>
      <w:r w:rsidR="003F0BF9" w:rsidRPr="00F34F3E">
        <w:rPr>
          <w:b/>
        </w:rPr>
        <w:t xml:space="preserve"> </w:t>
      </w:r>
      <w:r w:rsidR="003F0BF9" w:rsidRPr="003F0BF9">
        <w:t xml:space="preserve">skal, med utgangspunkt i kapittel 1 i forskrift 9. februar 200 6 nr. 129 om ansettelse og opprykk i undervisnings- og forskerstillinger, samt institusjonens egne utfyllende kriterier for tilsetting i førsteamanuensis- eller professorstilling, fastsette spesifiserte krav innen: </w:t>
      </w:r>
    </w:p>
    <w:p w:rsidR="003F0BF9" w:rsidRPr="003F0BF9" w:rsidRDefault="003F0BF9" w:rsidP="003F0BF9">
      <w:r w:rsidRPr="003F0BF9">
        <w:t xml:space="preserve">- forskning </w:t>
      </w:r>
    </w:p>
    <w:p w:rsidR="003F0BF9" w:rsidRPr="003F0BF9" w:rsidRDefault="003F0BF9" w:rsidP="003F0BF9">
      <w:r w:rsidRPr="003F0BF9">
        <w:t xml:space="preserve">- undervisning </w:t>
      </w:r>
    </w:p>
    <w:p w:rsidR="003F0BF9" w:rsidRPr="003F0BF9" w:rsidRDefault="003F0BF9" w:rsidP="003F0BF9">
      <w:r w:rsidRPr="003F0BF9">
        <w:t xml:space="preserve">- formidling </w:t>
      </w:r>
    </w:p>
    <w:p w:rsidR="00671436" w:rsidRPr="001C76E4" w:rsidRDefault="003F0BF9" w:rsidP="003F0BF9">
      <w:pPr>
        <w:rPr>
          <w:iCs/>
        </w:rPr>
      </w:pPr>
      <w:r w:rsidRPr="003F0BF9">
        <w:lastRenderedPageBreak/>
        <w:t>- akademisk ledelse, herunder evnen til å initiere og lede forskning</w:t>
      </w:r>
      <w:r w:rsidR="00671436">
        <w:t>,</w:t>
      </w:r>
      <w:r w:rsidR="00671436" w:rsidRPr="001C76E4">
        <w:t xml:space="preserve"> </w:t>
      </w:r>
      <w:r w:rsidR="00671436" w:rsidRPr="001C76E4">
        <w:rPr>
          <w:iCs/>
        </w:rPr>
        <w:t xml:space="preserve">undervise og utvikle </w:t>
      </w:r>
    </w:p>
    <w:p w:rsidR="003F0BF9" w:rsidRPr="004A5754" w:rsidRDefault="00671436" w:rsidP="003F0BF9">
      <w:pPr>
        <w:rPr>
          <w:b/>
          <w:iCs/>
        </w:rPr>
      </w:pPr>
      <w:r w:rsidRPr="001C76E4">
        <w:rPr>
          <w:iCs/>
        </w:rPr>
        <w:t xml:space="preserve">  fremragende studietilbud</w:t>
      </w:r>
      <w:r w:rsidR="003F0BF9" w:rsidRPr="001C76E4">
        <w:t xml:space="preserve">. </w:t>
      </w:r>
    </w:p>
    <w:p w:rsidR="003F0BF9" w:rsidRPr="003F0BF9" w:rsidRDefault="003F0BF9" w:rsidP="003F0BF9">
      <w:r w:rsidRPr="003F0BF9">
        <w:t xml:space="preserve">Videre kan institusjonene stille krav ut fra særlige behov innen fagområdet eller forskningsmiljøet det ansettes i, f.eks: </w:t>
      </w:r>
    </w:p>
    <w:p w:rsidR="003F0BF9" w:rsidRPr="003F0BF9" w:rsidRDefault="003F0BF9" w:rsidP="003F0BF9">
      <w:r w:rsidRPr="003F0BF9">
        <w:t xml:space="preserve">- internasjonal virksomhet </w:t>
      </w:r>
    </w:p>
    <w:p w:rsidR="003F0BF9" w:rsidRPr="003F0BF9" w:rsidRDefault="003F0BF9" w:rsidP="003F0BF9">
      <w:r w:rsidRPr="003F0BF9">
        <w:t xml:space="preserve">- søknader til EU </w:t>
      </w:r>
    </w:p>
    <w:p w:rsidR="003F0BF9" w:rsidRPr="003F0BF9" w:rsidRDefault="003F0BF9" w:rsidP="003F0BF9">
      <w:r w:rsidRPr="003F0BF9">
        <w:t xml:space="preserve">- evne til å tiltrekke seg/forskningsgruppen ekstern finansiering </w:t>
      </w:r>
    </w:p>
    <w:p w:rsidR="003F0BF9" w:rsidRDefault="003F0BF9" w:rsidP="003F0BF9">
      <w:r w:rsidRPr="003F0BF9">
        <w:t xml:space="preserve">I avtalen fastsettes også hvordan institusjonen skal bistå kandidaten med å oppfylle kravene som stilles (for eksempel forskningsressurser som utstyr og/eller personell til en forskningsgruppe, søknadsbistand, veiledning m.m.). Kandidaten må få avsatt nødvendig tid til de ulike oppgavene arbeidsavtalen omfatter. </w:t>
      </w:r>
    </w:p>
    <w:p w:rsidR="00525E10" w:rsidRPr="003F0BF9" w:rsidRDefault="00525E10" w:rsidP="003F0BF9"/>
    <w:p w:rsidR="003F0BF9" w:rsidRPr="003F0BF9" w:rsidRDefault="003F0BF9" w:rsidP="003F0BF9">
      <w:r w:rsidRPr="003F0BF9">
        <w:t xml:space="preserve">§ </w:t>
      </w:r>
      <w:r w:rsidRPr="003F0BF9">
        <w:rPr>
          <w:i/>
          <w:iCs/>
        </w:rPr>
        <w:t xml:space="preserve">4 Midtveisevaluering </w:t>
      </w:r>
    </w:p>
    <w:p w:rsidR="003F0BF9" w:rsidRDefault="003F0BF9" w:rsidP="003F0BF9">
      <w:r w:rsidRPr="003F0BF9">
        <w:t xml:space="preserve">Det skal gjennomføres en formell midtveisevaluering som skal være avsluttet før kandiaten har vært ansatt i fire år. Evalueringen skal gjennomføres med utgangspunkt i arbeidsavtalen. Styret for institusjonen, eller den styret gir myndighet, fastsetter nærmere bestemmelser om midtveisevalueringen. Med utgangspunkt i denne skal kandidaten gis veiledning om hva som eventuelt må forbedres i siste del av åremålsperioden for å oppfylle kravene i arbeidsavtalen. </w:t>
      </w:r>
    </w:p>
    <w:p w:rsidR="00525E10" w:rsidRPr="003F0BF9" w:rsidRDefault="00525E10" w:rsidP="003F0BF9"/>
    <w:p w:rsidR="003F0BF9" w:rsidRPr="003F0BF9" w:rsidRDefault="003F0BF9" w:rsidP="003F0BF9">
      <w:r w:rsidRPr="003F0BF9">
        <w:t xml:space="preserve">§ </w:t>
      </w:r>
      <w:r w:rsidRPr="003F0BF9">
        <w:rPr>
          <w:i/>
          <w:iCs/>
        </w:rPr>
        <w:t xml:space="preserve">5 Sluttevaluering </w:t>
      </w:r>
    </w:p>
    <w:p w:rsidR="003F0BF9" w:rsidRPr="001C76E4" w:rsidRDefault="003F0BF9" w:rsidP="003F0BF9">
      <w:r w:rsidRPr="003F0BF9">
        <w:t>Før utløpet av åremålsperioden skal institusjonen sørge for en vurdering av om kravene som ble fastsatt i arbeidsavtalen er innfridd. Vurderingen av kandidatens forskningskompetanse og forskningspotensial skal foretas av en bedømmelseskomité innenfor kandidatens fagområde, og etter institusjonens regler om bedømming. Institusjonene kan bestemme at komiteen også skal bedømme den ansattes resultater på</w:t>
      </w:r>
      <w:r w:rsidR="00055C9E">
        <w:t xml:space="preserve"> </w:t>
      </w:r>
      <w:r w:rsidR="00055C9E" w:rsidRPr="001C76E4">
        <w:t>undervisningsområdet og på</w:t>
      </w:r>
      <w:r w:rsidRPr="003F0BF9">
        <w:t xml:space="preserve"> andre </w:t>
      </w:r>
      <w:r w:rsidRPr="001C76E4">
        <w:t>områder</w:t>
      </w:r>
      <w:r w:rsidR="00055C9E" w:rsidRPr="001C76E4">
        <w:t xml:space="preserve"> som omfattes av avtalen</w:t>
      </w:r>
      <w:r w:rsidRPr="001C76E4">
        <w:t xml:space="preserve">. </w:t>
      </w:r>
    </w:p>
    <w:p w:rsidR="00055C9E" w:rsidRPr="003F0BF9" w:rsidRDefault="00055C9E" w:rsidP="003F0BF9"/>
    <w:p w:rsidR="003F0BF9" w:rsidRPr="003F0BF9" w:rsidRDefault="003F0BF9" w:rsidP="003F0BF9">
      <w:r w:rsidRPr="003F0BF9">
        <w:t xml:space="preserve">Bedømmingskomiteen skal ha tre medlemmer, og minst ett medlem fra en utenlandsk institusjon. Bare ett medlem av bedømmingskomiteen kan være fra kandidatens egen institusjon. Begge kjønn skal om mulig være representert i komiteen. </w:t>
      </w:r>
    </w:p>
    <w:p w:rsidR="003F0BF9" w:rsidRDefault="003F0BF9" w:rsidP="003F0BF9">
      <w:r w:rsidRPr="003F0BF9">
        <w:t>Vurderingen av om kandidaten oppfyller de øvrige kravene som ble fastsatt i arbeidsavtalen</w:t>
      </w:r>
      <w:r w:rsidR="008142A1">
        <w:t>,</w:t>
      </w:r>
      <w:r w:rsidRPr="003F0BF9">
        <w:t xml:space="preserve"> foretas etter regler fastsatt av styret eller den styret bemyndiger. </w:t>
      </w:r>
    </w:p>
    <w:p w:rsidR="000D0997" w:rsidRPr="003F0BF9" w:rsidRDefault="000D0997" w:rsidP="003F0BF9"/>
    <w:p w:rsidR="003F0BF9" w:rsidRPr="003F0BF9" w:rsidRDefault="003F0BF9" w:rsidP="003F0BF9">
      <w:r w:rsidRPr="003F0BF9">
        <w:t xml:space="preserve">§ </w:t>
      </w:r>
      <w:r w:rsidRPr="003F0BF9">
        <w:rPr>
          <w:i/>
          <w:iCs/>
        </w:rPr>
        <w:t xml:space="preserve">6 Oppfølging og veiledning </w:t>
      </w:r>
    </w:p>
    <w:p w:rsidR="003F0BF9" w:rsidRDefault="003F0BF9" w:rsidP="003F0BF9">
      <w:r w:rsidRPr="003F0BF9">
        <w:t>Fram til midtveisevalueringen skal kandidaten få faglig veiledning, opplæring og råd for å bygge en akademisk karriere. Institusjonen må sørge for at kandidaten får tilgang til de forskningsressurser</w:t>
      </w:r>
      <w:r w:rsidR="00CD5D58">
        <w:t xml:space="preserve"> og </w:t>
      </w:r>
      <w:r w:rsidR="00CD5D58" w:rsidRPr="001C76E4">
        <w:t>den bistand som er avtalt</w:t>
      </w:r>
      <w:r w:rsidRPr="003F0BF9">
        <w:t xml:space="preserve"> for å kunne oppfylle kravene i arbeidsavtalen. I siste del av perioden skal kandidaten følges opp på samme måte som øvrige ansatte. </w:t>
      </w:r>
    </w:p>
    <w:p w:rsidR="000D0997" w:rsidRPr="003F0BF9" w:rsidRDefault="000D0997" w:rsidP="003F0BF9"/>
    <w:p w:rsidR="003F0BF9" w:rsidRPr="003F0BF9" w:rsidRDefault="003F0BF9" w:rsidP="003F0BF9">
      <w:r w:rsidRPr="003F0BF9">
        <w:t xml:space="preserve">§ </w:t>
      </w:r>
      <w:r w:rsidRPr="003F0BF9">
        <w:rPr>
          <w:i/>
          <w:iCs/>
        </w:rPr>
        <w:t xml:space="preserve">7 Rett til fast ansettelse </w:t>
      </w:r>
    </w:p>
    <w:p w:rsidR="003F0BF9" w:rsidRPr="003F0BF9" w:rsidRDefault="003F0BF9" w:rsidP="003F0BF9">
      <w:r w:rsidRPr="003F0BF9">
        <w:t>Med utgangspunkt i den sakkyndig bedømmingen av forskningskompetansen, og vurderingen av om øvrige kra</w:t>
      </w:r>
      <w:r w:rsidR="00ED5984">
        <w:t xml:space="preserve">v i arbeidsavtalen er oppfylt, </w:t>
      </w:r>
      <w:r w:rsidR="00ED5984" w:rsidRPr="00ED5984">
        <w:rPr>
          <w:i/>
          <w:sz w:val="22"/>
          <w:szCs w:val="22"/>
        </w:rPr>
        <w:t xml:space="preserve"> </w:t>
      </w:r>
      <w:r w:rsidR="00ED5984" w:rsidRPr="001C76E4">
        <w:t>som skal være avsluttet før åremålets utløp</w:t>
      </w:r>
      <w:r w:rsidR="00ED5984">
        <w:rPr>
          <w:i/>
        </w:rPr>
        <w:t>,</w:t>
      </w:r>
      <w:r w:rsidR="00ED5984" w:rsidRPr="00ED5984">
        <w:t xml:space="preserve"> </w:t>
      </w:r>
      <w:r w:rsidR="00ED5984">
        <w:t>a</w:t>
      </w:r>
      <w:r w:rsidRPr="003F0BF9">
        <w:t>vgjør ansettelsesorganet for den aktuelle stillingen (§2a eller 2b) om kandidaten skal gis fast ansettelse. Dersom kravene som ble stilt i arbeidsavtalen er nådd, skal kandidaten ansettes i fast kombinert undervisnings- og forskerstilling</w:t>
      </w:r>
      <w:r w:rsidR="000D0997">
        <w:t xml:space="preserve"> </w:t>
      </w:r>
      <w:r w:rsidR="000D0997" w:rsidRPr="001C76E4">
        <w:t>vedkommende er kvalifisert til</w:t>
      </w:r>
      <w:r w:rsidR="00142AD4" w:rsidRPr="001C76E4">
        <w:t xml:space="preserve"> som førsteamanuensis eller professor</w:t>
      </w:r>
      <w:r w:rsidRPr="003F0BF9">
        <w:t xml:space="preserve"> etter (§2a) eller professor etter (§2b). </w:t>
      </w:r>
    </w:p>
    <w:p w:rsidR="003F0BF9" w:rsidRDefault="003F0BF9" w:rsidP="003F0BF9"/>
    <w:p w:rsidR="00027213" w:rsidRDefault="00142AD4" w:rsidP="00142AD4">
      <w:pPr>
        <w:pStyle w:val="Default"/>
        <w:rPr>
          <w:i/>
          <w:iCs/>
          <w:sz w:val="23"/>
          <w:szCs w:val="23"/>
        </w:rPr>
      </w:pPr>
      <w:r>
        <w:rPr>
          <w:sz w:val="23"/>
          <w:szCs w:val="23"/>
        </w:rPr>
        <w:t xml:space="preserve">§ </w:t>
      </w:r>
      <w:r>
        <w:rPr>
          <w:i/>
          <w:iCs/>
          <w:sz w:val="23"/>
          <w:szCs w:val="23"/>
        </w:rPr>
        <w:t xml:space="preserve">8 Åremålsansettelsen </w:t>
      </w:r>
    </w:p>
    <w:p w:rsidR="00142AD4" w:rsidRPr="00027213" w:rsidRDefault="00142AD4" w:rsidP="00142AD4">
      <w:pPr>
        <w:pStyle w:val="Default"/>
      </w:pPr>
      <w:r w:rsidRPr="00027213">
        <w:lastRenderedPageBreak/>
        <w:t>Institusjoner under lov om universiteter og høyskoler kan ansette på innstegsvilkår i fagmiljøer som har rett til å gi doktorgradsutdanning</w:t>
      </w:r>
      <w:r w:rsidR="008142A1">
        <w:t>,</w:t>
      </w:r>
      <w:r w:rsidRPr="00027213">
        <w:t xml:space="preserve"> innenfor kvantitative rammer fastsatt av departementet for den enkelte institusjon. </w:t>
      </w:r>
    </w:p>
    <w:p w:rsidR="00460B4E" w:rsidRPr="00460B4E" w:rsidRDefault="00142AD4" w:rsidP="00460B4E">
      <w:pPr>
        <w:pStyle w:val="Default"/>
        <w:rPr>
          <w:b/>
        </w:rPr>
      </w:pPr>
      <w:r w:rsidRPr="00027213">
        <w:t xml:space="preserve">Ingen kan ansettes i mer enn en åremålsperiode på innstegsvilkår ved institusjoner under lov om universiteter og høyskoler. </w:t>
      </w:r>
      <w:r w:rsidR="00460B4E" w:rsidRPr="001C76E4">
        <w:t>En som har vært ansatt</w:t>
      </w:r>
      <w:r w:rsidR="000D78C0" w:rsidRPr="001C76E4">
        <w:t xml:space="preserve"> på åremål</w:t>
      </w:r>
      <w:r w:rsidR="0011065A" w:rsidRPr="001C76E4">
        <w:t xml:space="preserve"> i mer enn ett år</w:t>
      </w:r>
      <w:r w:rsidR="00460B4E" w:rsidRPr="001C76E4">
        <w:t xml:space="preserve"> i ordinær postdoktorstilling i medhold av</w:t>
      </w:r>
      <w:r w:rsidR="00460B4E" w:rsidRPr="001C76E4">
        <w:rPr>
          <w:bCs/>
        </w:rPr>
        <w:t xml:space="preserve"> forskrift om ansettelsesvilkår for stillinger som postdoktor, stipendiat, vitenskapelig assistent og spesialistkandidat</w:t>
      </w:r>
      <w:r w:rsidR="007E203B" w:rsidRPr="001C76E4">
        <w:rPr>
          <w:bCs/>
        </w:rPr>
        <w:t xml:space="preserve">, </w:t>
      </w:r>
      <w:r w:rsidR="00280542" w:rsidRPr="001C76E4">
        <w:rPr>
          <w:bCs/>
        </w:rPr>
        <w:t>eller som har</w:t>
      </w:r>
      <w:r w:rsidR="007E203B" w:rsidRPr="001C76E4">
        <w:rPr>
          <w:bCs/>
        </w:rPr>
        <w:t xml:space="preserve"> hatt</w:t>
      </w:r>
      <w:r w:rsidR="00280542" w:rsidRPr="001C76E4">
        <w:rPr>
          <w:bCs/>
        </w:rPr>
        <w:t xml:space="preserve"> en</w:t>
      </w:r>
      <w:r w:rsidR="000D78C0" w:rsidRPr="001C76E4">
        <w:rPr>
          <w:bCs/>
        </w:rPr>
        <w:t xml:space="preserve"> slik</w:t>
      </w:r>
      <w:r w:rsidR="00280542" w:rsidRPr="001C76E4">
        <w:rPr>
          <w:bCs/>
        </w:rPr>
        <w:t xml:space="preserve"> postdoktoransettelse ved en utenlandsk institusjon</w:t>
      </w:r>
      <w:r w:rsidR="007E203B" w:rsidRPr="001C76E4">
        <w:rPr>
          <w:bCs/>
        </w:rPr>
        <w:t>,</w:t>
      </w:r>
      <w:r w:rsidR="00300DDE" w:rsidRPr="001C76E4">
        <w:rPr>
          <w:bCs/>
        </w:rPr>
        <w:t xml:space="preserve"> </w:t>
      </w:r>
      <w:r w:rsidR="00460B4E" w:rsidRPr="001C76E4">
        <w:rPr>
          <w:bCs/>
        </w:rPr>
        <w:t>kan</w:t>
      </w:r>
      <w:r w:rsidR="00300DDE" w:rsidRPr="001C76E4">
        <w:rPr>
          <w:bCs/>
        </w:rPr>
        <w:t xml:space="preserve"> ikke</w:t>
      </w:r>
      <w:r w:rsidR="00460B4E" w:rsidRPr="001C76E4">
        <w:rPr>
          <w:bCs/>
        </w:rPr>
        <w:t xml:space="preserve"> ansettes</w:t>
      </w:r>
      <w:r w:rsidR="000D78C0" w:rsidRPr="001C76E4">
        <w:rPr>
          <w:bCs/>
        </w:rPr>
        <w:t xml:space="preserve"> på åremål</w:t>
      </w:r>
      <w:r w:rsidR="00460B4E" w:rsidRPr="001C76E4">
        <w:rPr>
          <w:bCs/>
        </w:rPr>
        <w:t xml:space="preserve"> i postdo</w:t>
      </w:r>
      <w:r w:rsidR="00300DDE" w:rsidRPr="001C76E4">
        <w:rPr>
          <w:bCs/>
        </w:rPr>
        <w:t>k</w:t>
      </w:r>
      <w:r w:rsidR="00460B4E" w:rsidRPr="001C76E4">
        <w:rPr>
          <w:bCs/>
        </w:rPr>
        <w:t xml:space="preserve">torstilling </w:t>
      </w:r>
      <w:r w:rsidR="00460B4E" w:rsidRPr="001C76E4">
        <w:t>på innstegsvilkår.</w:t>
      </w:r>
    </w:p>
    <w:p w:rsidR="00027213" w:rsidRDefault="00027213" w:rsidP="00027213">
      <w:pPr>
        <w:pStyle w:val="Default"/>
        <w:rPr>
          <w:sz w:val="23"/>
          <w:szCs w:val="23"/>
        </w:rPr>
      </w:pPr>
      <w:r>
        <w:rPr>
          <w:sz w:val="23"/>
          <w:szCs w:val="23"/>
        </w:rPr>
        <w:t xml:space="preserve">I åremålskontrakten kan det ikke tas inn bestemmelser om ventelønn. </w:t>
      </w:r>
    </w:p>
    <w:p w:rsidR="00460B4E" w:rsidRDefault="00460B4E" w:rsidP="00027213">
      <w:pPr>
        <w:pStyle w:val="Default"/>
        <w:rPr>
          <w:sz w:val="23"/>
          <w:szCs w:val="23"/>
        </w:rPr>
      </w:pPr>
    </w:p>
    <w:p w:rsidR="003A045D" w:rsidRPr="003A045D" w:rsidRDefault="003A045D" w:rsidP="003A045D">
      <w:pPr>
        <w:pStyle w:val="Default"/>
        <w:rPr>
          <w:sz w:val="23"/>
          <w:szCs w:val="23"/>
        </w:rPr>
      </w:pPr>
      <w:r w:rsidRPr="003A045D">
        <w:rPr>
          <w:sz w:val="23"/>
          <w:szCs w:val="23"/>
        </w:rPr>
        <w:t xml:space="preserve">§ </w:t>
      </w:r>
      <w:r w:rsidRPr="003A045D">
        <w:rPr>
          <w:i/>
          <w:iCs/>
          <w:sz w:val="23"/>
          <w:szCs w:val="23"/>
        </w:rPr>
        <w:t xml:space="preserve">9 Arbeidstid </w:t>
      </w:r>
    </w:p>
    <w:p w:rsidR="00027213" w:rsidRPr="000018A8" w:rsidRDefault="003A045D" w:rsidP="003A045D">
      <w:pPr>
        <w:pStyle w:val="Default"/>
      </w:pPr>
      <w:r w:rsidRPr="000018A8">
        <w:t>De ansatte omfattes av de til enhver tid gjeldende lover og avtaler om arbeidstid, ferie og sykefravær.</w:t>
      </w:r>
    </w:p>
    <w:p w:rsidR="003A045D" w:rsidRDefault="003A045D" w:rsidP="003A045D">
      <w:pPr>
        <w:pStyle w:val="Default"/>
        <w:rPr>
          <w:sz w:val="23"/>
          <w:szCs w:val="23"/>
        </w:rPr>
      </w:pPr>
    </w:p>
    <w:p w:rsidR="003A045D" w:rsidRDefault="003A045D" w:rsidP="003A045D">
      <w:pPr>
        <w:pStyle w:val="Default"/>
        <w:rPr>
          <w:iCs/>
          <w:sz w:val="23"/>
          <w:szCs w:val="23"/>
        </w:rPr>
      </w:pPr>
      <w:r>
        <w:rPr>
          <w:sz w:val="23"/>
          <w:szCs w:val="23"/>
        </w:rPr>
        <w:t xml:space="preserve">§ </w:t>
      </w:r>
      <w:r>
        <w:rPr>
          <w:i/>
          <w:iCs/>
          <w:sz w:val="23"/>
          <w:szCs w:val="23"/>
        </w:rPr>
        <w:t xml:space="preserve">10 Permisjoner og forlengelse av ansettelsesperioden </w:t>
      </w:r>
    </w:p>
    <w:p w:rsidR="003A045D" w:rsidRPr="000018A8" w:rsidRDefault="003A045D" w:rsidP="003A045D">
      <w:pPr>
        <w:pStyle w:val="Default"/>
      </w:pPr>
      <w:r w:rsidRPr="000018A8">
        <w:t>Permisjoner kandidaten har krav på etter lov eller tariffavtale, skal ikke medregnes ved beregning av ansettelsesperioden</w:t>
      </w:r>
      <w:r w:rsidR="000018A8" w:rsidRPr="000018A8">
        <w:t>.</w:t>
      </w:r>
      <w:r w:rsidRPr="000018A8">
        <w:t xml:space="preserve"> </w:t>
      </w:r>
    </w:p>
    <w:p w:rsidR="000018A8" w:rsidRPr="000018A8" w:rsidRDefault="003A045D" w:rsidP="000018A8">
      <w:pPr>
        <w:pStyle w:val="Default"/>
      </w:pPr>
      <w:r w:rsidRPr="000018A8">
        <w:t xml:space="preserve">Det gis forlengelse for redusert arbeidstid i henhold til arbeidsmiljølovens § 10-2 fjerde ledd på grunn av omsorg for barn og nær familie. </w:t>
      </w:r>
      <w:r w:rsidR="000018A8" w:rsidRPr="000018A8">
        <w:t xml:space="preserve"> </w:t>
      </w:r>
    </w:p>
    <w:p w:rsidR="000018A8" w:rsidRPr="000018A8" w:rsidRDefault="000018A8" w:rsidP="000018A8">
      <w:pPr>
        <w:pStyle w:val="Default"/>
      </w:pPr>
      <w:r w:rsidRPr="000018A8">
        <w:t>Avgjørelse om forlengelse av ansettelsesperioden fattes av ansettelsesorganet.</w:t>
      </w:r>
    </w:p>
    <w:p w:rsidR="000018A8" w:rsidRDefault="000018A8" w:rsidP="000018A8">
      <w:pPr>
        <w:pStyle w:val="Default"/>
        <w:rPr>
          <w:sz w:val="23"/>
          <w:szCs w:val="23"/>
        </w:rPr>
      </w:pPr>
    </w:p>
    <w:p w:rsidR="000018A8" w:rsidRPr="000018A8" w:rsidRDefault="000018A8" w:rsidP="000018A8">
      <w:pPr>
        <w:pStyle w:val="Default"/>
        <w:rPr>
          <w:sz w:val="23"/>
          <w:szCs w:val="23"/>
        </w:rPr>
      </w:pPr>
      <w:r w:rsidRPr="000018A8">
        <w:rPr>
          <w:sz w:val="23"/>
          <w:szCs w:val="23"/>
        </w:rPr>
        <w:t xml:space="preserve">§ </w:t>
      </w:r>
      <w:r w:rsidRPr="000018A8">
        <w:rPr>
          <w:i/>
          <w:iCs/>
          <w:sz w:val="23"/>
          <w:szCs w:val="23"/>
        </w:rPr>
        <w:t xml:space="preserve">11 Ikrafttredelse </w:t>
      </w:r>
    </w:p>
    <w:p w:rsidR="000018A8" w:rsidRPr="000018A8" w:rsidRDefault="000018A8" w:rsidP="000018A8">
      <w:pPr>
        <w:pStyle w:val="Default"/>
      </w:pPr>
      <w:r w:rsidRPr="000018A8">
        <w:t xml:space="preserve">Forskriften trer i kraft straks.  </w:t>
      </w:r>
    </w:p>
    <w:p w:rsidR="003A045D" w:rsidRDefault="003A045D" w:rsidP="003A045D">
      <w:pPr>
        <w:pStyle w:val="Default"/>
        <w:rPr>
          <w:sz w:val="23"/>
          <w:szCs w:val="23"/>
        </w:rPr>
      </w:pPr>
    </w:p>
    <w:p w:rsidR="000018A8" w:rsidRDefault="000018A8" w:rsidP="003A045D">
      <w:pPr>
        <w:pStyle w:val="Default"/>
        <w:rPr>
          <w:sz w:val="23"/>
          <w:szCs w:val="23"/>
        </w:rPr>
      </w:pPr>
    </w:p>
    <w:p w:rsidR="000018A8" w:rsidRPr="000018A8" w:rsidRDefault="000018A8" w:rsidP="000018A8">
      <w:pPr>
        <w:pStyle w:val="Default"/>
        <w:rPr>
          <w:sz w:val="23"/>
          <w:szCs w:val="23"/>
        </w:rPr>
      </w:pPr>
      <w:r>
        <w:rPr>
          <w:b/>
          <w:bCs/>
          <w:sz w:val="23"/>
          <w:szCs w:val="23"/>
        </w:rPr>
        <w:t>E</w:t>
      </w:r>
      <w:r w:rsidRPr="000018A8">
        <w:rPr>
          <w:b/>
          <w:bCs/>
          <w:sz w:val="23"/>
          <w:szCs w:val="23"/>
        </w:rPr>
        <w:t xml:space="preserve">ndringer i forskrift av 9. februar 2006 nr. 129 om ansettelse og opprykk i undervisnings- og forskerstillinger </w:t>
      </w:r>
    </w:p>
    <w:p w:rsidR="000018A8" w:rsidRPr="004A5754" w:rsidRDefault="000018A8" w:rsidP="000018A8">
      <w:pPr>
        <w:pStyle w:val="Default"/>
        <w:rPr>
          <w:i/>
          <w:sz w:val="23"/>
          <w:szCs w:val="23"/>
        </w:rPr>
      </w:pPr>
      <w:r w:rsidRPr="004A5754">
        <w:rPr>
          <w:i/>
          <w:sz w:val="23"/>
          <w:szCs w:val="23"/>
        </w:rPr>
        <w:t xml:space="preserve">§ 2-1 første ledd, ny siste setning. </w:t>
      </w:r>
    </w:p>
    <w:p w:rsidR="000018A8" w:rsidRPr="004A5754" w:rsidRDefault="000018A8" w:rsidP="000018A8">
      <w:pPr>
        <w:pStyle w:val="Default"/>
        <w:rPr>
          <w:sz w:val="23"/>
          <w:szCs w:val="23"/>
        </w:rPr>
      </w:pPr>
      <w:r w:rsidRPr="004A5754">
        <w:rPr>
          <w:iCs/>
          <w:sz w:val="23"/>
          <w:szCs w:val="23"/>
        </w:rPr>
        <w:t>Førsteamanuensis ansatt i åremål på innstegvilkår kan ikke søke om opprykk.</w:t>
      </w:r>
    </w:p>
    <w:p w:rsidR="00142AD4" w:rsidRDefault="00142AD4" w:rsidP="003F0BF9"/>
    <w:p w:rsidR="000018A8" w:rsidRPr="000018A8" w:rsidRDefault="000018A8" w:rsidP="000018A8">
      <w:r>
        <w:rPr>
          <w:b/>
          <w:bCs/>
        </w:rPr>
        <w:t>E</w:t>
      </w:r>
      <w:r w:rsidRPr="000018A8">
        <w:rPr>
          <w:b/>
          <w:bCs/>
        </w:rPr>
        <w:t xml:space="preserve">ndringer i forskrift 31. januar 2006 nr. 102 om ansettelsesvilkår for stillinger som postdoktor, stipendiat, vitenskapelig assistent og spesialistkandidat </w:t>
      </w:r>
    </w:p>
    <w:p w:rsidR="000018A8" w:rsidRPr="004A5754" w:rsidRDefault="000018A8" w:rsidP="000018A8">
      <w:pPr>
        <w:rPr>
          <w:i/>
        </w:rPr>
      </w:pPr>
      <w:r w:rsidRPr="004A5754">
        <w:rPr>
          <w:i/>
        </w:rPr>
        <w:t xml:space="preserve">§ 1-2 </w:t>
      </w:r>
      <w:r w:rsidRPr="004A5754">
        <w:rPr>
          <w:i/>
          <w:iCs/>
        </w:rPr>
        <w:t xml:space="preserve">Postdoktor </w:t>
      </w:r>
    </w:p>
    <w:p w:rsidR="000018A8" w:rsidRPr="000018A8" w:rsidRDefault="000018A8" w:rsidP="000018A8">
      <w:r w:rsidRPr="000018A8">
        <w:rPr>
          <w:i/>
          <w:iCs/>
        </w:rPr>
        <w:t xml:space="preserve">Nytt siste ledd: </w:t>
      </w:r>
    </w:p>
    <w:p w:rsidR="00027213" w:rsidRPr="004A5754" w:rsidRDefault="000018A8" w:rsidP="000018A8">
      <w:r w:rsidRPr="004A5754">
        <w:rPr>
          <w:iCs/>
        </w:rPr>
        <w:t>Ved ansettelse på innstegsvilkår gjelder ikke tredje til syvende ledd.</w:t>
      </w:r>
    </w:p>
    <w:sectPr w:rsidR="00027213" w:rsidRPr="004A5754" w:rsidSect="001C7D8F">
      <w:pgSz w:w="11907" w:h="16840" w:code="9"/>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97B01"/>
    <w:multiLevelType w:val="hybridMultilevel"/>
    <w:tmpl w:val="63FAEAF6"/>
    <w:lvl w:ilvl="0" w:tplc="04140017">
      <w:start w:val="1"/>
      <w:numFmt w:val="lowerLetter"/>
      <w:lvlText w:val="%1)"/>
      <w:lvlJc w:val="left"/>
      <w:pPr>
        <w:ind w:left="720" w:hanging="360"/>
      </w:pPr>
      <w:rPr>
        <w:rFonts w:ascii="Times New Roman" w:hAnsi="Times New Roman"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F9"/>
    <w:rsid w:val="00001025"/>
    <w:rsid w:val="000018A8"/>
    <w:rsid w:val="00002F6B"/>
    <w:rsid w:val="00013EF1"/>
    <w:rsid w:val="00015F7E"/>
    <w:rsid w:val="00017974"/>
    <w:rsid w:val="00025345"/>
    <w:rsid w:val="00027213"/>
    <w:rsid w:val="00032F51"/>
    <w:rsid w:val="0003322C"/>
    <w:rsid w:val="00034665"/>
    <w:rsid w:val="000373A0"/>
    <w:rsid w:val="00055C9E"/>
    <w:rsid w:val="000611CE"/>
    <w:rsid w:val="000904FA"/>
    <w:rsid w:val="00094D84"/>
    <w:rsid w:val="000A6A0D"/>
    <w:rsid w:val="000D0845"/>
    <w:rsid w:val="000D0997"/>
    <w:rsid w:val="000D62B0"/>
    <w:rsid w:val="000D78C0"/>
    <w:rsid w:val="000E400A"/>
    <w:rsid w:val="000E45F2"/>
    <w:rsid w:val="000F30B7"/>
    <w:rsid w:val="000F49DD"/>
    <w:rsid w:val="00106FEC"/>
    <w:rsid w:val="0011065A"/>
    <w:rsid w:val="0012492A"/>
    <w:rsid w:val="00125764"/>
    <w:rsid w:val="001304C5"/>
    <w:rsid w:val="00133B9F"/>
    <w:rsid w:val="00142AD4"/>
    <w:rsid w:val="00144741"/>
    <w:rsid w:val="001457F4"/>
    <w:rsid w:val="00147E16"/>
    <w:rsid w:val="0015144F"/>
    <w:rsid w:val="001566F1"/>
    <w:rsid w:val="00160FCA"/>
    <w:rsid w:val="00176166"/>
    <w:rsid w:val="001816F5"/>
    <w:rsid w:val="00181C72"/>
    <w:rsid w:val="00181DE4"/>
    <w:rsid w:val="00185097"/>
    <w:rsid w:val="001866DE"/>
    <w:rsid w:val="00190C87"/>
    <w:rsid w:val="00194B72"/>
    <w:rsid w:val="001B0FAF"/>
    <w:rsid w:val="001B1129"/>
    <w:rsid w:val="001B7DA6"/>
    <w:rsid w:val="001C76E4"/>
    <w:rsid w:val="001C7D8F"/>
    <w:rsid w:val="001E2921"/>
    <w:rsid w:val="001E69CC"/>
    <w:rsid w:val="00202060"/>
    <w:rsid w:val="0022115E"/>
    <w:rsid w:val="00221516"/>
    <w:rsid w:val="002242FE"/>
    <w:rsid w:val="00235A8D"/>
    <w:rsid w:val="00244B98"/>
    <w:rsid w:val="00271D5C"/>
    <w:rsid w:val="00271D9D"/>
    <w:rsid w:val="00280542"/>
    <w:rsid w:val="00282D38"/>
    <w:rsid w:val="0028682D"/>
    <w:rsid w:val="00296B2E"/>
    <w:rsid w:val="002A2DC0"/>
    <w:rsid w:val="002B3AC7"/>
    <w:rsid w:val="002B7C69"/>
    <w:rsid w:val="002D0149"/>
    <w:rsid w:val="002D1246"/>
    <w:rsid w:val="002E58D9"/>
    <w:rsid w:val="002F6D5D"/>
    <w:rsid w:val="00300DDE"/>
    <w:rsid w:val="003070A3"/>
    <w:rsid w:val="003107A3"/>
    <w:rsid w:val="003108C1"/>
    <w:rsid w:val="0031225E"/>
    <w:rsid w:val="0032036E"/>
    <w:rsid w:val="00323172"/>
    <w:rsid w:val="0035160D"/>
    <w:rsid w:val="00365F81"/>
    <w:rsid w:val="00373882"/>
    <w:rsid w:val="00377324"/>
    <w:rsid w:val="00382878"/>
    <w:rsid w:val="003A045D"/>
    <w:rsid w:val="003B214E"/>
    <w:rsid w:val="003B5277"/>
    <w:rsid w:val="003C56DB"/>
    <w:rsid w:val="003C7E5A"/>
    <w:rsid w:val="003E1FAE"/>
    <w:rsid w:val="003E2EBA"/>
    <w:rsid w:val="003E493F"/>
    <w:rsid w:val="003F0BF9"/>
    <w:rsid w:val="00407D05"/>
    <w:rsid w:val="0042613F"/>
    <w:rsid w:val="0043565C"/>
    <w:rsid w:val="004405D2"/>
    <w:rsid w:val="00441EB6"/>
    <w:rsid w:val="004538D7"/>
    <w:rsid w:val="00455FB7"/>
    <w:rsid w:val="004600E8"/>
    <w:rsid w:val="00460B4E"/>
    <w:rsid w:val="004619A9"/>
    <w:rsid w:val="004836AE"/>
    <w:rsid w:val="00487D9F"/>
    <w:rsid w:val="00490841"/>
    <w:rsid w:val="004922FF"/>
    <w:rsid w:val="00492AB5"/>
    <w:rsid w:val="00497E39"/>
    <w:rsid w:val="004A3DD3"/>
    <w:rsid w:val="004A5754"/>
    <w:rsid w:val="004B386B"/>
    <w:rsid w:val="004B3D28"/>
    <w:rsid w:val="004B4187"/>
    <w:rsid w:val="004C5FC8"/>
    <w:rsid w:val="004D653A"/>
    <w:rsid w:val="005018B1"/>
    <w:rsid w:val="00514F97"/>
    <w:rsid w:val="00521E2D"/>
    <w:rsid w:val="00525E10"/>
    <w:rsid w:val="00535104"/>
    <w:rsid w:val="005353A6"/>
    <w:rsid w:val="005368A1"/>
    <w:rsid w:val="005376A2"/>
    <w:rsid w:val="00540849"/>
    <w:rsid w:val="0054246B"/>
    <w:rsid w:val="00547C94"/>
    <w:rsid w:val="005529BC"/>
    <w:rsid w:val="00552F29"/>
    <w:rsid w:val="005573EE"/>
    <w:rsid w:val="005849D7"/>
    <w:rsid w:val="0059002B"/>
    <w:rsid w:val="005A4DBA"/>
    <w:rsid w:val="005A6633"/>
    <w:rsid w:val="005E2608"/>
    <w:rsid w:val="005E5A70"/>
    <w:rsid w:val="005F721B"/>
    <w:rsid w:val="00616121"/>
    <w:rsid w:val="00633A22"/>
    <w:rsid w:val="0064143C"/>
    <w:rsid w:val="00645F66"/>
    <w:rsid w:val="00651954"/>
    <w:rsid w:val="00663A61"/>
    <w:rsid w:val="00666387"/>
    <w:rsid w:val="00671436"/>
    <w:rsid w:val="00677EE2"/>
    <w:rsid w:val="006820F7"/>
    <w:rsid w:val="006939F2"/>
    <w:rsid w:val="006E1D33"/>
    <w:rsid w:val="006F5A24"/>
    <w:rsid w:val="0070769C"/>
    <w:rsid w:val="00710008"/>
    <w:rsid w:val="00734B02"/>
    <w:rsid w:val="00744213"/>
    <w:rsid w:val="0074744A"/>
    <w:rsid w:val="007507C3"/>
    <w:rsid w:val="00753484"/>
    <w:rsid w:val="00755500"/>
    <w:rsid w:val="00764637"/>
    <w:rsid w:val="0078461D"/>
    <w:rsid w:val="0079167A"/>
    <w:rsid w:val="007968EC"/>
    <w:rsid w:val="007A1B09"/>
    <w:rsid w:val="007A1E2D"/>
    <w:rsid w:val="007B696C"/>
    <w:rsid w:val="007C4467"/>
    <w:rsid w:val="007E203B"/>
    <w:rsid w:val="007F2902"/>
    <w:rsid w:val="007F69CF"/>
    <w:rsid w:val="0081033B"/>
    <w:rsid w:val="008142A1"/>
    <w:rsid w:val="008307E2"/>
    <w:rsid w:val="00834903"/>
    <w:rsid w:val="00843300"/>
    <w:rsid w:val="00845350"/>
    <w:rsid w:val="00855897"/>
    <w:rsid w:val="008B03FA"/>
    <w:rsid w:val="008B230D"/>
    <w:rsid w:val="008B2ABD"/>
    <w:rsid w:val="008B4B0D"/>
    <w:rsid w:val="008D6923"/>
    <w:rsid w:val="008E0BE6"/>
    <w:rsid w:val="008F3FC3"/>
    <w:rsid w:val="008F6710"/>
    <w:rsid w:val="00912791"/>
    <w:rsid w:val="00917CB4"/>
    <w:rsid w:val="00921322"/>
    <w:rsid w:val="00943131"/>
    <w:rsid w:val="00957AFB"/>
    <w:rsid w:val="00975920"/>
    <w:rsid w:val="00977AF2"/>
    <w:rsid w:val="00981459"/>
    <w:rsid w:val="00987365"/>
    <w:rsid w:val="009902D4"/>
    <w:rsid w:val="009941F1"/>
    <w:rsid w:val="009963B0"/>
    <w:rsid w:val="00997578"/>
    <w:rsid w:val="009B1358"/>
    <w:rsid w:val="009B65E2"/>
    <w:rsid w:val="009C7021"/>
    <w:rsid w:val="009D2967"/>
    <w:rsid w:val="009F3163"/>
    <w:rsid w:val="009F5AE6"/>
    <w:rsid w:val="00A10CA4"/>
    <w:rsid w:val="00A137D6"/>
    <w:rsid w:val="00A2039D"/>
    <w:rsid w:val="00A32965"/>
    <w:rsid w:val="00A41E08"/>
    <w:rsid w:val="00A4341A"/>
    <w:rsid w:val="00A517F3"/>
    <w:rsid w:val="00A51D58"/>
    <w:rsid w:val="00A52B74"/>
    <w:rsid w:val="00A5745F"/>
    <w:rsid w:val="00A6097D"/>
    <w:rsid w:val="00A77931"/>
    <w:rsid w:val="00A9104D"/>
    <w:rsid w:val="00AA1C7D"/>
    <w:rsid w:val="00AC07B9"/>
    <w:rsid w:val="00AD26B2"/>
    <w:rsid w:val="00AD6EF4"/>
    <w:rsid w:val="00AE3AC8"/>
    <w:rsid w:val="00AE3D9D"/>
    <w:rsid w:val="00B17D41"/>
    <w:rsid w:val="00B2138D"/>
    <w:rsid w:val="00B30DDB"/>
    <w:rsid w:val="00B35CA6"/>
    <w:rsid w:val="00B50549"/>
    <w:rsid w:val="00B512D9"/>
    <w:rsid w:val="00B723AC"/>
    <w:rsid w:val="00B74FC0"/>
    <w:rsid w:val="00B80421"/>
    <w:rsid w:val="00B83828"/>
    <w:rsid w:val="00B87D1E"/>
    <w:rsid w:val="00BA2B91"/>
    <w:rsid w:val="00BA4E92"/>
    <w:rsid w:val="00BA68BE"/>
    <w:rsid w:val="00BB5098"/>
    <w:rsid w:val="00BD7582"/>
    <w:rsid w:val="00C21252"/>
    <w:rsid w:val="00C24534"/>
    <w:rsid w:val="00C351B1"/>
    <w:rsid w:val="00C36DFB"/>
    <w:rsid w:val="00C45B61"/>
    <w:rsid w:val="00C54573"/>
    <w:rsid w:val="00C56599"/>
    <w:rsid w:val="00C62D10"/>
    <w:rsid w:val="00C63883"/>
    <w:rsid w:val="00C6536D"/>
    <w:rsid w:val="00C84CAC"/>
    <w:rsid w:val="00C96D34"/>
    <w:rsid w:val="00CA2751"/>
    <w:rsid w:val="00CC6F64"/>
    <w:rsid w:val="00CD1DB7"/>
    <w:rsid w:val="00CD2AB0"/>
    <w:rsid w:val="00CD31C3"/>
    <w:rsid w:val="00CD37EE"/>
    <w:rsid w:val="00CD4785"/>
    <w:rsid w:val="00CD5D58"/>
    <w:rsid w:val="00CE0635"/>
    <w:rsid w:val="00CE4A98"/>
    <w:rsid w:val="00D006DC"/>
    <w:rsid w:val="00D10655"/>
    <w:rsid w:val="00D140F1"/>
    <w:rsid w:val="00D14A4A"/>
    <w:rsid w:val="00D42777"/>
    <w:rsid w:val="00D4435E"/>
    <w:rsid w:val="00D57A7B"/>
    <w:rsid w:val="00D72853"/>
    <w:rsid w:val="00D734C5"/>
    <w:rsid w:val="00D75ED7"/>
    <w:rsid w:val="00D93329"/>
    <w:rsid w:val="00DA6269"/>
    <w:rsid w:val="00DB29C3"/>
    <w:rsid w:val="00DB50CB"/>
    <w:rsid w:val="00DC0275"/>
    <w:rsid w:val="00DC7D1F"/>
    <w:rsid w:val="00DD324B"/>
    <w:rsid w:val="00DE0B3C"/>
    <w:rsid w:val="00DE30AA"/>
    <w:rsid w:val="00DF03CF"/>
    <w:rsid w:val="00DF25F1"/>
    <w:rsid w:val="00E140F7"/>
    <w:rsid w:val="00E14DD4"/>
    <w:rsid w:val="00E15243"/>
    <w:rsid w:val="00E17621"/>
    <w:rsid w:val="00E30D5E"/>
    <w:rsid w:val="00E357DF"/>
    <w:rsid w:val="00E41F69"/>
    <w:rsid w:val="00E54501"/>
    <w:rsid w:val="00E60376"/>
    <w:rsid w:val="00E73D39"/>
    <w:rsid w:val="00E75E00"/>
    <w:rsid w:val="00E81B14"/>
    <w:rsid w:val="00E829AB"/>
    <w:rsid w:val="00E8570C"/>
    <w:rsid w:val="00E85E5B"/>
    <w:rsid w:val="00E90A74"/>
    <w:rsid w:val="00E92E08"/>
    <w:rsid w:val="00EA2412"/>
    <w:rsid w:val="00EA5924"/>
    <w:rsid w:val="00EB7F18"/>
    <w:rsid w:val="00ED5984"/>
    <w:rsid w:val="00EE0896"/>
    <w:rsid w:val="00EE2F3F"/>
    <w:rsid w:val="00EE4FB3"/>
    <w:rsid w:val="00EE77F0"/>
    <w:rsid w:val="00F2393D"/>
    <w:rsid w:val="00F24DB2"/>
    <w:rsid w:val="00F34F3E"/>
    <w:rsid w:val="00F3528A"/>
    <w:rsid w:val="00F358EF"/>
    <w:rsid w:val="00F62528"/>
    <w:rsid w:val="00F752EA"/>
    <w:rsid w:val="00F77C80"/>
    <w:rsid w:val="00F83978"/>
    <w:rsid w:val="00F91908"/>
    <w:rsid w:val="00FB3954"/>
    <w:rsid w:val="00FB7F44"/>
    <w:rsid w:val="00FE7146"/>
    <w:rsid w:val="00FF12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35D2A9-71DC-4B41-9C0C-7C1F68E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D8F"/>
    <w:rPr>
      <w:sz w:val="24"/>
      <w:lang w:eastAsia="en-US"/>
    </w:rPr>
  </w:style>
  <w:style w:type="paragraph" w:styleId="Overskrift1">
    <w:name w:val="heading 1"/>
    <w:basedOn w:val="Normal"/>
    <w:next w:val="Normal"/>
    <w:qFormat/>
    <w:rsid w:val="000E45F2"/>
    <w:pPr>
      <w:keepNext/>
      <w:spacing w:before="240" w:after="60"/>
      <w:outlineLvl w:val="0"/>
    </w:pPr>
    <w:rPr>
      <w:rFonts w:ascii="Arial" w:hAnsi="Arial" w:cs="Arial"/>
      <w:b/>
      <w:bCs/>
      <w:kern w:val="32"/>
      <w:sz w:val="32"/>
      <w:szCs w:val="32"/>
    </w:rPr>
  </w:style>
  <w:style w:type="paragraph" w:styleId="Overskrift3">
    <w:name w:val="heading 3"/>
    <w:basedOn w:val="Normal"/>
    <w:next w:val="Normal"/>
    <w:qFormat/>
    <w:rsid w:val="000E45F2"/>
    <w:pPr>
      <w:keepNext/>
      <w:spacing w:before="240" w:after="60"/>
      <w:outlineLvl w:val="2"/>
    </w:pPr>
    <w:rPr>
      <w:rFonts w:ascii="Arial" w:hAnsi="Arial" w:cs="Arial"/>
      <w:b/>
      <w:bCs/>
      <w:szCs w:val="26"/>
    </w:rPr>
  </w:style>
  <w:style w:type="paragraph" w:styleId="Overskrift6">
    <w:name w:val="heading 6"/>
    <w:basedOn w:val="Normal"/>
    <w:next w:val="Normal"/>
    <w:qFormat/>
    <w:rsid w:val="001C7D8F"/>
    <w:pPr>
      <w:spacing w:before="240" w:after="60"/>
      <w:outlineLvl w:val="5"/>
    </w:pPr>
    <w:rPr>
      <w:i/>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42AD4"/>
    <w:pPr>
      <w:ind w:left="720"/>
      <w:contextualSpacing/>
    </w:pPr>
  </w:style>
  <w:style w:type="paragraph" w:customStyle="1" w:styleId="Default">
    <w:name w:val="Default"/>
    <w:rsid w:val="00142AD4"/>
    <w:pPr>
      <w:autoSpaceDE w:val="0"/>
      <w:autoSpaceDN w:val="0"/>
      <w:adjustRightInd w:val="0"/>
    </w:pPr>
    <w:rPr>
      <w:color w:val="000000"/>
      <w:sz w:val="24"/>
      <w:szCs w:val="24"/>
    </w:rPr>
  </w:style>
  <w:style w:type="paragraph" w:styleId="Bobletekst">
    <w:name w:val="Balloon Text"/>
    <w:basedOn w:val="Normal"/>
    <w:link w:val="BobletekstTegn"/>
    <w:uiPriority w:val="99"/>
    <w:semiHidden/>
    <w:unhideWhenUsed/>
    <w:rsid w:val="004A5754"/>
    <w:rPr>
      <w:rFonts w:ascii="Tahoma" w:hAnsi="Tahoma" w:cs="Tahoma"/>
      <w:sz w:val="16"/>
      <w:szCs w:val="16"/>
    </w:rPr>
  </w:style>
  <w:style w:type="character" w:customStyle="1" w:styleId="BobletekstTegn">
    <w:name w:val="Bobletekst Tegn"/>
    <w:basedOn w:val="Standardskriftforavsnitt"/>
    <w:link w:val="Bobletekst"/>
    <w:uiPriority w:val="99"/>
    <w:semiHidden/>
    <w:rsid w:val="004A575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1049</Words>
  <Characters>6522</Characters>
  <Application>Microsoft Office Word</Application>
  <DocSecurity>4</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Trodal</dc:creator>
  <cp:lastModifiedBy>Edith Marlene Søndre</cp:lastModifiedBy>
  <cp:revision>2</cp:revision>
  <dcterms:created xsi:type="dcterms:W3CDTF">2018-01-24T11:56:00Z</dcterms:created>
  <dcterms:modified xsi:type="dcterms:W3CDTF">2018-01-24T11:56:00Z</dcterms:modified>
</cp:coreProperties>
</file>