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78" w:rsidRPr="00B81876" w:rsidRDefault="00274749">
      <w:pPr>
        <w:pStyle w:val="Hode"/>
        <w:tabs>
          <w:tab w:val="right" w:pos="9809"/>
        </w:tabs>
        <w:spacing w:line="240" w:lineRule="exact"/>
        <w:rPr>
          <w:b/>
        </w:rPr>
      </w:pPr>
      <w:bookmarkStart w:id="0" w:name="_GoBack"/>
      <w:bookmarkEnd w:id="0"/>
      <w:r>
        <w:rPr>
          <w:b/>
        </w:rPr>
        <w:t>NTNU</w:t>
      </w:r>
      <w:r>
        <w:rPr>
          <w:b/>
        </w:rPr>
        <w:tab/>
        <w:t>O</w:t>
      </w:r>
      <w:r w:rsidR="00996C78" w:rsidRPr="00B81876">
        <w:rPr>
          <w:b/>
        </w:rPr>
        <w:t xml:space="preserve">-sak </w:t>
      </w:r>
      <w:bookmarkStart w:id="1" w:name="Ksak"/>
      <w:bookmarkEnd w:id="1"/>
      <w:r w:rsidR="00327910">
        <w:rPr>
          <w:b/>
        </w:rPr>
        <w:t>10/19</w:t>
      </w:r>
    </w:p>
    <w:p w:rsidR="00996C78" w:rsidRPr="00B81876" w:rsidRDefault="00996C78">
      <w:pPr>
        <w:pStyle w:val="Hode"/>
        <w:tabs>
          <w:tab w:val="right" w:pos="9809"/>
        </w:tabs>
        <w:spacing w:line="240" w:lineRule="exact"/>
        <w:rPr>
          <w:b/>
        </w:rPr>
      </w:pPr>
      <w:r w:rsidRPr="00B81876">
        <w:rPr>
          <w:b/>
        </w:rPr>
        <w:t>Norges teknisk-naturvitenskapelige</w:t>
      </w:r>
    </w:p>
    <w:p w:rsidR="00996C78" w:rsidRPr="00B81876" w:rsidRDefault="00996C78">
      <w:pPr>
        <w:pStyle w:val="Hode"/>
        <w:tabs>
          <w:tab w:val="right" w:pos="9809"/>
        </w:tabs>
        <w:spacing w:line="240" w:lineRule="exact"/>
        <w:rPr>
          <w:b/>
        </w:rPr>
      </w:pPr>
      <w:r w:rsidRPr="00B81876">
        <w:rPr>
          <w:b/>
        </w:rPr>
        <w:t>universitet</w:t>
      </w:r>
    </w:p>
    <w:p w:rsidR="00996C78" w:rsidRPr="00B81876" w:rsidRDefault="00F43233">
      <w:pPr>
        <w:tabs>
          <w:tab w:val="right" w:pos="9809"/>
        </w:tabs>
      </w:pPr>
      <w:bookmarkStart w:id="2" w:name="Dato"/>
      <w:bookmarkStart w:id="3" w:name="Init"/>
      <w:bookmarkEnd w:id="2"/>
      <w:bookmarkEnd w:id="3"/>
      <w:r>
        <w:t>20</w:t>
      </w:r>
      <w:r w:rsidR="003A0FC0">
        <w:t>.0</w:t>
      </w:r>
      <w:r>
        <w:t>2.2019</w:t>
      </w:r>
    </w:p>
    <w:p w:rsidR="00996C78" w:rsidRPr="00F001D3" w:rsidRDefault="00EC45FE">
      <w:pPr>
        <w:pStyle w:val="Hode"/>
        <w:tabs>
          <w:tab w:val="right" w:pos="9809"/>
        </w:tabs>
        <w:spacing w:line="240" w:lineRule="exact"/>
      </w:pPr>
      <w:r w:rsidRPr="00F001D3">
        <w:t>Saksansvarlig:  Frank Arntsen</w:t>
      </w:r>
    </w:p>
    <w:p w:rsidR="00996C78" w:rsidRPr="00F001D3" w:rsidRDefault="00EC45FE">
      <w:pPr>
        <w:pStyle w:val="Hode"/>
        <w:tabs>
          <w:tab w:val="right" w:pos="9809"/>
        </w:tabs>
        <w:spacing w:line="240" w:lineRule="exact"/>
      </w:pPr>
      <w:r w:rsidRPr="00F001D3">
        <w:t>Sa</w:t>
      </w:r>
      <w:r w:rsidR="006929B2">
        <w:t xml:space="preserve">ksbehandler: </w:t>
      </w:r>
      <w:r w:rsidR="00B81876">
        <w:t xml:space="preserve">Hanne Bergfjord </w:t>
      </w:r>
    </w:p>
    <w:p w:rsidR="00996C78" w:rsidRPr="00F001D3" w:rsidRDefault="00996C78">
      <w:pPr>
        <w:pStyle w:val="Hode"/>
        <w:tabs>
          <w:tab w:val="right" w:pos="9809"/>
        </w:tabs>
        <w:spacing w:line="240" w:lineRule="exact"/>
      </w:pPr>
    </w:p>
    <w:p w:rsidR="00996C78" w:rsidRDefault="00996C78">
      <w:pPr>
        <w:pStyle w:val="Hode"/>
        <w:tabs>
          <w:tab w:val="right" w:pos="9809"/>
        </w:tabs>
        <w:spacing w:line="240" w:lineRule="exact"/>
      </w:pPr>
    </w:p>
    <w:p w:rsidR="00996C78" w:rsidRPr="00EC45FE" w:rsidRDefault="00996C78">
      <w:pPr>
        <w:tabs>
          <w:tab w:val="right" w:pos="9809"/>
        </w:tabs>
        <w:jc w:val="center"/>
        <w:rPr>
          <w:b/>
          <w:sz w:val="26"/>
        </w:rPr>
      </w:pPr>
      <w:r w:rsidRPr="00EC45FE">
        <w:rPr>
          <w:b/>
          <w:sz w:val="26"/>
        </w:rPr>
        <w:t>N O T A T</w:t>
      </w:r>
    </w:p>
    <w:p w:rsidR="00996C78" w:rsidRPr="00EC45FE" w:rsidRDefault="00996C78">
      <w:pPr>
        <w:tabs>
          <w:tab w:val="right" w:pos="9809"/>
        </w:tabs>
        <w:rPr>
          <w:b/>
        </w:rPr>
      </w:pPr>
    </w:p>
    <w:p w:rsidR="0031275D" w:rsidRDefault="00996C78">
      <w:pPr>
        <w:tabs>
          <w:tab w:val="left" w:pos="567"/>
          <w:tab w:val="right" w:pos="9809"/>
        </w:tabs>
      </w:pPr>
      <w:r>
        <w:t>Til:</w:t>
      </w:r>
      <w:r>
        <w:tab/>
      </w:r>
      <w:r w:rsidR="004E7864">
        <w:t>Styret</w:t>
      </w:r>
      <w:r w:rsidR="00BD0AF3">
        <w:tab/>
      </w:r>
    </w:p>
    <w:p w:rsidR="00996C78" w:rsidRDefault="00996C78">
      <w:pPr>
        <w:tabs>
          <w:tab w:val="left" w:pos="567"/>
          <w:tab w:val="right" w:pos="9809"/>
        </w:tabs>
      </w:pPr>
      <w:r>
        <w:t>Fra:</w:t>
      </w:r>
      <w:r>
        <w:tab/>
      </w:r>
      <w:r w:rsidR="00FC4EEF">
        <w:t>Rektor</w:t>
      </w:r>
    </w:p>
    <w:p w:rsidR="00996C78" w:rsidRDefault="00996C78">
      <w:pPr>
        <w:tabs>
          <w:tab w:val="left" w:pos="567"/>
          <w:tab w:val="right" w:pos="9809"/>
        </w:tabs>
        <w:ind w:left="567" w:hanging="567"/>
        <w:rPr>
          <w:b/>
        </w:rPr>
      </w:pPr>
      <w:r>
        <w:rPr>
          <w:b/>
        </w:rPr>
        <w:t>Om:</w:t>
      </w:r>
      <w:r>
        <w:rPr>
          <w:b/>
        </w:rPr>
        <w:tab/>
      </w:r>
      <w:bookmarkStart w:id="4" w:name="Om"/>
      <w:bookmarkEnd w:id="4"/>
      <w:r w:rsidR="00641DA0">
        <w:rPr>
          <w:b/>
        </w:rPr>
        <w:t>Oppsummering av intern</w:t>
      </w:r>
      <w:r w:rsidR="002D3D69">
        <w:rPr>
          <w:b/>
        </w:rPr>
        <w:t>regnskap 201</w:t>
      </w:r>
      <w:r w:rsidR="00F43233">
        <w:rPr>
          <w:b/>
        </w:rPr>
        <w:t>8</w:t>
      </w:r>
      <w:r w:rsidR="00DD3568">
        <w:rPr>
          <w:b/>
        </w:rPr>
        <w:t xml:space="preserve"> og</w:t>
      </w:r>
      <w:r w:rsidR="00EE0A05">
        <w:rPr>
          <w:b/>
        </w:rPr>
        <w:t xml:space="preserve"> </w:t>
      </w:r>
      <w:r w:rsidR="00B80C20">
        <w:rPr>
          <w:b/>
        </w:rPr>
        <w:t xml:space="preserve">budsjett </w:t>
      </w:r>
      <w:r w:rsidR="00060905">
        <w:rPr>
          <w:b/>
        </w:rPr>
        <w:t>201</w:t>
      </w:r>
      <w:r w:rsidR="00F43233">
        <w:rPr>
          <w:b/>
        </w:rPr>
        <w:t>9</w:t>
      </w:r>
      <w:r w:rsidR="00EE0A05">
        <w:rPr>
          <w:b/>
        </w:rPr>
        <w:t xml:space="preserve"> </w:t>
      </w:r>
    </w:p>
    <w:p w:rsidR="00996C78" w:rsidRDefault="00996C78">
      <w:pPr>
        <w:tabs>
          <w:tab w:val="left" w:pos="567"/>
          <w:tab w:val="right" w:pos="9809"/>
        </w:tabs>
      </w:pPr>
    </w:p>
    <w:p w:rsidR="00996C78" w:rsidRDefault="00996C78">
      <w:pPr>
        <w:pBdr>
          <w:top w:val="single" w:sz="6" w:space="1" w:color="auto"/>
        </w:pBdr>
      </w:pPr>
    </w:p>
    <w:p w:rsidR="00CE11F4" w:rsidRPr="00D32DD6" w:rsidRDefault="00F7100A" w:rsidP="00CE11F4">
      <w:pPr>
        <w:pStyle w:val="Heading1"/>
      </w:pPr>
      <w:bookmarkStart w:id="5" w:name="Start"/>
      <w:bookmarkEnd w:id="5"/>
      <w:r w:rsidRPr="00D32DD6">
        <w:t>Formål</w:t>
      </w:r>
    </w:p>
    <w:p w:rsidR="00B50C3D" w:rsidRDefault="00FB6B79" w:rsidP="00B50C3D">
      <w:pPr>
        <w:pStyle w:val="ListParagraph"/>
        <w:numPr>
          <w:ilvl w:val="0"/>
          <w:numId w:val="29"/>
        </w:numPr>
      </w:pPr>
      <w:r>
        <w:t xml:space="preserve">Gi styret </w:t>
      </w:r>
      <w:r w:rsidRPr="006C011C">
        <w:t xml:space="preserve">en </w:t>
      </w:r>
      <w:r w:rsidR="00A71BBE">
        <w:t>oppsummering av internregnskap 201</w:t>
      </w:r>
      <w:r w:rsidR="00F43233">
        <w:t>8</w:t>
      </w:r>
      <w:r w:rsidR="00A71BBE">
        <w:t xml:space="preserve"> for NTNU, samt en overordnet vurdering av </w:t>
      </w:r>
      <w:r w:rsidR="00CD5549">
        <w:t xml:space="preserve">den </w:t>
      </w:r>
      <w:r>
        <w:t>økonomisk</w:t>
      </w:r>
      <w:r w:rsidR="00CD5549">
        <w:t>e</w:t>
      </w:r>
      <w:r>
        <w:t xml:space="preserve"> situasjon</w:t>
      </w:r>
      <w:r w:rsidR="00CD5549">
        <w:t>en</w:t>
      </w:r>
      <w:r>
        <w:t xml:space="preserve"> ved inng</w:t>
      </w:r>
      <w:r w:rsidR="00A71BBE">
        <w:t>angen til 201</w:t>
      </w:r>
      <w:r w:rsidR="00F43233">
        <w:t>9</w:t>
      </w:r>
      <w:r w:rsidR="00A71BBE">
        <w:t xml:space="preserve">. </w:t>
      </w:r>
    </w:p>
    <w:p w:rsidR="00FB6B79" w:rsidRDefault="00B50C3D" w:rsidP="00B50C3D">
      <w:pPr>
        <w:pStyle w:val="ListParagraph"/>
        <w:numPr>
          <w:ilvl w:val="0"/>
          <w:numId w:val="29"/>
        </w:numPr>
      </w:pPr>
      <w:r>
        <w:t xml:space="preserve">Gi en </w:t>
      </w:r>
      <w:r w:rsidR="00FB6B79">
        <w:t>orientering om budsjett 201</w:t>
      </w:r>
      <w:r w:rsidR="00F43233">
        <w:t>9</w:t>
      </w:r>
      <w:r w:rsidR="00EE0A05">
        <w:t xml:space="preserve"> </w:t>
      </w:r>
      <w:r w:rsidR="00CD5549">
        <w:t>med tilhørende</w:t>
      </w:r>
      <w:r w:rsidR="00EE0A05">
        <w:t xml:space="preserve"> risiki og tiltak.</w:t>
      </w:r>
    </w:p>
    <w:p w:rsidR="0026782D" w:rsidRPr="006C011C" w:rsidRDefault="0026782D" w:rsidP="0026782D">
      <w:pPr>
        <w:pStyle w:val="ListParagraph"/>
      </w:pPr>
    </w:p>
    <w:p w:rsidR="002D3D69" w:rsidRPr="00EF3789" w:rsidRDefault="00167A13" w:rsidP="00EF3789">
      <w:pPr>
        <w:pStyle w:val="Heading1"/>
        <w:rPr>
          <w:i/>
          <w:sz w:val="28"/>
          <w:szCs w:val="28"/>
          <w:u w:val="none"/>
        </w:rPr>
      </w:pPr>
      <w:r w:rsidRPr="00EF3789">
        <w:rPr>
          <w:i/>
          <w:sz w:val="28"/>
          <w:szCs w:val="28"/>
          <w:u w:val="none"/>
        </w:rPr>
        <w:t xml:space="preserve">Oppsummering </w:t>
      </w:r>
      <w:r w:rsidR="00EF3789" w:rsidRPr="00EF3789">
        <w:rPr>
          <w:i/>
          <w:sz w:val="28"/>
          <w:szCs w:val="28"/>
          <w:u w:val="none"/>
        </w:rPr>
        <w:t>av kapitlene i saken</w:t>
      </w:r>
    </w:p>
    <w:p w:rsidR="00570347" w:rsidRPr="00570347" w:rsidRDefault="00570347" w:rsidP="00480930">
      <w:pPr>
        <w:rPr>
          <w:i/>
        </w:rPr>
      </w:pPr>
    </w:p>
    <w:p w:rsidR="00570347" w:rsidRDefault="00570347" w:rsidP="00EF3789">
      <w:pPr>
        <w:pStyle w:val="ListParagraph"/>
        <w:numPr>
          <w:ilvl w:val="0"/>
          <w:numId w:val="30"/>
        </w:numPr>
        <w:rPr>
          <w:i/>
        </w:rPr>
      </w:pPr>
      <w:r w:rsidRPr="008D65E3">
        <w:rPr>
          <w:i/>
        </w:rPr>
        <w:t xml:space="preserve">Økonomisk situasjon </w:t>
      </w:r>
      <w:r w:rsidR="00F43233">
        <w:rPr>
          <w:i/>
        </w:rPr>
        <w:t>2018</w:t>
      </w:r>
      <w:r w:rsidRPr="008D65E3">
        <w:rPr>
          <w:i/>
        </w:rPr>
        <w:t>- bevilgningsfinansiert aktivitet</w:t>
      </w:r>
    </w:p>
    <w:p w:rsidR="00AC575B" w:rsidRDefault="00AC575B" w:rsidP="00AC575B">
      <w:pPr>
        <w:rPr>
          <w:i/>
        </w:rPr>
      </w:pPr>
    </w:p>
    <w:p w:rsidR="00625B52" w:rsidRDefault="00202A9E" w:rsidP="00A93ECE">
      <w:r>
        <w:t xml:space="preserve">Internregnskapet for 2018 viser at NTNU oppnådde det som var ambisjonsnivået i budsjettet. </w:t>
      </w:r>
      <w:r w:rsidR="00AC575B">
        <w:t>I budsjett for 2018 var det planlagt å bygge ned ubrukte bevilgninger (avsetninger) med 310 mill.kr</w:t>
      </w:r>
      <w:r>
        <w:t>.</w:t>
      </w:r>
      <w:r w:rsidR="00AC575B">
        <w:t xml:space="preserve"> Resultatet </w:t>
      </w:r>
      <w:r w:rsidR="00625B52">
        <w:t xml:space="preserve">ble tilnærmet lik budsjett, og </w:t>
      </w:r>
      <w:r>
        <w:t xml:space="preserve">regnskapet </w:t>
      </w:r>
      <w:r w:rsidR="00625B52">
        <w:t xml:space="preserve">viser en nedbygging på 317 mill.kr, et budsjettavvik på 7 mill.kr. Organisasjonen </w:t>
      </w:r>
      <w:r>
        <w:t>lyktes dermed med</w:t>
      </w:r>
      <w:r w:rsidR="00625B52">
        <w:t xml:space="preserve"> å øke aktivitetsnivået </w:t>
      </w:r>
      <w:r w:rsidR="00C61372">
        <w:t xml:space="preserve">i 2018 </w:t>
      </w:r>
      <w:r>
        <w:t xml:space="preserve">som planlagt, og </w:t>
      </w:r>
      <w:r w:rsidR="00625B52">
        <w:t xml:space="preserve">slik at avsetningsnivået ved utgangen av </w:t>
      </w:r>
      <w:r w:rsidR="00C61372">
        <w:t>året</w:t>
      </w:r>
      <w:r w:rsidR="00625B52">
        <w:t xml:space="preserve"> kom ned til et nivå på 5% av bevilgning</w:t>
      </w:r>
      <w:r>
        <w:t>. D</w:t>
      </w:r>
      <w:r w:rsidR="00C26301">
        <w:t>ette</w:t>
      </w:r>
      <w:r w:rsidR="00625B52">
        <w:t xml:space="preserve"> </w:t>
      </w:r>
      <w:r>
        <w:t>gjør at avsetningsnivået</w:t>
      </w:r>
      <w:r w:rsidR="00625B52">
        <w:t xml:space="preserve"> </w:t>
      </w:r>
      <w:r>
        <w:t xml:space="preserve">ved inngangen til 2019 </w:t>
      </w:r>
      <w:r w:rsidR="00625B52">
        <w:t xml:space="preserve">er innenfor </w:t>
      </w:r>
      <w:r>
        <w:t>den</w:t>
      </w:r>
      <w:r w:rsidR="00625B52">
        <w:t xml:space="preserve"> korridor</w:t>
      </w:r>
      <w:r>
        <w:t>en som styret har fastsatt</w:t>
      </w:r>
      <w:r w:rsidR="00625B52">
        <w:t xml:space="preserve">. </w:t>
      </w:r>
    </w:p>
    <w:p w:rsidR="00625B52" w:rsidRDefault="00625B52" w:rsidP="00A93ECE"/>
    <w:p w:rsidR="00A93ECE" w:rsidRDefault="00625B52" w:rsidP="00A93ECE">
      <w:r>
        <w:t>Ved inngangen til året identifiserte vi flere risikoområder knyttet til gjennomføring av budsjettet for 2018. Disse</w:t>
      </w:r>
      <w:r w:rsidR="00C26301">
        <w:t xml:space="preserve"> risikoområdene</w:t>
      </w:r>
      <w:r>
        <w:t xml:space="preserve"> har blitt fulgt </w:t>
      </w:r>
      <w:r w:rsidR="00C26301">
        <w:t xml:space="preserve">opp </w:t>
      </w:r>
      <w:r>
        <w:t xml:space="preserve">tett gjennom året, og resultatet viser at gjennomføringsevnen </w:t>
      </w:r>
      <w:r w:rsidR="00F35954">
        <w:t xml:space="preserve">på disse områdene </w:t>
      </w:r>
      <w:r>
        <w:t xml:space="preserve">har vært større enn </w:t>
      </w:r>
      <w:r w:rsidR="00C26301">
        <w:t xml:space="preserve">det </w:t>
      </w:r>
      <w:r>
        <w:t xml:space="preserve">prognosene </w:t>
      </w:r>
      <w:r w:rsidR="00C26301">
        <w:t xml:space="preserve">etter 1. og 2. tertial </w:t>
      </w:r>
      <w:r>
        <w:t xml:space="preserve">tilsa. Organisasjonen har med andre ord evnet å </w:t>
      </w:r>
      <w:r w:rsidR="00C26301">
        <w:t>øke</w:t>
      </w:r>
      <w:r>
        <w:t xml:space="preserve"> aktivitetsnivået fra 2017 på en god måte</w:t>
      </w:r>
      <w:r w:rsidR="00C26301">
        <w:t>, og har i 2018 nådd det ambisjonsnivået som var planlagt og budsjettert</w:t>
      </w:r>
      <w:r w:rsidR="00AC575B">
        <w:t xml:space="preserve">. </w:t>
      </w:r>
    </w:p>
    <w:p w:rsidR="00821ADE" w:rsidRPr="00F43233" w:rsidRDefault="00821ADE" w:rsidP="00480930">
      <w:pPr>
        <w:rPr>
          <w:color w:val="808080" w:themeColor="background1" w:themeShade="80"/>
          <w:szCs w:val="22"/>
        </w:rPr>
      </w:pPr>
    </w:p>
    <w:p w:rsidR="00F065F3" w:rsidRPr="00F43233" w:rsidRDefault="00F43233" w:rsidP="00F065F3">
      <w:pPr>
        <w:pStyle w:val="ListParagraph"/>
        <w:numPr>
          <w:ilvl w:val="0"/>
          <w:numId w:val="30"/>
        </w:numPr>
        <w:rPr>
          <w:i/>
        </w:rPr>
      </w:pPr>
      <w:r>
        <w:rPr>
          <w:i/>
        </w:rPr>
        <w:t>BOA-aktiviteten 2018</w:t>
      </w:r>
    </w:p>
    <w:p w:rsidR="00F065F3" w:rsidRPr="00F43233" w:rsidRDefault="00F065F3" w:rsidP="00F065F3">
      <w:pPr>
        <w:rPr>
          <w:i/>
          <w:color w:val="808080" w:themeColor="background1" w:themeShade="80"/>
        </w:rPr>
      </w:pPr>
    </w:p>
    <w:p w:rsidR="00F065F3" w:rsidRDefault="004679A9" w:rsidP="00F065F3">
      <w:r w:rsidRPr="00AC575B">
        <w:t>NTNU har i 201</w:t>
      </w:r>
      <w:r w:rsidR="009D024A" w:rsidRPr="00AC575B">
        <w:t>8</w:t>
      </w:r>
      <w:r w:rsidRPr="00AC575B">
        <w:t xml:space="preserve"> </w:t>
      </w:r>
      <w:r w:rsidR="008F5218" w:rsidRPr="00AC575B">
        <w:t xml:space="preserve">hatt en </w:t>
      </w:r>
      <w:r w:rsidR="00F065F3" w:rsidRPr="00AC575B">
        <w:t>BOA-aktivitet</w:t>
      </w:r>
      <w:r w:rsidR="008F5218" w:rsidRPr="00AC575B">
        <w:rPr>
          <w:rStyle w:val="FootnoteReference"/>
        </w:rPr>
        <w:footnoteReference w:id="2"/>
      </w:r>
      <w:r w:rsidR="00F065F3" w:rsidRPr="00AC575B">
        <w:t xml:space="preserve"> på </w:t>
      </w:r>
      <w:r w:rsidR="009D024A" w:rsidRPr="00AC575B">
        <w:t>ca 2,</w:t>
      </w:r>
      <w:r w:rsidR="00AC575B" w:rsidRPr="00AC575B">
        <w:t>17</w:t>
      </w:r>
      <w:r w:rsidR="00F065F3" w:rsidRPr="00AC575B">
        <w:t xml:space="preserve"> mrd</w:t>
      </w:r>
      <w:r w:rsidR="00495016" w:rsidRPr="00AC575B">
        <w:t>.kr</w:t>
      </w:r>
      <w:r w:rsidR="00F065F3" w:rsidRPr="00AC575B">
        <w:t>, som</w:t>
      </w:r>
      <w:r w:rsidR="00652327" w:rsidRPr="00AC575B">
        <w:t xml:space="preserve"> tilsvarer en </w:t>
      </w:r>
      <w:r w:rsidR="00EE64F6" w:rsidRPr="00AC575B">
        <w:t xml:space="preserve">nominell vekst </w:t>
      </w:r>
      <w:r w:rsidR="001E5756" w:rsidRPr="00AC575B">
        <w:t xml:space="preserve">på </w:t>
      </w:r>
      <w:r w:rsidR="00652327" w:rsidRPr="00AC575B">
        <w:t xml:space="preserve">ca </w:t>
      </w:r>
      <w:r w:rsidR="00AC575B" w:rsidRPr="00AC575B">
        <w:t>6</w:t>
      </w:r>
      <w:r w:rsidR="00652327" w:rsidRPr="00AC575B">
        <w:t>% sammenlignet med 201</w:t>
      </w:r>
      <w:r w:rsidR="00AC575B" w:rsidRPr="00AC575B">
        <w:t>7</w:t>
      </w:r>
      <w:r w:rsidR="00652327" w:rsidRPr="00AC575B">
        <w:t xml:space="preserve">. </w:t>
      </w:r>
      <w:r w:rsidR="00AC575B">
        <w:t xml:space="preserve">Aktivitetsøkningen </w:t>
      </w:r>
      <w:r w:rsidR="00652327" w:rsidRPr="00AC575B">
        <w:t xml:space="preserve">er i </w:t>
      </w:r>
      <w:r w:rsidR="00AC575B">
        <w:t xml:space="preserve">stor grad knyttet til økning samarbeidet med næringslivet. </w:t>
      </w:r>
    </w:p>
    <w:p w:rsidR="00AC575B" w:rsidRDefault="00AC575B" w:rsidP="00F065F3"/>
    <w:p w:rsidR="00FC28C2" w:rsidRPr="00F43233" w:rsidRDefault="00570347" w:rsidP="00F065F3">
      <w:pPr>
        <w:pStyle w:val="ListParagraph"/>
        <w:numPr>
          <w:ilvl w:val="0"/>
          <w:numId w:val="30"/>
        </w:numPr>
        <w:rPr>
          <w:i/>
        </w:rPr>
      </w:pPr>
      <w:r w:rsidRPr="00F43233">
        <w:rPr>
          <w:i/>
        </w:rPr>
        <w:t>Budsjett 201</w:t>
      </w:r>
      <w:r w:rsidR="00F43233" w:rsidRPr="00F43233">
        <w:rPr>
          <w:i/>
        </w:rPr>
        <w:t>9</w:t>
      </w:r>
      <w:r w:rsidRPr="00F43233">
        <w:rPr>
          <w:i/>
        </w:rPr>
        <w:t xml:space="preserve"> –bevilgningsfinansiert aktivitet</w:t>
      </w:r>
      <w:r w:rsidR="00EF3789" w:rsidRPr="00F43233">
        <w:rPr>
          <w:i/>
        </w:rPr>
        <w:t xml:space="preserve"> </w:t>
      </w:r>
    </w:p>
    <w:p w:rsidR="00FC28C2" w:rsidRPr="00F43233" w:rsidRDefault="00FC28C2" w:rsidP="00F065F3">
      <w:pPr>
        <w:pStyle w:val="ListParagraph"/>
        <w:rPr>
          <w:i/>
          <w:color w:val="808080" w:themeColor="background1" w:themeShade="80"/>
        </w:rPr>
      </w:pPr>
    </w:p>
    <w:p w:rsidR="001624FA" w:rsidRDefault="00FC28C2" w:rsidP="00FC28C2">
      <w:r w:rsidRPr="008E2515">
        <w:t>For 201</w:t>
      </w:r>
      <w:r w:rsidR="00A93ECE" w:rsidRPr="008E2515">
        <w:t>9</w:t>
      </w:r>
      <w:r w:rsidRPr="008E2515">
        <w:t xml:space="preserve"> er det planlagt et kostnadsnivå som er </w:t>
      </w:r>
      <w:r w:rsidR="00A93ECE" w:rsidRPr="008E2515">
        <w:t>177</w:t>
      </w:r>
      <w:r w:rsidRPr="008E2515">
        <w:t xml:space="preserve"> mill.kr høyere enn </w:t>
      </w:r>
      <w:r w:rsidR="001A3831" w:rsidRPr="008E2515">
        <w:t>budsjettert bevilgningsnivå</w:t>
      </w:r>
      <w:r w:rsidRPr="008E2515">
        <w:t>, dvs</w:t>
      </w:r>
      <w:r w:rsidR="00174420" w:rsidRPr="008E2515">
        <w:t>.</w:t>
      </w:r>
      <w:r w:rsidRPr="008E2515">
        <w:t xml:space="preserve"> </w:t>
      </w:r>
      <w:r w:rsidR="00AC5CFC">
        <w:t xml:space="preserve">en </w:t>
      </w:r>
      <w:r w:rsidRPr="008E2515">
        <w:t>ytterligere nedbygging av ubrukte bevilgninger.</w:t>
      </w:r>
      <w:r w:rsidR="00AF7A5B" w:rsidRPr="008E2515">
        <w:t xml:space="preserve"> </w:t>
      </w:r>
      <w:r w:rsidR="001624FA">
        <w:t xml:space="preserve">Bakgrunnen for dette er at det </w:t>
      </w:r>
      <w:r w:rsidR="000C2390">
        <w:t>vurderes som</w:t>
      </w:r>
      <w:r w:rsidR="001624FA">
        <w:t xml:space="preserve"> </w:t>
      </w:r>
      <w:r w:rsidR="000C2390">
        <w:t xml:space="preserve">strategisk viktig </w:t>
      </w:r>
      <w:r w:rsidR="00D07E7B">
        <w:t>å videreføre</w:t>
      </w:r>
      <w:r w:rsidR="00D95530">
        <w:t xml:space="preserve"> </w:t>
      </w:r>
      <w:r w:rsidR="001624FA">
        <w:t>de tiltak</w:t>
      </w:r>
      <w:r w:rsidR="00C26301">
        <w:t>ene</w:t>
      </w:r>
      <w:r w:rsidR="001624FA">
        <w:t xml:space="preserve"> </w:t>
      </w:r>
      <w:r w:rsidR="00D07E7B">
        <w:t xml:space="preserve">som </w:t>
      </w:r>
      <w:r w:rsidR="00C26301">
        <w:t xml:space="preserve">er igangsatt </w:t>
      </w:r>
      <w:r w:rsidR="001624FA">
        <w:t xml:space="preserve">knyttet til samlokalisering, digitalisering, </w:t>
      </w:r>
      <w:r w:rsidR="001624FA">
        <w:lastRenderedPageBreak/>
        <w:t xml:space="preserve">planlegging av nytt campusprosjekt og </w:t>
      </w:r>
      <w:r w:rsidR="00D07E7B">
        <w:t>iverksetting</w:t>
      </w:r>
      <w:r w:rsidR="001624FA">
        <w:t xml:space="preserve"> av </w:t>
      </w:r>
      <w:r w:rsidR="00C26301">
        <w:t>NTNUs nye strategi</w:t>
      </w:r>
      <w:r w:rsidR="001624FA">
        <w:t xml:space="preserve">. </w:t>
      </w:r>
      <w:r w:rsidR="000C2390">
        <w:t xml:space="preserve">ABE-kuttet er i 2019 ikke fordelt ut i organisasjonen, bl.a. </w:t>
      </w:r>
      <w:r w:rsidR="00D07E7B">
        <w:t xml:space="preserve">for å redusere opplevde flaskehalser og </w:t>
      </w:r>
      <w:r w:rsidR="000C2390">
        <w:t>i påvente av</w:t>
      </w:r>
      <w:r w:rsidR="001624FA">
        <w:t xml:space="preserve"> et bedre kunnskapsgrunnlag om hvordan </w:t>
      </w:r>
      <w:r w:rsidR="000C2390">
        <w:t>ABE-</w:t>
      </w:r>
      <w:r w:rsidR="001624FA">
        <w:t xml:space="preserve">kuttet bør følges opp på lengre sikt. </w:t>
      </w:r>
      <w:r w:rsidR="002C0110">
        <w:t>Mye av</w:t>
      </w:r>
      <w:r w:rsidR="00D95530">
        <w:t xml:space="preserve"> den planlagte nedbyggingen </w:t>
      </w:r>
      <w:r w:rsidR="000C2390">
        <w:t xml:space="preserve">av avsetningene </w:t>
      </w:r>
      <w:r w:rsidR="00D95530">
        <w:t xml:space="preserve">i 2019 </w:t>
      </w:r>
      <w:r w:rsidR="000C2390">
        <w:t>skj</w:t>
      </w:r>
      <w:r w:rsidR="00D95530">
        <w:t xml:space="preserve">er </w:t>
      </w:r>
      <w:r w:rsidR="000C2390">
        <w:t xml:space="preserve">gjennom forskuttering av aktivitet </w:t>
      </w:r>
      <w:r w:rsidR="002C0110">
        <w:t>igangsatt av Rektor. Det samlede nivået på ubrukte bevilgninger kan da styres gjennom justeringer i de fremtidige bevilgningsfordelingene</w:t>
      </w:r>
      <w:r w:rsidR="002405CC">
        <w:t>.</w:t>
      </w:r>
      <w:r w:rsidR="00D95530">
        <w:t xml:space="preserve"> </w:t>
      </w:r>
    </w:p>
    <w:p w:rsidR="005C2E6D" w:rsidRPr="00F43233" w:rsidRDefault="00763855" w:rsidP="00BD2A0E">
      <w:pPr>
        <w:pStyle w:val="Heading1"/>
        <w:numPr>
          <w:ilvl w:val="0"/>
          <w:numId w:val="28"/>
        </w:numPr>
        <w:rPr>
          <w:sz w:val="28"/>
          <w:szCs w:val="28"/>
          <w:u w:val="none"/>
        </w:rPr>
      </w:pPr>
      <w:r w:rsidRPr="00F43233">
        <w:rPr>
          <w:sz w:val="28"/>
          <w:szCs w:val="28"/>
          <w:u w:val="none"/>
        </w:rPr>
        <w:t>Omtale av internregnskap</w:t>
      </w:r>
      <w:r w:rsidR="00BE1DA4" w:rsidRPr="00F43233">
        <w:rPr>
          <w:sz w:val="28"/>
          <w:szCs w:val="28"/>
          <w:u w:val="none"/>
        </w:rPr>
        <w:t xml:space="preserve"> </w:t>
      </w:r>
      <w:r w:rsidR="00F43233">
        <w:rPr>
          <w:sz w:val="28"/>
          <w:szCs w:val="28"/>
          <w:u w:val="none"/>
        </w:rPr>
        <w:t>2018</w:t>
      </w:r>
      <w:r w:rsidR="00EF3789" w:rsidRPr="00F43233">
        <w:rPr>
          <w:sz w:val="28"/>
          <w:szCs w:val="28"/>
          <w:u w:val="none"/>
        </w:rPr>
        <w:t xml:space="preserve">. </w:t>
      </w:r>
    </w:p>
    <w:p w:rsidR="00BD2A0E" w:rsidRPr="00F43233" w:rsidRDefault="00BD2A0E" w:rsidP="00BD2A0E">
      <w:pPr>
        <w:rPr>
          <w:color w:val="808080" w:themeColor="background1" w:themeShade="80"/>
        </w:rPr>
      </w:pPr>
    </w:p>
    <w:p w:rsidR="008A641A" w:rsidRPr="000337AB" w:rsidRDefault="005518F0" w:rsidP="00480930">
      <w:r w:rsidRPr="000337AB">
        <w:t xml:space="preserve">NTNUs økonomi og internregnskap er todelt. Hoveddelen av aktiviteten er bevilgningsfinansiert (ca </w:t>
      </w:r>
      <w:r w:rsidR="003D58AA" w:rsidRPr="000337AB">
        <w:t>¾)</w:t>
      </w:r>
      <w:r w:rsidRPr="000337AB">
        <w:t xml:space="preserve"> mens den resterende delen er finansiert fra eksterne (bidrags-og oppdragsfinansiert aktivitet, BOA). Den bevilgningsfinansierte delen av økonomien er </w:t>
      </w:r>
      <w:r w:rsidR="003D58AA" w:rsidRPr="000337AB">
        <w:t xml:space="preserve">i all hovedsak </w:t>
      </w:r>
      <w:r w:rsidRPr="000337AB">
        <w:t>rammestyrt, basert på en årlig fordeling av NTNUs bevilgning fra Kunnskapsdepar</w:t>
      </w:r>
      <w:r w:rsidR="003D58AA" w:rsidRPr="000337AB">
        <w:t>tementet.</w:t>
      </w:r>
      <w:r w:rsidRPr="000337AB">
        <w:t xml:space="preserve"> BOA-aktiviteten er søknadsbasert og i </w:t>
      </w:r>
      <w:r w:rsidR="003D58AA" w:rsidRPr="000337AB">
        <w:t xml:space="preserve">sin helhet </w:t>
      </w:r>
      <w:r w:rsidR="001A3831" w:rsidRPr="000337AB">
        <w:t xml:space="preserve">organisert </w:t>
      </w:r>
      <w:r w:rsidR="00D06B9B" w:rsidRPr="000337AB">
        <w:t xml:space="preserve">og gjennomført </w:t>
      </w:r>
      <w:r w:rsidR="001A3831" w:rsidRPr="000337AB">
        <w:t>som</w:t>
      </w:r>
      <w:r w:rsidR="00D06B9B" w:rsidRPr="000337AB">
        <w:t xml:space="preserve"> tidsavgrensede enkelt</w:t>
      </w:r>
      <w:r w:rsidR="003D58AA" w:rsidRPr="000337AB">
        <w:t xml:space="preserve">prosjekter. På bakgrunn av dette følges aktiviteten opp noe </w:t>
      </w:r>
      <w:r w:rsidR="001A3831" w:rsidRPr="000337AB">
        <w:t>forskjellig</w:t>
      </w:r>
      <w:r w:rsidR="003D58AA" w:rsidRPr="000337AB">
        <w:t xml:space="preserve">, og vi velger </w:t>
      </w:r>
      <w:r w:rsidRPr="000337AB">
        <w:t>å om</w:t>
      </w:r>
      <w:r w:rsidR="003D58AA" w:rsidRPr="000337AB">
        <w:t>tale de to delene hver for seg</w:t>
      </w:r>
      <w:r w:rsidRPr="000337AB">
        <w:t>. NTNUs eksternregnskap presenterer summen av disse to økonomiene</w:t>
      </w:r>
      <w:r w:rsidR="003D58AA" w:rsidRPr="000337AB">
        <w:t>. Note 1 i eksternregnskapet spesifiserer inntekt</w:t>
      </w:r>
      <w:r w:rsidR="001A3831" w:rsidRPr="000337AB">
        <w:t>en</w:t>
      </w:r>
      <w:r w:rsidR="003D58AA" w:rsidRPr="000337AB">
        <w:t xml:space="preserve"> fra ulike finansieringskilder</w:t>
      </w:r>
      <w:r w:rsidR="000337AB" w:rsidRPr="000337AB">
        <w:t xml:space="preserve"> nærmere.</w:t>
      </w:r>
    </w:p>
    <w:p w:rsidR="00F76E56" w:rsidRPr="00F43233" w:rsidRDefault="00F76E56" w:rsidP="00480930">
      <w:pPr>
        <w:rPr>
          <w:color w:val="808080" w:themeColor="background1" w:themeShade="80"/>
        </w:rPr>
      </w:pPr>
    </w:p>
    <w:p w:rsidR="00763855" w:rsidRPr="00F43233" w:rsidRDefault="00763855" w:rsidP="00480930">
      <w:pPr>
        <w:rPr>
          <w:b/>
        </w:rPr>
      </w:pPr>
      <w:r w:rsidRPr="00F43233">
        <w:rPr>
          <w:b/>
        </w:rPr>
        <w:t>Resultat bevil</w:t>
      </w:r>
      <w:r w:rsidR="00F43233">
        <w:rPr>
          <w:b/>
        </w:rPr>
        <w:t>gningsfinansiert virksomhet 2018</w:t>
      </w:r>
    </w:p>
    <w:p w:rsidR="00763855" w:rsidRPr="00F43233" w:rsidRDefault="00763855" w:rsidP="00480930">
      <w:pPr>
        <w:rPr>
          <w:color w:val="808080" w:themeColor="background1" w:themeShade="80"/>
        </w:rPr>
      </w:pPr>
    </w:p>
    <w:p w:rsidR="000337AB" w:rsidRDefault="00EA4350" w:rsidP="00BE1DA4">
      <w:pPr>
        <w:rPr>
          <w:szCs w:val="22"/>
        </w:rPr>
      </w:pPr>
      <w:r>
        <w:rPr>
          <w:szCs w:val="22"/>
        </w:rPr>
        <w:t xml:space="preserve">Regnskapet for 2018 viser en nedbygging av ubrukte bevilgninger på 316 mill.kr. Dette er tilnærmet likt budsjett, som tilsa en nedbygging </w:t>
      </w:r>
      <w:r w:rsidR="0044256A">
        <w:rPr>
          <w:szCs w:val="22"/>
        </w:rPr>
        <w:t xml:space="preserve">på </w:t>
      </w:r>
      <w:r>
        <w:rPr>
          <w:szCs w:val="22"/>
        </w:rPr>
        <w:t xml:space="preserve">310 mill.kr. </w:t>
      </w:r>
    </w:p>
    <w:p w:rsidR="00EA4350" w:rsidRDefault="00EA4350" w:rsidP="00BE1DA4">
      <w:pPr>
        <w:rPr>
          <w:szCs w:val="22"/>
        </w:rPr>
      </w:pPr>
    </w:p>
    <w:p w:rsidR="00C01B0F" w:rsidRDefault="00EA4350" w:rsidP="00C01B0F">
      <w:pPr>
        <w:rPr>
          <w:szCs w:val="22"/>
        </w:rPr>
      </w:pPr>
      <w:r>
        <w:rPr>
          <w:szCs w:val="22"/>
        </w:rPr>
        <w:t>NTNU hadde ved inngangen til 2018 et avsetningsnivå på 648 mill.kr, noe som tilsvarte ca 10% av bevilgning</w:t>
      </w:r>
      <w:r w:rsidR="004C033C">
        <w:rPr>
          <w:szCs w:val="22"/>
        </w:rPr>
        <w:t>en</w:t>
      </w:r>
      <w:r>
        <w:rPr>
          <w:szCs w:val="22"/>
        </w:rPr>
        <w:t xml:space="preserve"> fra KD. Det var derfor et helt klart mål å øke aktivitetsnivået i 2018, og bygge ned avsetningsnivået. </w:t>
      </w:r>
      <w:r w:rsidR="00D95530">
        <w:rPr>
          <w:szCs w:val="22"/>
        </w:rPr>
        <w:t xml:space="preserve">Budsjettet for 2018 var en </w:t>
      </w:r>
      <w:r w:rsidR="0044256A">
        <w:rPr>
          <w:szCs w:val="22"/>
        </w:rPr>
        <w:t>nedbygging på 310 mill.kr</w:t>
      </w:r>
      <w:r w:rsidR="00D95530">
        <w:rPr>
          <w:szCs w:val="22"/>
        </w:rPr>
        <w:t xml:space="preserve">, og det ble med det lagt til grunn et </w:t>
      </w:r>
      <w:r w:rsidR="00674D4A">
        <w:rPr>
          <w:szCs w:val="22"/>
        </w:rPr>
        <w:t>kostnadsbudsjett som var ca 8% (600 mill.kr) høyere enn regnskap 2017.</w:t>
      </w:r>
      <w:r w:rsidR="00C01B0F">
        <w:rPr>
          <w:szCs w:val="22"/>
        </w:rPr>
        <w:t xml:space="preserve"> Det har gjennom hele </w:t>
      </w:r>
      <w:r w:rsidR="004C033C">
        <w:rPr>
          <w:szCs w:val="22"/>
        </w:rPr>
        <w:t xml:space="preserve">2018 </w:t>
      </w:r>
      <w:r w:rsidR="00C01B0F">
        <w:rPr>
          <w:szCs w:val="22"/>
        </w:rPr>
        <w:t xml:space="preserve">vært usikkerhet rundt hvorvidt en </w:t>
      </w:r>
      <w:r w:rsidR="004C033C">
        <w:rPr>
          <w:szCs w:val="22"/>
        </w:rPr>
        <w:t xml:space="preserve">så vidt stor </w:t>
      </w:r>
      <w:r w:rsidR="00C01B0F">
        <w:rPr>
          <w:szCs w:val="22"/>
        </w:rPr>
        <w:t>aktivitetsø</w:t>
      </w:r>
      <w:r w:rsidR="00D95530">
        <w:rPr>
          <w:szCs w:val="22"/>
        </w:rPr>
        <w:t xml:space="preserve">kning ville være gjennomførbar, noe resultatet viser at vi lyktes </w:t>
      </w:r>
      <w:r w:rsidR="00D07E7B">
        <w:rPr>
          <w:szCs w:val="22"/>
        </w:rPr>
        <w:t xml:space="preserve">godt </w:t>
      </w:r>
      <w:r w:rsidR="00D95530">
        <w:rPr>
          <w:szCs w:val="22"/>
        </w:rPr>
        <w:t xml:space="preserve">med. </w:t>
      </w:r>
    </w:p>
    <w:p w:rsidR="00846285" w:rsidRPr="00C01B0F" w:rsidRDefault="00846285" w:rsidP="00C01B0F"/>
    <w:p w:rsidR="00AC5CFC" w:rsidRDefault="00C01B0F" w:rsidP="00C01B0F">
      <w:r w:rsidRPr="00C01B0F">
        <w:t xml:space="preserve">Som et tiltak for sikre nedbygging av ubrukte bevilgninger i 2018, besluttet Rektor ved årets start å </w:t>
      </w:r>
      <w:r w:rsidR="00846285">
        <w:t xml:space="preserve">forskuttere fremtidige bevilgninger for </w:t>
      </w:r>
      <w:r w:rsidRPr="00C01B0F">
        <w:t>totalt 150 mill.kr ekstra til investeringer; 70 mill.kr til forskningsinfrastruktur og avansert vitenskapelig utstyr, 50 mill.kr til digitaliseringstiltak, 20 mill.kr til audiovisuelt utstyr og 10 mill.kr til blant annet tiltak innenfor nyskaping og innovasjon.</w:t>
      </w:r>
      <w:r>
        <w:t xml:space="preserve"> </w:t>
      </w:r>
    </w:p>
    <w:p w:rsidR="00AC5CFC" w:rsidRDefault="00AC5CFC" w:rsidP="00C01B0F"/>
    <w:p w:rsidR="00C01B0F" w:rsidRDefault="004C033C" w:rsidP="00C01B0F">
      <w:pPr>
        <w:rPr>
          <w:szCs w:val="22"/>
        </w:rPr>
      </w:pPr>
      <w:r>
        <w:t>Det høye</w:t>
      </w:r>
      <w:r w:rsidR="00C01B0F">
        <w:t xml:space="preserve"> planlagte </w:t>
      </w:r>
      <w:r w:rsidR="00C01B0F">
        <w:rPr>
          <w:szCs w:val="22"/>
        </w:rPr>
        <w:t xml:space="preserve">investeringsnivået gjorde at kapasiteten hos den sentrale innkjøpsgruppa ble </w:t>
      </w:r>
      <w:r>
        <w:rPr>
          <w:szCs w:val="22"/>
        </w:rPr>
        <w:t xml:space="preserve">identifisert som </w:t>
      </w:r>
      <w:r w:rsidR="00C01B0F">
        <w:rPr>
          <w:szCs w:val="22"/>
        </w:rPr>
        <w:t xml:space="preserve">en kritisk </w:t>
      </w:r>
      <w:r>
        <w:rPr>
          <w:szCs w:val="22"/>
        </w:rPr>
        <w:t>risiko</w:t>
      </w:r>
      <w:r w:rsidR="00C01B0F">
        <w:rPr>
          <w:szCs w:val="22"/>
        </w:rPr>
        <w:t xml:space="preserve">faktor. </w:t>
      </w:r>
      <w:r>
        <w:rPr>
          <w:szCs w:val="22"/>
        </w:rPr>
        <w:t>Innkjøps</w:t>
      </w:r>
      <w:r w:rsidR="00C01B0F">
        <w:rPr>
          <w:szCs w:val="22"/>
        </w:rPr>
        <w:t xml:space="preserve">gruppa har over en periode vært preget av mye utskiftning av folk og kapasiteten har </w:t>
      </w:r>
      <w:r>
        <w:rPr>
          <w:szCs w:val="22"/>
        </w:rPr>
        <w:t>variert</w:t>
      </w:r>
      <w:r w:rsidR="00C01B0F">
        <w:rPr>
          <w:szCs w:val="22"/>
        </w:rPr>
        <w:t xml:space="preserve"> gjennom året. Med en stor del av invester</w:t>
      </w:r>
      <w:r w:rsidR="00C83F3B">
        <w:rPr>
          <w:szCs w:val="22"/>
        </w:rPr>
        <w:t xml:space="preserve">ingene budsjettert </w:t>
      </w:r>
      <w:r w:rsidR="00D07E7B">
        <w:rPr>
          <w:szCs w:val="22"/>
        </w:rPr>
        <w:t>i de siste månedene av</w:t>
      </w:r>
      <w:r w:rsidR="00C83F3B">
        <w:rPr>
          <w:szCs w:val="22"/>
        </w:rPr>
        <w:t xml:space="preserve"> året</w:t>
      </w:r>
      <w:r w:rsidR="00C01B0F">
        <w:rPr>
          <w:szCs w:val="22"/>
        </w:rPr>
        <w:t xml:space="preserve"> </w:t>
      </w:r>
      <w:r>
        <w:rPr>
          <w:szCs w:val="22"/>
        </w:rPr>
        <w:t xml:space="preserve">var det usikkert </w:t>
      </w:r>
      <w:r w:rsidR="009D3CFE">
        <w:rPr>
          <w:szCs w:val="22"/>
        </w:rPr>
        <w:t xml:space="preserve">helt </w:t>
      </w:r>
      <w:r>
        <w:rPr>
          <w:szCs w:val="22"/>
        </w:rPr>
        <w:t xml:space="preserve">fram </w:t>
      </w:r>
      <w:r w:rsidR="009D3CFE">
        <w:rPr>
          <w:szCs w:val="22"/>
        </w:rPr>
        <w:t>til jul</w:t>
      </w:r>
      <w:r w:rsidR="00C01B0F">
        <w:rPr>
          <w:szCs w:val="22"/>
        </w:rPr>
        <w:t xml:space="preserve"> </w:t>
      </w:r>
      <w:r w:rsidR="00097AF2">
        <w:rPr>
          <w:szCs w:val="22"/>
        </w:rPr>
        <w:t>om</w:t>
      </w:r>
      <w:r w:rsidR="00C01B0F">
        <w:rPr>
          <w:szCs w:val="22"/>
        </w:rPr>
        <w:t xml:space="preserve"> de planlagte investeringene </w:t>
      </w:r>
      <w:r>
        <w:rPr>
          <w:szCs w:val="22"/>
        </w:rPr>
        <w:t>ville bli gjennomført</w:t>
      </w:r>
      <w:r w:rsidR="00C01B0F">
        <w:rPr>
          <w:szCs w:val="22"/>
        </w:rPr>
        <w:t xml:space="preserve"> før årsskiftet. Resultatet for 2018 viser at gjennomføringsevnen på dette området var større enn </w:t>
      </w:r>
      <w:r w:rsidR="00097AF2">
        <w:rPr>
          <w:szCs w:val="22"/>
        </w:rPr>
        <w:t>vi forventet</w:t>
      </w:r>
      <w:r w:rsidR="00C01B0F">
        <w:rPr>
          <w:szCs w:val="22"/>
        </w:rPr>
        <w:t xml:space="preserve"> og </w:t>
      </w:r>
      <w:r>
        <w:rPr>
          <w:szCs w:val="22"/>
        </w:rPr>
        <w:t xml:space="preserve">de budsjetterte </w:t>
      </w:r>
      <w:r w:rsidR="00C01B0F">
        <w:rPr>
          <w:szCs w:val="22"/>
        </w:rPr>
        <w:t xml:space="preserve">investeringene </w:t>
      </w:r>
      <w:r w:rsidR="00AC5CFC">
        <w:rPr>
          <w:szCs w:val="22"/>
        </w:rPr>
        <w:t xml:space="preserve">ble </w:t>
      </w:r>
      <w:r w:rsidR="00223610">
        <w:rPr>
          <w:szCs w:val="22"/>
        </w:rPr>
        <w:t xml:space="preserve">i stor grad </w:t>
      </w:r>
      <w:r w:rsidR="00C01B0F">
        <w:rPr>
          <w:szCs w:val="22"/>
        </w:rPr>
        <w:t xml:space="preserve">ferdigstilt og regnskapsført i 2018. </w:t>
      </w:r>
    </w:p>
    <w:p w:rsidR="004C033C" w:rsidRDefault="004C033C" w:rsidP="00BE1DA4">
      <w:pPr>
        <w:rPr>
          <w:szCs w:val="22"/>
        </w:rPr>
      </w:pPr>
    </w:p>
    <w:p w:rsidR="0094471B" w:rsidRDefault="00C01B0F" w:rsidP="00BE1DA4">
      <w:r>
        <w:rPr>
          <w:szCs w:val="22"/>
        </w:rPr>
        <w:t xml:space="preserve">En annen </w:t>
      </w:r>
      <w:r w:rsidR="004C033C">
        <w:rPr>
          <w:szCs w:val="22"/>
        </w:rPr>
        <w:t xml:space="preserve">vesentlig </w:t>
      </w:r>
      <w:r>
        <w:rPr>
          <w:szCs w:val="22"/>
        </w:rPr>
        <w:t xml:space="preserve">usikkerhetsfaktor </w:t>
      </w:r>
      <w:r w:rsidR="00097AF2">
        <w:rPr>
          <w:szCs w:val="22"/>
        </w:rPr>
        <w:t xml:space="preserve">i budsjettet for 2018 har vært </w:t>
      </w:r>
      <w:r w:rsidR="004C033C">
        <w:rPr>
          <w:szCs w:val="22"/>
        </w:rPr>
        <w:t xml:space="preserve">om </w:t>
      </w:r>
      <w:r w:rsidR="00097AF2">
        <w:rPr>
          <w:szCs w:val="22"/>
        </w:rPr>
        <w:t>s</w:t>
      </w:r>
      <w:r>
        <w:rPr>
          <w:szCs w:val="22"/>
        </w:rPr>
        <w:t xml:space="preserve">amlokaliseringsprosjektet </w:t>
      </w:r>
      <w:r w:rsidR="0094471B">
        <w:rPr>
          <w:szCs w:val="22"/>
        </w:rPr>
        <w:t xml:space="preserve">ville klare å </w:t>
      </w:r>
      <w:r w:rsidR="00D07E7B">
        <w:rPr>
          <w:szCs w:val="22"/>
        </w:rPr>
        <w:t>holde</w:t>
      </w:r>
      <w:r w:rsidR="0094471B">
        <w:rPr>
          <w:szCs w:val="22"/>
        </w:rPr>
        <w:t xml:space="preserve"> fremdriftsplan</w:t>
      </w:r>
      <w:r w:rsidR="004C033C">
        <w:rPr>
          <w:szCs w:val="22"/>
        </w:rPr>
        <w:t>en</w:t>
      </w:r>
      <w:r w:rsidR="0094471B">
        <w:rPr>
          <w:szCs w:val="22"/>
        </w:rPr>
        <w:t xml:space="preserve">. Her ser vi </w:t>
      </w:r>
      <w:r w:rsidR="004C033C">
        <w:rPr>
          <w:szCs w:val="22"/>
        </w:rPr>
        <w:t xml:space="preserve">også </w:t>
      </w:r>
      <w:r w:rsidR="0094471B">
        <w:rPr>
          <w:szCs w:val="22"/>
        </w:rPr>
        <w:t xml:space="preserve">at gjennomført aktivitet endte opp </w:t>
      </w:r>
      <w:r w:rsidR="009D3CFE">
        <w:rPr>
          <w:szCs w:val="22"/>
        </w:rPr>
        <w:t xml:space="preserve">omtrent som </w:t>
      </w:r>
      <w:r w:rsidR="00C472BE">
        <w:rPr>
          <w:szCs w:val="22"/>
        </w:rPr>
        <w:t xml:space="preserve">planlagt og </w:t>
      </w:r>
      <w:r w:rsidR="0094471B">
        <w:rPr>
          <w:szCs w:val="22"/>
        </w:rPr>
        <w:t xml:space="preserve">budsjettert. Det største enkeltprosjektet har vært bygging av nytt bygg i Valgrinda </w:t>
      </w:r>
      <w:r w:rsidR="0094471B">
        <w:t>for samling av NTNUs fagmiljø innen geovitenskap og petroleum. I tillegg har all lærerutdanning i 2018 blitt samlet på Kalvskinnet, og det har vært arbeid</w:t>
      </w:r>
      <w:r w:rsidR="00905DD5">
        <w:t>et</w:t>
      </w:r>
      <w:r w:rsidR="0094471B">
        <w:t xml:space="preserve"> med samling av Institutt for datateknologi og informatikk i </w:t>
      </w:r>
      <w:r w:rsidR="002A79FD">
        <w:t>R</w:t>
      </w:r>
      <w:r w:rsidR="0094471B">
        <w:t xml:space="preserve">ealfagbygget. </w:t>
      </w:r>
    </w:p>
    <w:p w:rsidR="00097AF2" w:rsidRDefault="00097AF2" w:rsidP="00BE1DA4"/>
    <w:p w:rsidR="00835DE7" w:rsidRDefault="00097AF2" w:rsidP="00BE1DA4">
      <w:r>
        <w:t xml:space="preserve">I tillegg til at 2018 var et år med </w:t>
      </w:r>
      <w:r w:rsidR="00D07E7B">
        <w:t>omfattende</w:t>
      </w:r>
      <w:r>
        <w:t xml:space="preserve"> investeringer både i digitalisering, vitenskapelig utstyr og arealutvikling, har det også vært en betydelig vekst i bemanning. </w:t>
      </w:r>
      <w:r w:rsidR="005C20CA">
        <w:t xml:space="preserve">Rektor igangsatte blant annet 50 ekstra stipendiatstillinger i 2018, og samlet ser vi en vekst innenfor kategorien undervisnings-, forsknings- og formidlingsstillinger </w:t>
      </w:r>
      <w:r w:rsidR="00DD6E4B">
        <w:t>på 244 årsverk fra okt</w:t>
      </w:r>
      <w:r w:rsidR="00905DD5">
        <w:t>ober</w:t>
      </w:r>
      <w:r w:rsidR="00DD6E4B">
        <w:t xml:space="preserve"> 2017 til okt</w:t>
      </w:r>
      <w:r w:rsidR="00905DD5">
        <w:t>ober</w:t>
      </w:r>
      <w:r w:rsidR="00DD6E4B">
        <w:t xml:space="preserve"> 2018. </w:t>
      </w:r>
      <w:r w:rsidR="002A79FD">
        <w:t>Tilstrekkelig HR-kapasitet til å realisere denne</w:t>
      </w:r>
      <w:r w:rsidR="00DD6E4B">
        <w:t xml:space="preserve"> bemanningsveksten </w:t>
      </w:r>
      <w:r w:rsidR="0079766C">
        <w:t>har vært identifisert som en risikofaktor</w:t>
      </w:r>
      <w:r w:rsidR="00DD6E4B">
        <w:t xml:space="preserve">, </w:t>
      </w:r>
      <w:r w:rsidR="009D3CFE">
        <w:t>m</w:t>
      </w:r>
      <w:r w:rsidR="00F40B2E">
        <w:t xml:space="preserve">en også </w:t>
      </w:r>
      <w:r w:rsidR="002A79FD">
        <w:t xml:space="preserve">her </w:t>
      </w:r>
      <w:r w:rsidR="00F40B2E">
        <w:t xml:space="preserve">ser vi at </w:t>
      </w:r>
      <w:r w:rsidR="0079766C">
        <w:t xml:space="preserve">mange </w:t>
      </w:r>
      <w:r w:rsidR="00F40B2E">
        <w:t xml:space="preserve">ansettelsene kom på plass raskere enn prognosene gjennom året tilsa. </w:t>
      </w:r>
    </w:p>
    <w:p w:rsidR="00F40B2E" w:rsidRDefault="00F40B2E" w:rsidP="00BE1DA4"/>
    <w:p w:rsidR="00AE069B" w:rsidRDefault="00F40B2E" w:rsidP="00BE1DA4">
      <w:r>
        <w:t xml:space="preserve">Resultatet for 2018 viser </w:t>
      </w:r>
      <w:r w:rsidR="00846285">
        <w:t xml:space="preserve">at </w:t>
      </w:r>
      <w:r w:rsidR="0079766C">
        <w:t>organisasjonen</w:t>
      </w:r>
      <w:r w:rsidR="00846285">
        <w:t xml:space="preserve"> greide å levere et aktivitetsnivå i henhold til budsjett</w:t>
      </w:r>
      <w:r>
        <w:t xml:space="preserve">, og </w:t>
      </w:r>
      <w:r w:rsidR="00846285">
        <w:t>at</w:t>
      </w:r>
      <w:r w:rsidR="00463079">
        <w:t xml:space="preserve"> a</w:t>
      </w:r>
      <w:r w:rsidR="00846285">
        <w:t xml:space="preserve">ktiviteten </w:t>
      </w:r>
      <w:r>
        <w:t xml:space="preserve">på flere områder endte opp med å bli </w:t>
      </w:r>
      <w:r w:rsidRPr="00C83F3B">
        <w:t>større</w:t>
      </w:r>
      <w:r>
        <w:t xml:space="preserve"> enn prognosene gjennom året tilsa. </w:t>
      </w:r>
      <w:r w:rsidR="00463079">
        <w:t xml:space="preserve">Dette gjør at NTNU i løpet av 2018 </w:t>
      </w:r>
      <w:r w:rsidR="0079766C">
        <w:t>oppnådde å bygge</w:t>
      </w:r>
      <w:r w:rsidR="00846285">
        <w:t xml:space="preserve"> ned avsetningsnivået som planlagt</w:t>
      </w:r>
      <w:r w:rsidR="00463079">
        <w:t xml:space="preserve">, og går ut av 2018 med et avsetningsnivå på 331 mill.kr (ca 5% av bevilgning). </w:t>
      </w:r>
    </w:p>
    <w:p w:rsidR="006823A3" w:rsidRDefault="006823A3" w:rsidP="00BE1DA4"/>
    <w:p w:rsidR="00AB1579" w:rsidRDefault="006823A3" w:rsidP="00BE1DA4">
      <w:r>
        <w:t>Til tross for at NTNU leverer på budsjett i 2018, ser vi at v</w:t>
      </w:r>
      <w:r w:rsidR="0079766C">
        <w:t>i hele tiden kan utvikle oss. En viktig</w:t>
      </w:r>
      <w:r>
        <w:t xml:space="preserve"> l</w:t>
      </w:r>
      <w:r w:rsidR="0079766C">
        <w:t>æring</w:t>
      </w:r>
      <w:r w:rsidR="00AE069B">
        <w:t xml:space="preserve"> fra 2018 er at vi løpende har behov for en </w:t>
      </w:r>
      <w:r w:rsidR="0079766C">
        <w:t>tettere</w:t>
      </w:r>
      <w:r w:rsidR="00AE069B">
        <w:t xml:space="preserve"> kobling </w:t>
      </w:r>
      <w:r w:rsidR="002A79FD">
        <w:t xml:space="preserve">og </w:t>
      </w:r>
      <w:r w:rsidR="0079766C">
        <w:t xml:space="preserve">bedre </w:t>
      </w:r>
      <w:r w:rsidR="002A79FD">
        <w:t xml:space="preserve">samordning </w:t>
      </w:r>
      <w:r w:rsidR="00AE069B">
        <w:t xml:space="preserve">mellom </w:t>
      </w:r>
      <w:r w:rsidR="002A79FD">
        <w:t>innkjøps</w:t>
      </w:r>
      <w:r w:rsidR="00AE069B">
        <w:t>-</w:t>
      </w:r>
      <w:r w:rsidR="002A79FD">
        <w:t>,</w:t>
      </w:r>
      <w:r w:rsidR="00AE069B">
        <w:t xml:space="preserve"> HR-</w:t>
      </w:r>
      <w:r w:rsidR="002A79FD">
        <w:t xml:space="preserve"> og økonomi</w:t>
      </w:r>
      <w:r w:rsidR="00AE069B">
        <w:t xml:space="preserve">funksjonene </w:t>
      </w:r>
      <w:r w:rsidR="00461875">
        <w:t xml:space="preserve">for </w:t>
      </w:r>
      <w:r w:rsidR="0079766C">
        <w:t>at vi til enhver tid kan</w:t>
      </w:r>
      <w:r w:rsidR="00461875">
        <w:t xml:space="preserve"> ha gode oppdaterte prognoser. Dette gjelder både a</w:t>
      </w:r>
      <w:r w:rsidR="00AE069B">
        <w:t>nsettelser</w:t>
      </w:r>
      <w:r w:rsidR="002A79FD">
        <w:t>,</w:t>
      </w:r>
      <w:r w:rsidR="00AE069B">
        <w:t xml:space="preserve"> tidspunkt for </w:t>
      </w:r>
      <w:r w:rsidR="002A79FD">
        <w:t>oppstart</w:t>
      </w:r>
      <w:r w:rsidR="00905DD5">
        <w:t>, samt</w:t>
      </w:r>
      <w:r w:rsidR="002A79FD">
        <w:t xml:space="preserve"> </w:t>
      </w:r>
      <w:r w:rsidR="00461875">
        <w:t xml:space="preserve">størrelse og </w:t>
      </w:r>
      <w:r w:rsidR="00535931">
        <w:t>periodisering av l</w:t>
      </w:r>
      <w:r w:rsidR="009D3CFE">
        <w:t>ønnsoppgjørseffekter.</w:t>
      </w:r>
      <w:r w:rsidR="00535931">
        <w:t xml:space="preserve"> På innkjøpssiden ser vi også at </w:t>
      </w:r>
      <w:r w:rsidR="002A79FD">
        <w:t xml:space="preserve">informasjonen om </w:t>
      </w:r>
      <w:r w:rsidR="00535931">
        <w:t>fremdrift</w:t>
      </w:r>
      <w:r w:rsidR="002A79FD">
        <w:t xml:space="preserve">en </w:t>
      </w:r>
      <w:r w:rsidR="00535931">
        <w:t xml:space="preserve">på anskaffelser kan bli enda bedre enn den er i dag. I tillegg </w:t>
      </w:r>
      <w:r w:rsidR="0079766C">
        <w:t xml:space="preserve">arbeider vi for at viktige </w:t>
      </w:r>
      <w:r w:rsidR="00535931">
        <w:t>planleggingsprosess</w:t>
      </w:r>
      <w:r w:rsidR="0079766C">
        <w:t>er kan startes opp tidligere</w:t>
      </w:r>
      <w:r w:rsidR="00535931">
        <w:t xml:space="preserve">, slik at </w:t>
      </w:r>
      <w:r w:rsidR="00C61372">
        <w:t xml:space="preserve">gjennomføringen av </w:t>
      </w:r>
      <w:r w:rsidR="00461875">
        <w:t>investeringe</w:t>
      </w:r>
      <w:r w:rsidR="0079766C">
        <w:t>r</w:t>
      </w:r>
      <w:r w:rsidR="00C61372">
        <w:t xml:space="preserve"> mv. kan fordeles bedre utover året</w:t>
      </w:r>
      <w:r w:rsidR="007A6994">
        <w:t xml:space="preserve">. </w:t>
      </w:r>
      <w:r w:rsidR="002A79FD">
        <w:t xml:space="preserve">Med dette vil vi kunne </w:t>
      </w:r>
      <w:r w:rsidR="00535931">
        <w:t xml:space="preserve">redusere usikkerheten rundt </w:t>
      </w:r>
      <w:r w:rsidR="00461875">
        <w:t>om</w:t>
      </w:r>
      <w:r w:rsidR="00535931">
        <w:t xml:space="preserve"> vi får </w:t>
      </w:r>
      <w:r w:rsidR="00C61372">
        <w:t>de</w:t>
      </w:r>
      <w:r w:rsidR="009D3CFE">
        <w:t xml:space="preserve"> planlagte </w:t>
      </w:r>
      <w:r w:rsidR="00535931">
        <w:t>investeringen</w:t>
      </w:r>
      <w:r w:rsidR="00C61372">
        <w:t>e</w:t>
      </w:r>
      <w:r w:rsidR="00535931">
        <w:t xml:space="preserve"> </w:t>
      </w:r>
      <w:r w:rsidR="00905DD5">
        <w:t xml:space="preserve">gjennomført og </w:t>
      </w:r>
      <w:r w:rsidR="00535931">
        <w:t xml:space="preserve">regnskapsført </w:t>
      </w:r>
      <w:r w:rsidR="00C61372">
        <w:t>innenfor</w:t>
      </w:r>
      <w:r w:rsidR="00535931">
        <w:t xml:space="preserve"> </w:t>
      </w:r>
      <w:r w:rsidR="002A79FD">
        <w:t>gjeldende</w:t>
      </w:r>
      <w:r w:rsidR="00461875">
        <w:t xml:space="preserve"> budsjettår.</w:t>
      </w:r>
      <w:r w:rsidR="00535931">
        <w:t xml:space="preserve">  </w:t>
      </w:r>
      <w:r w:rsidR="00AE069B">
        <w:t xml:space="preserve">  </w:t>
      </w:r>
    </w:p>
    <w:p w:rsidR="00AE069B" w:rsidRDefault="00AE069B" w:rsidP="00BE1DA4"/>
    <w:p w:rsidR="007A6994" w:rsidRDefault="007A6994" w:rsidP="00D26566">
      <w:pPr>
        <w:pStyle w:val="Heading1"/>
        <w:numPr>
          <w:ilvl w:val="0"/>
          <w:numId w:val="28"/>
        </w:numPr>
        <w:rPr>
          <w:sz w:val="28"/>
          <w:szCs w:val="28"/>
          <w:u w:val="none"/>
        </w:rPr>
      </w:pPr>
      <w:r w:rsidRPr="00D26566">
        <w:rPr>
          <w:sz w:val="28"/>
          <w:szCs w:val="28"/>
          <w:u w:val="none"/>
        </w:rPr>
        <w:t>BOA-aktiviteten i 2018</w:t>
      </w:r>
    </w:p>
    <w:p w:rsidR="00D26566" w:rsidRDefault="00D26566" w:rsidP="00D26566"/>
    <w:p w:rsidR="00D26566" w:rsidRPr="00D26566" w:rsidRDefault="00181919" w:rsidP="00D26566">
      <w:r>
        <w:rPr>
          <w:noProof/>
        </w:rPr>
        <w:drawing>
          <wp:inline distT="0" distB="0" distL="0" distR="0" wp14:anchorId="6ADC0AA1" wp14:editId="1AC98266">
            <wp:extent cx="3933825" cy="13906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3825" cy="1390650"/>
                    </a:xfrm>
                    <a:prstGeom prst="rect">
                      <a:avLst/>
                    </a:prstGeom>
                  </pic:spPr>
                </pic:pic>
              </a:graphicData>
            </a:graphic>
          </wp:inline>
        </w:drawing>
      </w:r>
      <w:r>
        <w:tab/>
      </w:r>
    </w:p>
    <w:p w:rsidR="007A6994" w:rsidRPr="000D3C9F" w:rsidRDefault="007A6994" w:rsidP="007A6994">
      <w:pPr>
        <w:pStyle w:val="NoSpacing"/>
        <w:rPr>
          <w:rFonts w:ascii="Times New Roman" w:eastAsia="Times New Roman" w:hAnsi="Times New Roman" w:cs="Times New Roman"/>
          <w:i/>
          <w:sz w:val="24"/>
          <w:lang w:eastAsia="nb-NO"/>
        </w:rPr>
      </w:pPr>
      <w:r>
        <w:rPr>
          <w:rFonts w:ascii="Times New Roman" w:eastAsia="Times New Roman" w:hAnsi="Times New Roman" w:cs="Times New Roman"/>
          <w:i/>
          <w:sz w:val="24"/>
          <w:lang w:eastAsia="nb-NO"/>
        </w:rPr>
        <w:t>Tabell: BOA-aktivitet (alle tall i 1000 kr)</w:t>
      </w:r>
    </w:p>
    <w:p w:rsidR="007A6994" w:rsidRDefault="007A6994" w:rsidP="007A6994">
      <w:pPr>
        <w:pStyle w:val="NoSpacing"/>
        <w:rPr>
          <w:rFonts w:ascii="Times New Roman" w:eastAsia="Times New Roman" w:hAnsi="Times New Roman" w:cs="Times New Roman"/>
          <w:lang w:eastAsia="nb-NO"/>
        </w:rPr>
      </w:pPr>
    </w:p>
    <w:p w:rsidR="007A6994" w:rsidRDefault="007A6994" w:rsidP="007A6994">
      <w:pPr>
        <w:pStyle w:val="NoSpacing"/>
        <w:rPr>
          <w:rFonts w:ascii="Times New Roman" w:eastAsia="Times New Roman" w:hAnsi="Times New Roman" w:cs="Times New Roman"/>
          <w:lang w:eastAsia="nb-NO"/>
        </w:rPr>
      </w:pPr>
    </w:p>
    <w:p w:rsidR="007A6994" w:rsidRPr="00E055D5" w:rsidRDefault="007A6994" w:rsidP="007A6994">
      <w:pPr>
        <w:pStyle w:val="NoSpacing"/>
        <w:rPr>
          <w:sz w:val="24"/>
          <w:szCs w:val="24"/>
        </w:rPr>
      </w:pPr>
      <w:r w:rsidRPr="00E055D5">
        <w:rPr>
          <w:rFonts w:ascii="Times New Roman" w:eastAsia="Times New Roman" w:hAnsi="Times New Roman" w:cs="Times New Roman"/>
          <w:sz w:val="24"/>
          <w:szCs w:val="24"/>
          <w:lang w:eastAsia="nb-NO"/>
        </w:rPr>
        <w:t>BOA-aktiviteten ved NTNU endte i 2018 på 2 170 mill. kr. Totalt sett er dette en nominell vekst på 6 % fra 2017 til 2018.</w:t>
      </w:r>
      <w:r w:rsidR="006823A3">
        <w:rPr>
          <w:rFonts w:ascii="Times New Roman" w:eastAsia="Times New Roman" w:hAnsi="Times New Roman" w:cs="Times New Roman"/>
          <w:sz w:val="24"/>
          <w:szCs w:val="24"/>
          <w:lang w:eastAsia="nb-NO"/>
        </w:rPr>
        <w:t xml:space="preserve"> </w:t>
      </w:r>
      <w:r w:rsidRPr="00E055D5">
        <w:rPr>
          <w:rFonts w:ascii="Times New Roman" w:eastAsia="Times New Roman" w:hAnsi="Times New Roman" w:cs="Times New Roman"/>
          <w:sz w:val="24"/>
          <w:szCs w:val="24"/>
          <w:lang w:eastAsia="nb-NO"/>
        </w:rPr>
        <w:t xml:space="preserve">Inntektene fra BOA-aktiviteten ved NTNU utgjorde i 2018 24 % av de totale inntektene. </w:t>
      </w:r>
    </w:p>
    <w:p w:rsidR="007A6994" w:rsidRPr="004F3432" w:rsidRDefault="007A6994" w:rsidP="007A6994"/>
    <w:p w:rsidR="007A6994" w:rsidRDefault="007A6994" w:rsidP="007A6994">
      <w:r w:rsidRPr="004F3432">
        <w:t>Aktiviteten inn</w:t>
      </w:r>
      <w:r>
        <w:t>en</w:t>
      </w:r>
      <w:r w:rsidRPr="004F3432">
        <w:t xml:space="preserve">for </w:t>
      </w:r>
      <w:r>
        <w:t>NFR-finansierte prosjekter har sammenlignet med 2017 økt med 31 mill.,</w:t>
      </w:r>
      <w:r w:rsidR="006823A3">
        <w:t xml:space="preserve"> en nominell vekst på 4%. </w:t>
      </w:r>
      <w:r w:rsidRPr="002742EF">
        <w:t xml:space="preserve">De fleste fakulteter rapporter om god utvikling i NFR aktiviteten og da spesielt </w:t>
      </w:r>
      <w:r>
        <w:t xml:space="preserve">økning i aktiviteten knyttet til de nyeste SFI’ene. De store sentraene (SFI og FME) mottar finansiering både fra Norges Forskningsråd og næringslivet og det er grunn til å anta at det kan være noe periodiseringsavvik </w:t>
      </w:r>
      <w:r w:rsidR="006823A3">
        <w:t>i den regnskapsførte aktiviteten fra år til år mellom NFR-aktiviteten og aktiviteten knyttet til næringslivet. Fra 2016 til 2017 så vi en meget stor økning i NFR-aktiviteten</w:t>
      </w:r>
      <w:r w:rsidR="00863F4D">
        <w:t xml:space="preserve"> (123 mill.kr, ca 14%), og en nedgang i næringslivsaktiviteten. Fra 2017 til 2018 ser vi en relativ liten regnskapsført økning i NFR-aktivitet, men en stor økning i næringslivsaktiviteten. </w:t>
      </w:r>
    </w:p>
    <w:p w:rsidR="00641DA0" w:rsidRDefault="00641DA0" w:rsidP="007A6994"/>
    <w:p w:rsidR="007A6994" w:rsidRPr="00102D2B" w:rsidRDefault="00181919" w:rsidP="007A6994">
      <w:r>
        <w:t>*</w:t>
      </w:r>
      <w:r w:rsidR="007A6994">
        <w:t xml:space="preserve">Tall for EU-aktiviteten viser </w:t>
      </w:r>
      <w:r w:rsidR="00867452">
        <w:t>tilsynelate</w:t>
      </w:r>
      <w:r w:rsidR="0077007B">
        <w:t>n</w:t>
      </w:r>
      <w:r w:rsidR="00867452">
        <w:t xml:space="preserve">de </w:t>
      </w:r>
      <w:r w:rsidR="007A6994">
        <w:t>en betydelig vekst sammenlignet med 2017. C</w:t>
      </w:r>
      <w:r w:rsidR="007A6994" w:rsidRPr="00102D2B">
        <w:t xml:space="preserve">a. 33 </w:t>
      </w:r>
      <w:r w:rsidR="007A6994">
        <w:t xml:space="preserve">mill. av denne veksten skyldes imidlertid en teknisk endring i regnskapsføringen </w:t>
      </w:r>
      <w:r w:rsidR="00C61372">
        <w:t>fra</w:t>
      </w:r>
      <w:r w:rsidR="007A6994">
        <w:t xml:space="preserve"> 2017 </w:t>
      </w:r>
      <w:r w:rsidR="00C61372">
        <w:t>til 2018 som gir et</w:t>
      </w:r>
      <w:r w:rsidR="007A6994">
        <w:t xml:space="preserve"> hopp i regnskapsført EU-aktivitet i 2018 uten at det</w:t>
      </w:r>
      <w:r w:rsidR="00867452">
        <w:t>te</w:t>
      </w:r>
      <w:r w:rsidR="007A6994">
        <w:t xml:space="preserve"> gjenspeiler tilsvarende økning i faktisk aktivitet</w:t>
      </w:r>
      <w:r w:rsidR="00867452">
        <w:t>snivå</w:t>
      </w:r>
      <w:r w:rsidR="007A6994">
        <w:t xml:space="preserve">. </w:t>
      </w:r>
      <w:r w:rsidR="007A6994" w:rsidRPr="00102D2B">
        <w:t xml:space="preserve">Reelt sett er aktivitetsnivået på EU-prosjekter i 2018 på samme nivå </w:t>
      </w:r>
      <w:r w:rsidR="00867452">
        <w:t>som i 2017</w:t>
      </w:r>
      <w:r w:rsidR="007A6994" w:rsidRPr="00102D2B">
        <w:t>.</w:t>
      </w:r>
    </w:p>
    <w:p w:rsidR="007A6994" w:rsidRDefault="007A6994" w:rsidP="007A6994"/>
    <w:p w:rsidR="007A6994" w:rsidRPr="00F21974" w:rsidRDefault="007A6994" w:rsidP="007A6994">
      <w:r w:rsidRPr="006344DC">
        <w:t xml:space="preserve">Annen bidragsfinansiert aktivitet er i stor grad knyttet til bidrag fra samarbeid med næringsliv/private og Samarbeidsorganet ved Helse Midt-Norge (HMN). </w:t>
      </w:r>
      <w:r>
        <w:t>I denne kategorien har</w:t>
      </w:r>
      <w:r w:rsidRPr="006344DC">
        <w:t xml:space="preserve"> aktiviteten </w:t>
      </w:r>
      <w:r w:rsidR="00863F4D">
        <w:t xml:space="preserve">samlet sett økt </w:t>
      </w:r>
      <w:r w:rsidRPr="00301B4B">
        <w:t>med 83 mill.</w:t>
      </w:r>
      <w:r w:rsidR="00863F4D">
        <w:t>kr</w:t>
      </w:r>
      <w:r w:rsidRPr="00301B4B">
        <w:t xml:space="preserve"> sammenlignet med 2017. Dette gir en nominell vekst på 10 %. </w:t>
      </w:r>
      <w:r w:rsidR="00863F4D">
        <w:t>Mye av grunnen til denne økningen er knyttet til økning i den regnskapsførte næringslivsaktiviteten. Her er d</w:t>
      </w:r>
      <w:r w:rsidR="00C61372">
        <w:t>et en økning på 59 mill.kr (36%</w:t>
      </w:r>
      <w:r w:rsidR="00863F4D">
        <w:t xml:space="preserve">) fra 2017. Deler av dette kan </w:t>
      </w:r>
      <w:r w:rsidR="00502325">
        <w:t xml:space="preserve">nok </w:t>
      </w:r>
      <w:r w:rsidR="00863F4D">
        <w:t>forklares med en periodisering</w:t>
      </w:r>
      <w:r w:rsidR="00502325">
        <w:t xml:space="preserve">seffekt </w:t>
      </w:r>
      <w:r w:rsidR="00863F4D">
        <w:t xml:space="preserve">ved SFI-sentrene </w:t>
      </w:r>
      <w:r w:rsidR="00502325">
        <w:t xml:space="preserve">og at </w:t>
      </w:r>
      <w:r w:rsidR="00C61372">
        <w:t xml:space="preserve">en større andel av </w:t>
      </w:r>
      <w:r w:rsidR="00502325">
        <w:t xml:space="preserve">NFR-finansieringen til sentrene </w:t>
      </w:r>
      <w:r w:rsidR="00C61372">
        <w:t>ble</w:t>
      </w:r>
      <w:r w:rsidR="00502325">
        <w:t xml:space="preserve"> brukt i 2017, </w:t>
      </w:r>
      <w:r w:rsidR="00C61372">
        <w:t>mens</w:t>
      </w:r>
      <w:r w:rsidR="00502325">
        <w:t xml:space="preserve"> næringsliv</w:t>
      </w:r>
      <w:r w:rsidR="00C61372">
        <w:t xml:space="preserve">ets andel av finansieringen </w:t>
      </w:r>
      <w:r w:rsidR="00502325">
        <w:t xml:space="preserve">i større grad ble brukt i 2018. </w:t>
      </w:r>
      <w:r w:rsidRPr="00301B4B">
        <w:t>Fakultet for medisin o</w:t>
      </w:r>
      <w:r>
        <w:t xml:space="preserve">g helsevitenskap (MH) rapporterer </w:t>
      </w:r>
      <w:r w:rsidR="00863F4D">
        <w:t xml:space="preserve">også </w:t>
      </w:r>
      <w:r>
        <w:t xml:space="preserve">om god </w:t>
      </w:r>
      <w:r w:rsidRPr="00301B4B">
        <w:t>økning i aktivite</w:t>
      </w:r>
      <w:r w:rsidR="00863F4D">
        <w:t xml:space="preserve">ten på andre bidragsprosjekter, bla. </w:t>
      </w:r>
      <w:r w:rsidRPr="00301B4B">
        <w:t>HUNT 4</w:t>
      </w:r>
      <w:r w:rsidR="00863F4D">
        <w:t xml:space="preserve">-prosjektet, </w:t>
      </w:r>
      <w:r w:rsidRPr="00301B4B">
        <w:t>prosjekter finansiert av HMN.</w:t>
      </w:r>
      <w:r>
        <w:t xml:space="preserve"> </w:t>
      </w:r>
    </w:p>
    <w:p w:rsidR="007A6994" w:rsidRDefault="007A6994" w:rsidP="007A6994"/>
    <w:p w:rsidR="007A6994" w:rsidRPr="00334C0D" w:rsidRDefault="007A6994" w:rsidP="007A6994">
      <w:r w:rsidRPr="00334C0D">
        <w:t xml:space="preserve">Bibsys ble t.o.m. 2017 regnskapsført ved NTNU og klassifisert som BOA-aktivitet. Bortfallet av BOA-aktivitet knyttet til Bibsys utgjør på årsbasis ca. 45 – 50 mill. </w:t>
      </w:r>
      <w:r w:rsidR="00867452">
        <w:t>H</w:t>
      </w:r>
      <w:r w:rsidR="00C61372">
        <w:t>ensyntatt dette er utviklingen</w:t>
      </w:r>
      <w:r w:rsidR="00867452">
        <w:t xml:space="preserve"> </w:t>
      </w:r>
      <w:r w:rsidR="004B59DC">
        <w:t xml:space="preserve">for </w:t>
      </w:r>
      <w:r w:rsidR="00867452">
        <w:t>An</w:t>
      </w:r>
      <w:r w:rsidR="004B59DC">
        <w:t>dre</w:t>
      </w:r>
      <w:r w:rsidR="00867452">
        <w:t xml:space="preserve"> </w:t>
      </w:r>
      <w:r w:rsidR="004B59DC">
        <w:t>bidrag svært positiv,</w:t>
      </w:r>
    </w:p>
    <w:p w:rsidR="007A6994" w:rsidRDefault="007A6994" w:rsidP="007A6994"/>
    <w:p w:rsidR="007A6994" w:rsidRDefault="007A6994" w:rsidP="007A6994">
      <w:r>
        <w:t>Oppdragsaktiviteten i 2018 viser en nedgang på 37% sammenlignet med 2017. Aktiviteten på oppdrag var i 2017 for høy, da ett par prosjekter knyttet til utdanningsprogrammet KOMPIS og KfK (Kompetanse for kvalitet) ble rapportert som oppdrag på grunn av en feilklassifisering. Hensyntatt denne feilklassifiseringen har vi totalt sett en liten nedgang i oppdragsaktiviteten sammenlignet med 2017.</w:t>
      </w:r>
    </w:p>
    <w:p w:rsidR="007A6994" w:rsidRDefault="007A6994" w:rsidP="007A6994"/>
    <w:p w:rsidR="007A6994" w:rsidRDefault="007A6994" w:rsidP="007A6994"/>
    <w:p w:rsidR="000A71A5" w:rsidRPr="005D0FCA" w:rsidRDefault="005D0FCA" w:rsidP="007A6994">
      <w:pPr>
        <w:pStyle w:val="ListParagraph"/>
        <w:numPr>
          <w:ilvl w:val="0"/>
          <w:numId w:val="28"/>
        </w:numPr>
        <w:rPr>
          <w:b/>
          <w:sz w:val="28"/>
          <w:szCs w:val="28"/>
          <w:u w:val="single"/>
        </w:rPr>
      </w:pPr>
      <w:r>
        <w:rPr>
          <w:b/>
          <w:sz w:val="28"/>
          <w:szCs w:val="28"/>
          <w:u w:val="single"/>
        </w:rPr>
        <w:t>Budsjett 2019</w:t>
      </w:r>
    </w:p>
    <w:p w:rsidR="000A71A5" w:rsidRPr="00F43233" w:rsidRDefault="000A71A5" w:rsidP="000A71A5">
      <w:pPr>
        <w:rPr>
          <w:b/>
          <w:color w:val="808080" w:themeColor="background1" w:themeShade="80"/>
          <w:sz w:val="28"/>
          <w:szCs w:val="28"/>
          <w:u w:val="single"/>
        </w:rPr>
      </w:pPr>
    </w:p>
    <w:p w:rsidR="000A71A5" w:rsidRPr="005D0FCA" w:rsidRDefault="000A71A5" w:rsidP="000A71A5">
      <w:r w:rsidRPr="005D0FCA">
        <w:t xml:space="preserve">NTNU budsjetterer </w:t>
      </w:r>
      <w:r w:rsidR="005D0FCA" w:rsidRPr="005D0FCA">
        <w:t>også i 2019</w:t>
      </w:r>
      <w:r w:rsidR="00C819AF" w:rsidRPr="005D0FCA">
        <w:t xml:space="preserve"> </w:t>
      </w:r>
      <w:r w:rsidRPr="005D0FCA">
        <w:t>med høyere kostnader enn inntekter</w:t>
      </w:r>
      <w:r w:rsidR="00C819AF" w:rsidRPr="005D0FCA">
        <w:t xml:space="preserve">, </w:t>
      </w:r>
      <w:r w:rsidR="0062016D" w:rsidRPr="005D0FCA">
        <w:t xml:space="preserve">og </w:t>
      </w:r>
      <w:r w:rsidR="00C819AF" w:rsidRPr="005D0FCA">
        <w:t xml:space="preserve">en </w:t>
      </w:r>
      <w:r w:rsidR="005D0FCA">
        <w:t xml:space="preserve">ytterligere </w:t>
      </w:r>
      <w:r w:rsidR="00C819AF" w:rsidRPr="005D0FCA">
        <w:t>n</w:t>
      </w:r>
      <w:r w:rsidRPr="005D0FCA">
        <w:t>edbygging av avsetninge</w:t>
      </w:r>
      <w:r w:rsidR="0062016D" w:rsidRPr="005D0FCA">
        <w:t>ne</w:t>
      </w:r>
      <w:r w:rsidRPr="005D0FCA">
        <w:t xml:space="preserve"> med </w:t>
      </w:r>
      <w:r w:rsidR="005D0FCA">
        <w:t>177</w:t>
      </w:r>
      <w:r w:rsidRPr="005D0FCA">
        <w:t xml:space="preserve"> mill kr.</w:t>
      </w:r>
      <w:r w:rsidR="00C819AF" w:rsidRPr="005D0FCA">
        <w:t xml:space="preserve"> </w:t>
      </w:r>
      <w:r w:rsidRPr="005D0FCA">
        <w:t>I tillegg forventes en BOA-aktivitet på i overkant av 2</w:t>
      </w:r>
      <w:r w:rsidR="00910E25">
        <w:t>,2</w:t>
      </w:r>
      <w:r w:rsidRPr="005D0FCA">
        <w:t xml:space="preserve"> mrd. kr.</w:t>
      </w:r>
    </w:p>
    <w:p w:rsidR="00296F45" w:rsidRDefault="00296F45" w:rsidP="000A71A5"/>
    <w:p w:rsidR="00D80B25" w:rsidRDefault="00296F45" w:rsidP="000A71A5">
      <w:r>
        <w:t xml:space="preserve">De fleste fakultetene legger opp til å ha et høyere kostnadsnivå enn inntektsnivå også i 2019, og budsjetterer en samlet en nedbygging av avsetninger på ca 91 mill.kr. Noen av fakultetene, som </w:t>
      </w:r>
      <w:r w:rsidR="00CE77B2" w:rsidRPr="00D80B25">
        <w:t>Fakultet for informatikk og elektro</w:t>
      </w:r>
      <w:r w:rsidR="00D80B25" w:rsidRPr="00D80B25">
        <w:t>tek</w:t>
      </w:r>
      <w:r w:rsidR="00CE77B2" w:rsidRPr="00D80B25">
        <w:t xml:space="preserve">nikk </w:t>
      </w:r>
      <w:r w:rsidRPr="00D80B25">
        <w:t xml:space="preserve">og </w:t>
      </w:r>
      <w:r w:rsidR="00CE77B2" w:rsidRPr="00D80B25">
        <w:t>Fakultet for samfunn</w:t>
      </w:r>
      <w:r w:rsidR="00D80B25" w:rsidRPr="00D80B25">
        <w:t xml:space="preserve">- </w:t>
      </w:r>
      <w:r w:rsidR="00CE77B2" w:rsidRPr="00D80B25">
        <w:t>og utdanning</w:t>
      </w:r>
      <w:r w:rsidR="00D80B25" w:rsidRPr="00D80B25">
        <w:t>svitenskap</w:t>
      </w:r>
      <w:r>
        <w:t xml:space="preserve"> har de siste par årene hatt en </w:t>
      </w:r>
      <w:r w:rsidR="00CE77B2">
        <w:t xml:space="preserve">betydelig </w:t>
      </w:r>
      <w:r>
        <w:t>vekst i bevilgningen og har mye aktivitet under opptrapping (blant annet</w:t>
      </w:r>
      <w:r w:rsidR="00F35954">
        <w:t xml:space="preserve"> flere</w:t>
      </w:r>
      <w:r>
        <w:t xml:space="preserve"> studieplasser knyttet til IKT og </w:t>
      </w:r>
      <w:r w:rsidR="00CE77B2">
        <w:t xml:space="preserve">omlegging av lærerutdanningen). </w:t>
      </w:r>
      <w:r w:rsidR="001D3BD9">
        <w:t>Det legges her opp til en fortsatt opptrapping av bemanningen</w:t>
      </w:r>
      <w:r w:rsidR="00910E25">
        <w:t xml:space="preserve"> i 2019</w:t>
      </w:r>
      <w:r w:rsidR="001D3BD9">
        <w:t xml:space="preserve">. </w:t>
      </w:r>
      <w:r w:rsidR="00CE77B2">
        <w:t xml:space="preserve">Nedbyggingen ved andre fakulteter skyldes blant annet gjennomføring og ferdigstilling av aktivitet </w:t>
      </w:r>
      <w:r w:rsidR="00B26140">
        <w:t>det er</w:t>
      </w:r>
      <w:r w:rsidR="00CE77B2">
        <w:t xml:space="preserve"> mottatt </w:t>
      </w:r>
      <w:r w:rsidR="00B26140">
        <w:t xml:space="preserve">øremerkede </w:t>
      </w:r>
      <w:r w:rsidR="00CE77B2">
        <w:t xml:space="preserve">midler for på et tidligere tidspunkt. (eks </w:t>
      </w:r>
      <w:r w:rsidR="00C30ED6">
        <w:t>HUNT-undersøkelsen</w:t>
      </w:r>
      <w:r w:rsidR="00CE77B2">
        <w:t xml:space="preserve"> ved Fakultet for medisin</w:t>
      </w:r>
      <w:r w:rsidR="00C30ED6">
        <w:t>-</w:t>
      </w:r>
      <w:r w:rsidR="00CE77B2">
        <w:t xml:space="preserve"> og helse</w:t>
      </w:r>
      <w:r w:rsidR="00C30ED6">
        <w:t>vitenskap</w:t>
      </w:r>
      <w:r w:rsidR="00D80B25">
        <w:t>).</w:t>
      </w:r>
    </w:p>
    <w:p w:rsidR="00D80B25" w:rsidRDefault="00D80B25" w:rsidP="000A71A5"/>
    <w:p w:rsidR="00C30ED6" w:rsidRDefault="00066375" w:rsidP="00F35954">
      <w:r>
        <w:t>Digitaliseringsarbeidet fortsetter med full styrke</w:t>
      </w:r>
      <w:r w:rsidR="00707508">
        <w:t xml:space="preserve"> </w:t>
      </w:r>
      <w:r>
        <w:t>og s</w:t>
      </w:r>
      <w:r w:rsidR="00C30ED6">
        <w:t xml:space="preserve">amlokaliseringsprosjektet </w:t>
      </w:r>
      <w:r w:rsidR="00DA6999">
        <w:t>fortsetter</w:t>
      </w:r>
      <w:r w:rsidR="00C30ED6">
        <w:t xml:space="preserve"> med flytting og samling av flere fagmiljøer</w:t>
      </w:r>
      <w:r>
        <w:t>. Fl</w:t>
      </w:r>
      <w:r w:rsidR="00C30ED6">
        <w:t xml:space="preserve">ere av de andre store byggeprosjektene i 2018 </w:t>
      </w:r>
      <w:r w:rsidR="00B26140">
        <w:t>videreføres</w:t>
      </w:r>
      <w:r w:rsidR="00C30ED6">
        <w:t xml:space="preserve"> også inn i 2019. Bygget på Valgrinda skal ferdigstilles og oppussingen av </w:t>
      </w:r>
      <w:r>
        <w:t xml:space="preserve">både </w:t>
      </w:r>
      <w:r w:rsidR="00C30ED6">
        <w:t xml:space="preserve">Hovedbygningen </w:t>
      </w:r>
      <w:r>
        <w:t xml:space="preserve">og Realfagbygget (tak og fasader) fortsetter. </w:t>
      </w:r>
      <w:r w:rsidR="00707508">
        <w:t>F</w:t>
      </w:r>
      <w:r w:rsidR="002C0110">
        <w:t>orpliktelser fra</w:t>
      </w:r>
      <w:r w:rsidR="00707508">
        <w:t xml:space="preserve"> noen av ekstratildelingene gitt i </w:t>
      </w:r>
      <w:r w:rsidR="002C0110">
        <w:t>2018</w:t>
      </w:r>
      <w:r w:rsidR="00707508">
        <w:t>,</w:t>
      </w:r>
      <w:r w:rsidR="002C0110">
        <w:t xml:space="preserve"> </w:t>
      </w:r>
      <w:r w:rsidR="00707508">
        <w:t>hvor kostnaden ikke blir belastet før i 2019, (vitenskapelig utstyr og rekrutteringsstilli</w:t>
      </w:r>
      <w:r w:rsidR="00DA6999">
        <w:t>n</w:t>
      </w:r>
      <w:r w:rsidR="00707508">
        <w:t xml:space="preserve">ger) tas </w:t>
      </w:r>
      <w:r w:rsidR="000F5515">
        <w:t>i tillegg</w:t>
      </w:r>
      <w:r w:rsidR="00707508">
        <w:t xml:space="preserve"> med </w:t>
      </w:r>
      <w:r w:rsidR="00DA6999">
        <w:t xml:space="preserve">over </w:t>
      </w:r>
      <w:r w:rsidR="00707508">
        <w:t xml:space="preserve">i 2019. Som et tiltak for å redusere opplevde flaskehalser har Rektor </w:t>
      </w:r>
      <w:r w:rsidR="000F5515">
        <w:t xml:space="preserve">også </w:t>
      </w:r>
      <w:r w:rsidR="00707508">
        <w:t>valgt å ikke fordele ut ABE-kuttet for 2019</w:t>
      </w:r>
      <w:r w:rsidR="00DA6999">
        <w:t xml:space="preserve"> </w:t>
      </w:r>
      <w:r w:rsidR="00707508">
        <w:t xml:space="preserve">og </w:t>
      </w:r>
      <w:r w:rsidR="00DA6999">
        <w:t xml:space="preserve">samtidig </w:t>
      </w:r>
      <w:r w:rsidR="00707508">
        <w:t xml:space="preserve">styrke bemanningen på utvalgte områder. I sum </w:t>
      </w:r>
      <w:r w:rsidR="00F35954">
        <w:t xml:space="preserve">planlegges </w:t>
      </w:r>
      <w:r w:rsidR="00DA6999">
        <w:t xml:space="preserve">med dette </w:t>
      </w:r>
      <w:r w:rsidR="00F35954">
        <w:t xml:space="preserve">et høyere kostnadsnivå enn inntektsnivå </w:t>
      </w:r>
      <w:r w:rsidR="008C2520">
        <w:t xml:space="preserve">også </w:t>
      </w:r>
      <w:r w:rsidR="00F35954">
        <w:t>for fellesadministrasjonen</w:t>
      </w:r>
      <w:r w:rsidR="00DA6999">
        <w:t xml:space="preserve"> i 2019.</w:t>
      </w:r>
    </w:p>
    <w:p w:rsidR="00D80B25" w:rsidRDefault="00D80B25" w:rsidP="000A71A5"/>
    <w:p w:rsidR="00066375" w:rsidRDefault="00066375" w:rsidP="00066375">
      <w:r>
        <w:t>Som følge av resultatet fra 2018, og den høye nedbygg</w:t>
      </w:r>
      <w:r w:rsidR="00910E25">
        <w:t xml:space="preserve">ingen av NTNUs avsetningsnivå </w:t>
      </w:r>
      <w:r w:rsidR="004B59DC">
        <w:t>dette året</w:t>
      </w:r>
      <w:r>
        <w:t xml:space="preserve">, ser Rektor nå et behov for i </w:t>
      </w:r>
      <w:r w:rsidR="004B59DC">
        <w:t xml:space="preserve">sterkere </w:t>
      </w:r>
      <w:r>
        <w:t xml:space="preserve">grad å </w:t>
      </w:r>
      <w:r w:rsidRPr="00E055D5">
        <w:t xml:space="preserve">koordinere nedbyggingen i budsjettene fremover. Det er på sikt ønskelig å ha et avsetningsnivå i </w:t>
      </w:r>
      <w:r w:rsidRPr="00502325">
        <w:t xml:space="preserve">størrelsesorden </w:t>
      </w:r>
      <w:r w:rsidR="00E055D5" w:rsidRPr="00502325">
        <w:t>200-500 mill.kr</w:t>
      </w:r>
      <w:r w:rsidR="00E055D5">
        <w:t xml:space="preserve"> </w:t>
      </w:r>
      <w:r w:rsidR="00F35954">
        <w:t>for at</w:t>
      </w:r>
      <w:r w:rsidR="004B59DC">
        <w:t xml:space="preserve"> NTNU </w:t>
      </w:r>
      <w:r w:rsidR="00F35954">
        <w:t>skal ha et handlingsrom til</w:t>
      </w:r>
      <w:r>
        <w:t xml:space="preserve"> å kunne gjennomføre investeringer</w:t>
      </w:r>
      <w:r w:rsidR="00910E25">
        <w:t xml:space="preserve"> av en viss størrelse</w:t>
      </w:r>
      <w:r>
        <w:t xml:space="preserve"> uten å ta ned fordelingen til enhetene. </w:t>
      </w:r>
    </w:p>
    <w:p w:rsidR="00066375" w:rsidRDefault="00066375" w:rsidP="00066375"/>
    <w:p w:rsidR="00DB6621" w:rsidRDefault="00066375" w:rsidP="00F35954">
      <w:r>
        <w:t>Ved inngangen til 2019 har NTNU en samlet avsetning på 331 mill.kr, noe som utgjør ca 5% av</w:t>
      </w:r>
      <w:r w:rsidR="00910E25">
        <w:t xml:space="preserve"> bevilgningen fra K</w:t>
      </w:r>
      <w:r>
        <w:t xml:space="preserve">unnskapsdepartementet. Det ligger ca 617 mill.kr som avsetninger ute på fakultetene og instituttene, og som en motpost til dette har Rektor </w:t>
      </w:r>
      <w:r w:rsidR="009B462D">
        <w:t>iverksatt</w:t>
      </w:r>
      <w:r>
        <w:t xml:space="preserve"> en forskuttering av aktivitet på til sammen ca 300 mill.kr knyttet til </w:t>
      </w:r>
      <w:r w:rsidR="009B462D">
        <w:t xml:space="preserve">blant annet </w:t>
      </w:r>
      <w:r>
        <w:t xml:space="preserve">ulike vedlikeholdstiltak, vitenskapelig utstyr, PCer og fordeling av ekstra rekrutteringsstillinger. </w:t>
      </w:r>
      <w:r w:rsidR="00B26140">
        <w:t xml:space="preserve">Rektor </w:t>
      </w:r>
      <w:r w:rsidR="009B462D">
        <w:t xml:space="preserve">mener det </w:t>
      </w:r>
      <w:r w:rsidR="00F35954">
        <w:t>er strategisk viktig å videreføre de tiltakene som er igangsatt og</w:t>
      </w:r>
      <w:r w:rsidR="00DB6621">
        <w:t xml:space="preserve"> at aktivitetsnivået som er lagt inn i budsjett 2019 er forsvarlig. Samtidig er det behov for å vurdere nivået på der ubrukte bevilgningene i årene fremover. Det</w:t>
      </w:r>
      <w:r w:rsidR="00F35954">
        <w:t>te</w:t>
      </w:r>
      <w:r w:rsidR="00DB6621">
        <w:t xml:space="preserve"> har vi mulighet til gjennom å se på </w:t>
      </w:r>
      <w:r w:rsidR="0036377C">
        <w:t xml:space="preserve">framtidig </w:t>
      </w:r>
      <w:r w:rsidR="00DB6621">
        <w:t xml:space="preserve">bevilgningsfordeling </w:t>
      </w:r>
      <w:r w:rsidR="0036377C">
        <w:t>i forhold til</w:t>
      </w:r>
      <w:r w:rsidR="00DB6621">
        <w:t xml:space="preserve"> de forskutteringene som er gjort. </w:t>
      </w:r>
    </w:p>
    <w:p w:rsidR="00F35954" w:rsidRDefault="00F35954" w:rsidP="000A71A5"/>
    <w:p w:rsidR="009B462D" w:rsidRDefault="009B462D" w:rsidP="000A71A5">
      <w:r>
        <w:t xml:space="preserve">Dersom aktiviteten blir som </w:t>
      </w:r>
      <w:r w:rsidR="00BB2888">
        <w:t>budsjettert i 2019, vil NTNU ha et avsetningsnivået ved utgangen av året på ca 155 mill.kr. På sikt er det</w:t>
      </w:r>
      <w:r w:rsidR="00501D30">
        <w:t>te</w:t>
      </w:r>
      <w:r w:rsidR="00BB2888">
        <w:t xml:space="preserve"> et avsetningsnivå i nedre sjikt av hva som er ønskelig</w:t>
      </w:r>
      <w:r w:rsidR="0036377C">
        <w:t xml:space="preserve"> for NTNU å ha, og det vil i 2019</w:t>
      </w:r>
      <w:r w:rsidR="00FC2A2A">
        <w:t xml:space="preserve"> ikke </w:t>
      </w:r>
      <w:r w:rsidR="0036377C">
        <w:t xml:space="preserve">bli </w:t>
      </w:r>
      <w:r w:rsidR="00FC2A2A">
        <w:t>iverks</w:t>
      </w:r>
      <w:r w:rsidR="0036377C">
        <w:t>att ekstra tiltak</w:t>
      </w:r>
      <w:r w:rsidR="00FC2A2A">
        <w:t xml:space="preserve"> dersom </w:t>
      </w:r>
      <w:r w:rsidR="0036377C">
        <w:t xml:space="preserve">det oppstår </w:t>
      </w:r>
      <w:r w:rsidR="00FC2A2A">
        <w:t>forsinkelser</w:t>
      </w:r>
      <w:r w:rsidR="0036377C">
        <w:t xml:space="preserve"> eller mindreforbruk</w:t>
      </w:r>
      <w:r w:rsidR="00FC2A2A">
        <w:t xml:space="preserve">, </w:t>
      </w:r>
      <w:r w:rsidR="00501D30">
        <w:t>I det foreløpige langtidsbudsjettet</w:t>
      </w:r>
      <w:r w:rsidR="00560A2D">
        <w:t xml:space="preserve"> legges det i de kommende årene opp til at kostnadene og inntektene er mer balanserte, og at endringene i avsetningsnivået blir mindre fra år til år enn det som har vært tilfelle de siste par årene. </w:t>
      </w:r>
    </w:p>
    <w:p w:rsidR="00C30ED6" w:rsidRDefault="00C30ED6" w:rsidP="000A71A5"/>
    <w:p w:rsidR="000A71A5" w:rsidRDefault="000A71A5" w:rsidP="000A71A5">
      <w:pPr>
        <w:rPr>
          <w:b/>
        </w:rPr>
      </w:pPr>
      <w:r w:rsidRPr="006E01CE">
        <w:rPr>
          <w:b/>
        </w:rPr>
        <w:t>Risikovurdering</w:t>
      </w:r>
      <w:r w:rsidR="00B11D60" w:rsidRPr="006E01CE">
        <w:rPr>
          <w:b/>
        </w:rPr>
        <w:t>er</w:t>
      </w:r>
      <w:r w:rsidR="001D3BD9">
        <w:rPr>
          <w:b/>
        </w:rPr>
        <w:t xml:space="preserve"> </w:t>
      </w:r>
    </w:p>
    <w:p w:rsidR="007A6994" w:rsidRDefault="007A6994" w:rsidP="000A71A5">
      <w:pPr>
        <w:rPr>
          <w:b/>
        </w:rPr>
      </w:pPr>
    </w:p>
    <w:p w:rsidR="001D3BD9" w:rsidRPr="001D3BD9" w:rsidRDefault="007A6994" w:rsidP="001D3BD9">
      <w:r>
        <w:t>Fremdriften i samlok</w:t>
      </w:r>
      <w:r w:rsidR="001D3BD9">
        <w:t>aliseringsprosjektet vil være en</w:t>
      </w:r>
      <w:r>
        <w:t xml:space="preserve"> risiko</w:t>
      </w:r>
      <w:r w:rsidR="001D3BD9">
        <w:t xml:space="preserve"> også i budsjett for 2019. </w:t>
      </w:r>
      <w:r w:rsidR="001D3BD9" w:rsidRPr="001D3BD9">
        <w:t xml:space="preserve">Hvis det oppstår forsinkelser i ett prosjekt vil det også kunne medføre forsinkelser i andre prosjekter. Samlokaliseringsprosjektet består av </w:t>
      </w:r>
      <w:r w:rsidR="001D3BD9">
        <w:t>flere</w:t>
      </w:r>
      <w:r w:rsidR="001D3BD9" w:rsidRPr="001D3BD9">
        <w:t xml:space="preserve"> delprosjekter med gjensidige avhengigheter i forhold til tidspunkt fo</w:t>
      </w:r>
      <w:r w:rsidR="001D3BD9">
        <w:t xml:space="preserve">r mulig oppstart og fullføring, så her vil det alltid være en risiko for forsinkelser. </w:t>
      </w:r>
    </w:p>
    <w:p w:rsidR="007A6994" w:rsidRDefault="007A6994" w:rsidP="000A71A5"/>
    <w:p w:rsidR="00EE7F36" w:rsidRDefault="001D3BD9" w:rsidP="000A71A5">
      <w:r>
        <w:t xml:space="preserve">I budsjettet er det også </w:t>
      </w:r>
      <w:r w:rsidR="0036377C">
        <w:t xml:space="preserve">for 2019 </w:t>
      </w:r>
      <w:r>
        <w:t xml:space="preserve">lagt opp til bemanningsvekst, </w:t>
      </w:r>
      <w:r w:rsidR="004B59DC">
        <w:t xml:space="preserve">og </w:t>
      </w:r>
      <w:r w:rsidR="00EE7F36">
        <w:t>en realøkning i lønnskostnader på anslagsvis 140 mill.kr sammenlignet med 2018. HR-kapasiteten i organisasjonen er styrket gjennom de siste par årene, men det vil alltid være noe usikkerhet rundt</w:t>
      </w:r>
      <w:r w:rsidR="004B59DC">
        <w:t xml:space="preserve"> framdriften i</w:t>
      </w:r>
      <w:r w:rsidR="00EE7F36">
        <w:t xml:space="preserve"> rekrutteringsprosesser og tiden det tar før nye stillinger er besatt. </w:t>
      </w:r>
    </w:p>
    <w:p w:rsidR="00EE7F36" w:rsidRDefault="00EE7F36" w:rsidP="000A71A5"/>
    <w:p w:rsidR="001D3BD9" w:rsidRDefault="00EE7F36" w:rsidP="000A71A5">
      <w:r>
        <w:t>Konsekvensen</w:t>
      </w:r>
      <w:r w:rsidR="00162C04">
        <w:t>e</w:t>
      </w:r>
      <w:r>
        <w:t xml:space="preserve"> av samspill</w:t>
      </w:r>
      <w:r w:rsidR="00162C04">
        <w:t>et</w:t>
      </w:r>
      <w:r>
        <w:t xml:space="preserve"> mellom BOA</w:t>
      </w:r>
      <w:r w:rsidR="00162C04">
        <w:t>-</w:t>
      </w:r>
      <w:r>
        <w:t xml:space="preserve"> og </w:t>
      </w:r>
      <w:r w:rsidR="00162C04">
        <w:t xml:space="preserve">bevilgningsøkonomien vil være </w:t>
      </w:r>
      <w:r>
        <w:t xml:space="preserve">en risiko </w:t>
      </w:r>
      <w:r w:rsidR="00E055D5">
        <w:t>også i 2019</w:t>
      </w:r>
      <w:r>
        <w:t xml:space="preserve">. Størrelsen på </w:t>
      </w:r>
      <w:r w:rsidR="00910E25">
        <w:t>årets BOA-portefølje</w:t>
      </w:r>
      <w:r>
        <w:t xml:space="preserve"> vil aldri være 100% sikker ved årets start. Nye prosjekter vil tilkomme gjennom året, og den </w:t>
      </w:r>
      <w:r w:rsidR="009D024A">
        <w:t xml:space="preserve">økonomiske </w:t>
      </w:r>
      <w:r>
        <w:t>konsekvensen</w:t>
      </w:r>
      <w:r w:rsidR="009D024A">
        <w:t xml:space="preserve"> dette vil ha</w:t>
      </w:r>
      <w:r>
        <w:t xml:space="preserve"> for bevilgningsøkonomien</w:t>
      </w:r>
      <w:r w:rsidR="009D024A">
        <w:t xml:space="preserve"> </w:t>
      </w:r>
      <w:r>
        <w:t>vi</w:t>
      </w:r>
      <w:r w:rsidR="009D024A">
        <w:t xml:space="preserve">l aldri være helt forutsigbar. Fra og med 2019 skal også alle nye EVU-prosjekter </w:t>
      </w:r>
      <w:r w:rsidR="00DB6621">
        <w:t xml:space="preserve">budsjetteres </w:t>
      </w:r>
      <w:r w:rsidR="00162C04">
        <w:t>etter ny modell</w:t>
      </w:r>
      <w:r w:rsidR="00DB6621">
        <w:t>, og det er</w:t>
      </w:r>
      <w:r w:rsidR="00162C04">
        <w:t xml:space="preserve"> </w:t>
      </w:r>
      <w:r w:rsidR="009D024A">
        <w:t xml:space="preserve">en </w:t>
      </w:r>
      <w:r w:rsidR="0036377C">
        <w:t>usikkerhet</w:t>
      </w:r>
      <w:r w:rsidR="009D024A">
        <w:t xml:space="preserve"> rundt hvorvidt denne aktiviteten er budsjettert på riktig nivå</w:t>
      </w:r>
      <w:r w:rsidR="00DB6621">
        <w:t xml:space="preserve"> for 2019.</w:t>
      </w:r>
    </w:p>
    <w:p w:rsidR="00D93975" w:rsidRDefault="00D93975" w:rsidP="000A71A5"/>
    <w:p w:rsidR="00D93975" w:rsidRDefault="00D93975" w:rsidP="000A71A5">
      <w:r>
        <w:t>Tildeling av</w:t>
      </w:r>
      <w:r w:rsidR="000C4CCC">
        <w:t xml:space="preserve"> nye</w:t>
      </w:r>
      <w:r>
        <w:t xml:space="preserve"> bevilgninger gjennom året vil også være en usikkerhetsfaktor i budsjettet. Det er eksempelvis utlyst </w:t>
      </w:r>
      <w:r w:rsidR="000C4CCC">
        <w:t xml:space="preserve">136 mill.kr i </w:t>
      </w:r>
      <w:r>
        <w:t>midler til oppgradering og tilpasning av undervisnings</w:t>
      </w:r>
      <w:r w:rsidR="000C4CCC">
        <w:t xml:space="preserve"> </w:t>
      </w:r>
      <w:r>
        <w:t>-og forskningsareal</w:t>
      </w:r>
      <w:r w:rsidR="00AF6079">
        <w:t xml:space="preserve"> fra Kunnskapsdepartementet</w:t>
      </w:r>
      <w:r w:rsidR="000C4CCC">
        <w:t xml:space="preserve">. NTNU vil dermed gjennom søknad kunne </w:t>
      </w:r>
      <w:r w:rsidR="00AF6079">
        <w:t>motta deler av dette beløpet som støtte til våre planlagte arealutviklingstiltak på dette området.</w:t>
      </w:r>
      <w:r w:rsidR="00910E25">
        <w:t xml:space="preserve"> Om, og hvor mye, NTNU tildeles fra denne potten vil ikke være klart før i mai 2019. </w:t>
      </w:r>
      <w:r w:rsidR="000C4CCC">
        <w:t xml:space="preserve"> </w:t>
      </w:r>
    </w:p>
    <w:p w:rsidR="001D3BD9" w:rsidRDefault="001D3BD9" w:rsidP="000A71A5"/>
    <w:p w:rsidR="00AF6079" w:rsidRDefault="00AF6079" w:rsidP="000A71A5"/>
    <w:p w:rsidR="00620E98" w:rsidRPr="00F43233" w:rsidRDefault="00620E98" w:rsidP="009D024A">
      <w:pPr>
        <w:rPr>
          <w:color w:val="808080" w:themeColor="background1" w:themeShade="80"/>
        </w:rPr>
      </w:pPr>
    </w:p>
    <w:sectPr w:rsidR="00620E98" w:rsidRPr="00F43233" w:rsidSect="00D92893">
      <w:headerReference w:type="default" r:id="rId9"/>
      <w:footerReference w:type="default" r:id="rId10"/>
      <w:footerReference w:type="first" r:id="rId11"/>
      <w:pgSz w:w="11907" w:h="16840" w:code="9"/>
      <w:pgMar w:top="624" w:right="708" w:bottom="1276" w:left="1247" w:header="624" w:footer="737"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6D" w:rsidRDefault="00D15C6D">
      <w:r>
        <w:separator/>
      </w:r>
    </w:p>
  </w:endnote>
  <w:endnote w:type="continuationSeparator" w:id="0">
    <w:p w:rsidR="00D15C6D" w:rsidRDefault="00D15C6D">
      <w:r>
        <w:continuationSeparator/>
      </w:r>
    </w:p>
  </w:endnote>
  <w:endnote w:type="continuationNotice" w:id="1">
    <w:p w:rsidR="00D15C6D" w:rsidRDefault="00D15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9" w:rsidRDefault="00EA44F9">
    <w:pPr>
      <w:pStyle w:val="Footer"/>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PageNumber"/>
        <w:sz w:val="20"/>
      </w:rPr>
      <w:fldChar w:fldCharType="begin"/>
    </w:r>
    <w:r>
      <w:rPr>
        <w:rStyle w:val="PageNumber"/>
        <w:sz w:val="20"/>
      </w:rPr>
      <w:instrText xml:space="preserve"> PAGE </w:instrText>
    </w:r>
    <w:r>
      <w:rPr>
        <w:rStyle w:val="PageNumber"/>
        <w:sz w:val="20"/>
      </w:rPr>
      <w:fldChar w:fldCharType="separate"/>
    </w:r>
    <w:r w:rsidR="00181919">
      <w:rPr>
        <w:rStyle w:val="PageNumber"/>
        <w:noProof/>
        <w:sz w:val="20"/>
      </w:rPr>
      <w:t>4</w:t>
    </w:r>
    <w:r>
      <w:rPr>
        <w:rStyle w:val="PageNumber"/>
        <w:sz w:val="20"/>
      </w:rPr>
      <w:fldChar w:fldCharType="end"/>
    </w:r>
    <w:r>
      <w:rPr>
        <w:rStyle w:val="PageNumber"/>
        <w:sz w:val="20"/>
      </w:rPr>
      <w:t xml:space="preserve"> av </w:t>
    </w:r>
    <w:r>
      <w:rPr>
        <w:rStyle w:val="PageNumber"/>
        <w:sz w:val="20"/>
      </w:rPr>
      <w:fldChar w:fldCharType="begin"/>
    </w:r>
    <w:r>
      <w:rPr>
        <w:rStyle w:val="PageNumber"/>
        <w:sz w:val="20"/>
      </w:rPr>
      <w:instrText xml:space="preserve"> NUMPAGES  \* MERGEFORMAT </w:instrText>
    </w:r>
    <w:r>
      <w:rPr>
        <w:rStyle w:val="PageNumber"/>
        <w:sz w:val="20"/>
      </w:rPr>
      <w:fldChar w:fldCharType="separate"/>
    </w:r>
    <w:r w:rsidR="00181919">
      <w:rPr>
        <w:rStyle w:val="PageNumber"/>
        <w:noProof/>
        <w:sz w:val="20"/>
      </w:rPr>
      <w:t>5</w:t>
    </w:r>
    <w:r>
      <w:rPr>
        <w:rStyle w:val="PageNumber"/>
        <w:sz w:val="20"/>
      </w:rPr>
      <w:fldChar w:fldCharType="end"/>
    </w:r>
  </w:p>
  <w:p w:rsidR="00EA44F9" w:rsidRDefault="00EA44F9">
    <w:pPr>
      <w:pStyle w:val="Footer"/>
      <w:tabs>
        <w:tab w:val="clear" w:pos="4536"/>
        <w:tab w:val="clear" w:pos="9072"/>
        <w:tab w:val="left" w:pos="2495"/>
        <w:tab w:val="left" w:pos="4990"/>
        <w:tab w:val="left" w:pos="5670"/>
        <w:tab w:val="right" w:pos="9809"/>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9" w:rsidRDefault="00EA44F9">
    <w:pPr>
      <w:pStyle w:val="Footer"/>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PageNumber"/>
        <w:sz w:val="20"/>
      </w:rPr>
      <w:fldChar w:fldCharType="begin"/>
    </w:r>
    <w:r>
      <w:rPr>
        <w:rStyle w:val="PageNumber"/>
        <w:sz w:val="20"/>
      </w:rPr>
      <w:instrText xml:space="preserve"> PAGE </w:instrText>
    </w:r>
    <w:r>
      <w:rPr>
        <w:rStyle w:val="PageNumber"/>
        <w:sz w:val="20"/>
      </w:rPr>
      <w:fldChar w:fldCharType="separate"/>
    </w:r>
    <w:r w:rsidR="000E2956">
      <w:rPr>
        <w:rStyle w:val="PageNumber"/>
        <w:noProof/>
        <w:sz w:val="20"/>
      </w:rPr>
      <w:t>1</w:t>
    </w:r>
    <w:r>
      <w:rPr>
        <w:rStyle w:val="PageNumber"/>
        <w:sz w:val="20"/>
      </w:rPr>
      <w:fldChar w:fldCharType="end"/>
    </w:r>
    <w:r>
      <w:rPr>
        <w:rStyle w:val="PageNumber"/>
        <w:sz w:val="20"/>
      </w:rPr>
      <w:t xml:space="preserve"> av </w:t>
    </w:r>
    <w:r>
      <w:rPr>
        <w:rStyle w:val="PageNumber"/>
        <w:sz w:val="20"/>
      </w:rPr>
      <w:fldChar w:fldCharType="begin"/>
    </w:r>
    <w:r>
      <w:rPr>
        <w:rStyle w:val="PageNumber"/>
        <w:sz w:val="20"/>
      </w:rPr>
      <w:instrText xml:space="preserve"> NUMPAGES  \* MERGEFORMAT </w:instrText>
    </w:r>
    <w:r>
      <w:rPr>
        <w:rStyle w:val="PageNumber"/>
        <w:sz w:val="20"/>
      </w:rPr>
      <w:fldChar w:fldCharType="separate"/>
    </w:r>
    <w:r w:rsidR="000E2956">
      <w:rPr>
        <w:rStyle w:val="PageNumber"/>
        <w:noProof/>
        <w:sz w:val="20"/>
      </w:rPr>
      <w:t>1</w:t>
    </w:r>
    <w:r>
      <w:rPr>
        <w:rStyle w:val="PageNumber"/>
        <w:sz w:val="20"/>
      </w:rPr>
      <w:fldChar w:fldCharType="end"/>
    </w:r>
  </w:p>
  <w:p w:rsidR="00EA44F9" w:rsidRDefault="00EA44F9">
    <w:pPr>
      <w:pStyle w:val="Footer"/>
      <w:tabs>
        <w:tab w:val="clear" w:pos="4536"/>
        <w:tab w:val="clear" w:pos="9072"/>
        <w:tab w:val="left" w:pos="2495"/>
        <w:tab w:val="left" w:pos="4990"/>
        <w:tab w:val="left" w:pos="5670"/>
        <w:tab w:val="right" w:pos="9809"/>
      </w:tabs>
      <w:rPr>
        <w:sz w:val="16"/>
      </w:rPr>
    </w:pPr>
  </w:p>
  <w:p w:rsidR="00EA44F9" w:rsidRDefault="00EA44F9">
    <w:pPr>
      <w:pStyle w:val="Footer"/>
      <w:tabs>
        <w:tab w:val="clear" w:pos="4536"/>
        <w:tab w:val="clear" w:pos="9072"/>
        <w:tab w:val="left" w:pos="2495"/>
        <w:tab w:val="left" w:pos="4990"/>
        <w:tab w:val="left" w:pos="5670"/>
        <w:tab w:val="right" w:pos="9809"/>
      </w:tabs>
      <w:rPr>
        <w:sz w:val="16"/>
      </w:rPr>
    </w:pPr>
    <w:r>
      <w:rPr>
        <w:sz w:val="16"/>
      </w:rPr>
      <w:tab/>
    </w: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6D" w:rsidRDefault="00D15C6D">
      <w:r>
        <w:separator/>
      </w:r>
    </w:p>
  </w:footnote>
  <w:footnote w:type="continuationSeparator" w:id="0">
    <w:p w:rsidR="00D15C6D" w:rsidRDefault="00D15C6D">
      <w:r>
        <w:continuationSeparator/>
      </w:r>
    </w:p>
  </w:footnote>
  <w:footnote w:type="continuationNotice" w:id="1">
    <w:p w:rsidR="00D15C6D" w:rsidRDefault="00D15C6D"/>
  </w:footnote>
  <w:footnote w:id="2">
    <w:p w:rsidR="00EA44F9" w:rsidRPr="00123103" w:rsidRDefault="00EA44F9">
      <w:pPr>
        <w:pStyle w:val="FootnoteText"/>
        <w:rPr>
          <w:lang w:val="nb-NO"/>
        </w:rPr>
      </w:pPr>
      <w:r>
        <w:rPr>
          <w:rStyle w:val="FootnoteReference"/>
        </w:rPr>
        <w:footnoteRef/>
      </w:r>
      <w:r w:rsidRPr="006B4DFD">
        <w:rPr>
          <w:lang w:val="nb-NO"/>
        </w:rPr>
        <w:t xml:space="preserve"> Begrepet BOA-a</w:t>
      </w:r>
      <w:r>
        <w:rPr>
          <w:lang w:val="nb-NO"/>
        </w:rPr>
        <w:t xml:space="preserve">ktivitet defineres her som </w:t>
      </w:r>
      <w:r w:rsidRPr="00123103">
        <w:rPr>
          <w:i/>
          <w:lang w:val="nb-NO"/>
        </w:rPr>
        <w:t>aktivitet finansiert av eksterne kilder</w:t>
      </w:r>
      <w:r>
        <w:rPr>
          <w:lang w:val="nb-NO"/>
        </w:rPr>
        <w:t xml:space="preserve"> (</w:t>
      </w:r>
      <w:r w:rsidRPr="00123103">
        <w:rPr>
          <w:lang w:val="nb-NO"/>
        </w:rPr>
        <w:t>dvs inntektfø</w:t>
      </w:r>
      <w:r>
        <w:rPr>
          <w:lang w:val="nb-NO"/>
        </w:rPr>
        <w:t xml:space="preserve">rte midler fra eksterne kilder)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9" w:rsidRDefault="00EA44F9">
    <w:pPr>
      <w:pStyle w:val="Header"/>
      <w:spacing w:line="240" w:lineRule="exact"/>
    </w:pPr>
    <w:r>
      <w:t xml:space="preserve"> </w:t>
    </w:r>
  </w:p>
  <w:p w:rsidR="00EA44F9" w:rsidRDefault="00EA44F9">
    <w:pPr>
      <w:pStyle w:val="Header"/>
      <w:spacing w:line="240" w:lineRule="exact"/>
    </w:pPr>
    <w:r>
      <w:t xml:space="preserve"> </w:t>
    </w:r>
  </w:p>
  <w:p w:rsidR="00EA44F9" w:rsidRDefault="00EA44F9">
    <w:pPr>
      <w:pStyle w:val="Header"/>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91E"/>
    <w:multiLevelType w:val="hybridMultilevel"/>
    <w:tmpl w:val="EB4A0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3531E3"/>
    <w:multiLevelType w:val="hybridMultilevel"/>
    <w:tmpl w:val="1592F038"/>
    <w:lvl w:ilvl="0" w:tplc="0A1A0A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12470"/>
    <w:multiLevelType w:val="hybridMultilevel"/>
    <w:tmpl w:val="EB4A0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414104"/>
    <w:multiLevelType w:val="hybridMultilevel"/>
    <w:tmpl w:val="A8262D56"/>
    <w:lvl w:ilvl="0" w:tplc="8522ED3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6344C2"/>
    <w:multiLevelType w:val="hybridMultilevel"/>
    <w:tmpl w:val="8C34181E"/>
    <w:lvl w:ilvl="0" w:tplc="A53805A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E0374"/>
    <w:multiLevelType w:val="hybridMultilevel"/>
    <w:tmpl w:val="529EED9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0F5868C3"/>
    <w:multiLevelType w:val="hybridMultilevel"/>
    <w:tmpl w:val="AF365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8E5D9F"/>
    <w:multiLevelType w:val="hybridMultilevel"/>
    <w:tmpl w:val="17BC05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627776"/>
    <w:multiLevelType w:val="hybridMultilevel"/>
    <w:tmpl w:val="7C0A0B8C"/>
    <w:lvl w:ilvl="0" w:tplc="0414000F">
      <w:start w:val="1"/>
      <w:numFmt w:val="decimal"/>
      <w:lvlText w:val="%1."/>
      <w:lvlJc w:val="left"/>
      <w:pPr>
        <w:ind w:left="720" w:hanging="360"/>
      </w:pPr>
      <w:rPr>
        <w:rFonts w:eastAsia="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F1548C"/>
    <w:multiLevelType w:val="hybridMultilevel"/>
    <w:tmpl w:val="9C0C1B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4E66F3B"/>
    <w:multiLevelType w:val="hybridMultilevel"/>
    <w:tmpl w:val="B08468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7915926"/>
    <w:multiLevelType w:val="hybridMultilevel"/>
    <w:tmpl w:val="95962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FF1201"/>
    <w:multiLevelType w:val="hybridMultilevel"/>
    <w:tmpl w:val="EB92CF30"/>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12D058D"/>
    <w:multiLevelType w:val="hybridMultilevel"/>
    <w:tmpl w:val="6A1AE7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0A726E"/>
    <w:multiLevelType w:val="hybridMultilevel"/>
    <w:tmpl w:val="283010DC"/>
    <w:lvl w:ilvl="0" w:tplc="B51ED2F8">
      <w:start w:val="20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DD6444"/>
    <w:multiLevelType w:val="hybridMultilevel"/>
    <w:tmpl w:val="91EEE706"/>
    <w:lvl w:ilvl="0" w:tplc="520E7D8E">
      <w:start w:val="1"/>
      <w:numFmt w:val="bullet"/>
      <w:lvlText w:val="•"/>
      <w:lvlJc w:val="left"/>
      <w:pPr>
        <w:tabs>
          <w:tab w:val="num" w:pos="720"/>
        </w:tabs>
        <w:ind w:left="720" w:hanging="360"/>
      </w:pPr>
      <w:rPr>
        <w:rFonts w:ascii="Arial" w:hAnsi="Arial" w:hint="default"/>
      </w:rPr>
    </w:lvl>
    <w:lvl w:ilvl="1" w:tplc="44F4D176" w:tentative="1">
      <w:start w:val="1"/>
      <w:numFmt w:val="bullet"/>
      <w:lvlText w:val="•"/>
      <w:lvlJc w:val="left"/>
      <w:pPr>
        <w:tabs>
          <w:tab w:val="num" w:pos="1440"/>
        </w:tabs>
        <w:ind w:left="1440" w:hanging="360"/>
      </w:pPr>
      <w:rPr>
        <w:rFonts w:ascii="Arial" w:hAnsi="Arial" w:hint="default"/>
      </w:rPr>
    </w:lvl>
    <w:lvl w:ilvl="2" w:tplc="19204D82" w:tentative="1">
      <w:start w:val="1"/>
      <w:numFmt w:val="bullet"/>
      <w:lvlText w:val="•"/>
      <w:lvlJc w:val="left"/>
      <w:pPr>
        <w:tabs>
          <w:tab w:val="num" w:pos="2160"/>
        </w:tabs>
        <w:ind w:left="2160" w:hanging="360"/>
      </w:pPr>
      <w:rPr>
        <w:rFonts w:ascii="Arial" w:hAnsi="Arial" w:hint="default"/>
      </w:rPr>
    </w:lvl>
    <w:lvl w:ilvl="3" w:tplc="EE9C77FE" w:tentative="1">
      <w:start w:val="1"/>
      <w:numFmt w:val="bullet"/>
      <w:lvlText w:val="•"/>
      <w:lvlJc w:val="left"/>
      <w:pPr>
        <w:tabs>
          <w:tab w:val="num" w:pos="2880"/>
        </w:tabs>
        <w:ind w:left="2880" w:hanging="360"/>
      </w:pPr>
      <w:rPr>
        <w:rFonts w:ascii="Arial" w:hAnsi="Arial" w:hint="default"/>
      </w:rPr>
    </w:lvl>
    <w:lvl w:ilvl="4" w:tplc="B1766954" w:tentative="1">
      <w:start w:val="1"/>
      <w:numFmt w:val="bullet"/>
      <w:lvlText w:val="•"/>
      <w:lvlJc w:val="left"/>
      <w:pPr>
        <w:tabs>
          <w:tab w:val="num" w:pos="3600"/>
        </w:tabs>
        <w:ind w:left="3600" w:hanging="360"/>
      </w:pPr>
      <w:rPr>
        <w:rFonts w:ascii="Arial" w:hAnsi="Arial" w:hint="default"/>
      </w:rPr>
    </w:lvl>
    <w:lvl w:ilvl="5" w:tplc="4740F13C" w:tentative="1">
      <w:start w:val="1"/>
      <w:numFmt w:val="bullet"/>
      <w:lvlText w:val="•"/>
      <w:lvlJc w:val="left"/>
      <w:pPr>
        <w:tabs>
          <w:tab w:val="num" w:pos="4320"/>
        </w:tabs>
        <w:ind w:left="4320" w:hanging="360"/>
      </w:pPr>
      <w:rPr>
        <w:rFonts w:ascii="Arial" w:hAnsi="Arial" w:hint="default"/>
      </w:rPr>
    </w:lvl>
    <w:lvl w:ilvl="6" w:tplc="0BFAF0FA" w:tentative="1">
      <w:start w:val="1"/>
      <w:numFmt w:val="bullet"/>
      <w:lvlText w:val="•"/>
      <w:lvlJc w:val="left"/>
      <w:pPr>
        <w:tabs>
          <w:tab w:val="num" w:pos="5040"/>
        </w:tabs>
        <w:ind w:left="5040" w:hanging="360"/>
      </w:pPr>
      <w:rPr>
        <w:rFonts w:ascii="Arial" w:hAnsi="Arial" w:hint="default"/>
      </w:rPr>
    </w:lvl>
    <w:lvl w:ilvl="7" w:tplc="293A1E8A" w:tentative="1">
      <w:start w:val="1"/>
      <w:numFmt w:val="bullet"/>
      <w:lvlText w:val="•"/>
      <w:lvlJc w:val="left"/>
      <w:pPr>
        <w:tabs>
          <w:tab w:val="num" w:pos="5760"/>
        </w:tabs>
        <w:ind w:left="5760" w:hanging="360"/>
      </w:pPr>
      <w:rPr>
        <w:rFonts w:ascii="Arial" w:hAnsi="Arial" w:hint="default"/>
      </w:rPr>
    </w:lvl>
    <w:lvl w:ilvl="8" w:tplc="0A9205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4A6D5D"/>
    <w:multiLevelType w:val="hybridMultilevel"/>
    <w:tmpl w:val="B61E438A"/>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1" w:hanging="360"/>
      </w:pPr>
    </w:lvl>
    <w:lvl w:ilvl="2" w:tplc="0414001B" w:tentative="1">
      <w:start w:val="1"/>
      <w:numFmt w:val="lowerRoman"/>
      <w:lvlText w:val="%3."/>
      <w:lvlJc w:val="right"/>
      <w:pPr>
        <w:ind w:left="731" w:hanging="180"/>
      </w:pPr>
    </w:lvl>
    <w:lvl w:ilvl="3" w:tplc="0414000F" w:tentative="1">
      <w:start w:val="1"/>
      <w:numFmt w:val="decimal"/>
      <w:lvlText w:val="%4."/>
      <w:lvlJc w:val="left"/>
      <w:pPr>
        <w:ind w:left="1451" w:hanging="360"/>
      </w:pPr>
    </w:lvl>
    <w:lvl w:ilvl="4" w:tplc="04140019" w:tentative="1">
      <w:start w:val="1"/>
      <w:numFmt w:val="lowerLetter"/>
      <w:lvlText w:val="%5."/>
      <w:lvlJc w:val="left"/>
      <w:pPr>
        <w:ind w:left="2171" w:hanging="360"/>
      </w:pPr>
    </w:lvl>
    <w:lvl w:ilvl="5" w:tplc="0414001B" w:tentative="1">
      <w:start w:val="1"/>
      <w:numFmt w:val="lowerRoman"/>
      <w:lvlText w:val="%6."/>
      <w:lvlJc w:val="right"/>
      <w:pPr>
        <w:ind w:left="2891" w:hanging="180"/>
      </w:pPr>
    </w:lvl>
    <w:lvl w:ilvl="6" w:tplc="0414000F" w:tentative="1">
      <w:start w:val="1"/>
      <w:numFmt w:val="decimal"/>
      <w:lvlText w:val="%7."/>
      <w:lvlJc w:val="left"/>
      <w:pPr>
        <w:ind w:left="3611" w:hanging="360"/>
      </w:pPr>
    </w:lvl>
    <w:lvl w:ilvl="7" w:tplc="04140019" w:tentative="1">
      <w:start w:val="1"/>
      <w:numFmt w:val="lowerLetter"/>
      <w:lvlText w:val="%8."/>
      <w:lvlJc w:val="left"/>
      <w:pPr>
        <w:ind w:left="4331" w:hanging="360"/>
      </w:pPr>
    </w:lvl>
    <w:lvl w:ilvl="8" w:tplc="0414001B" w:tentative="1">
      <w:start w:val="1"/>
      <w:numFmt w:val="lowerRoman"/>
      <w:lvlText w:val="%9."/>
      <w:lvlJc w:val="right"/>
      <w:pPr>
        <w:ind w:left="5051" w:hanging="180"/>
      </w:pPr>
    </w:lvl>
  </w:abstractNum>
  <w:abstractNum w:abstractNumId="17" w15:restartNumberingAfterBreak="0">
    <w:nsid w:val="27FF1394"/>
    <w:multiLevelType w:val="hybridMultilevel"/>
    <w:tmpl w:val="5C8A905A"/>
    <w:lvl w:ilvl="0" w:tplc="7512B9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D7822C5"/>
    <w:multiLevelType w:val="hybridMultilevel"/>
    <w:tmpl w:val="49965CFE"/>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7A32543"/>
    <w:multiLevelType w:val="hybridMultilevel"/>
    <w:tmpl w:val="0F4419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54919"/>
    <w:multiLevelType w:val="hybridMultilevel"/>
    <w:tmpl w:val="703C3A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17970AB"/>
    <w:multiLevelType w:val="hybridMultilevel"/>
    <w:tmpl w:val="64CEAEB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8C3A60"/>
    <w:multiLevelType w:val="hybridMultilevel"/>
    <w:tmpl w:val="BF664E02"/>
    <w:lvl w:ilvl="0" w:tplc="16BCA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87901"/>
    <w:multiLevelType w:val="hybridMultilevel"/>
    <w:tmpl w:val="D05843B0"/>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1" w:hanging="360"/>
      </w:pPr>
    </w:lvl>
    <w:lvl w:ilvl="2" w:tplc="0414001B" w:tentative="1">
      <w:start w:val="1"/>
      <w:numFmt w:val="lowerRoman"/>
      <w:lvlText w:val="%3."/>
      <w:lvlJc w:val="right"/>
      <w:pPr>
        <w:ind w:left="731" w:hanging="180"/>
      </w:pPr>
    </w:lvl>
    <w:lvl w:ilvl="3" w:tplc="0414000F" w:tentative="1">
      <w:start w:val="1"/>
      <w:numFmt w:val="decimal"/>
      <w:lvlText w:val="%4."/>
      <w:lvlJc w:val="left"/>
      <w:pPr>
        <w:ind w:left="1451" w:hanging="360"/>
      </w:pPr>
    </w:lvl>
    <w:lvl w:ilvl="4" w:tplc="04140019" w:tentative="1">
      <w:start w:val="1"/>
      <w:numFmt w:val="lowerLetter"/>
      <w:lvlText w:val="%5."/>
      <w:lvlJc w:val="left"/>
      <w:pPr>
        <w:ind w:left="2171" w:hanging="360"/>
      </w:pPr>
    </w:lvl>
    <w:lvl w:ilvl="5" w:tplc="0414001B" w:tentative="1">
      <w:start w:val="1"/>
      <w:numFmt w:val="lowerRoman"/>
      <w:lvlText w:val="%6."/>
      <w:lvlJc w:val="right"/>
      <w:pPr>
        <w:ind w:left="2891" w:hanging="180"/>
      </w:pPr>
    </w:lvl>
    <w:lvl w:ilvl="6" w:tplc="0414000F" w:tentative="1">
      <w:start w:val="1"/>
      <w:numFmt w:val="decimal"/>
      <w:lvlText w:val="%7."/>
      <w:lvlJc w:val="left"/>
      <w:pPr>
        <w:ind w:left="3611" w:hanging="360"/>
      </w:pPr>
    </w:lvl>
    <w:lvl w:ilvl="7" w:tplc="04140019" w:tentative="1">
      <w:start w:val="1"/>
      <w:numFmt w:val="lowerLetter"/>
      <w:lvlText w:val="%8."/>
      <w:lvlJc w:val="left"/>
      <w:pPr>
        <w:ind w:left="4331" w:hanging="360"/>
      </w:pPr>
    </w:lvl>
    <w:lvl w:ilvl="8" w:tplc="0414001B" w:tentative="1">
      <w:start w:val="1"/>
      <w:numFmt w:val="lowerRoman"/>
      <w:lvlText w:val="%9."/>
      <w:lvlJc w:val="right"/>
      <w:pPr>
        <w:ind w:left="5051" w:hanging="180"/>
      </w:pPr>
    </w:lvl>
  </w:abstractNum>
  <w:abstractNum w:abstractNumId="24" w15:restartNumberingAfterBreak="0">
    <w:nsid w:val="4A003563"/>
    <w:multiLevelType w:val="multilevel"/>
    <w:tmpl w:val="F91E9A4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2E000E"/>
    <w:multiLevelType w:val="hybridMultilevel"/>
    <w:tmpl w:val="88441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A991719"/>
    <w:multiLevelType w:val="multilevel"/>
    <w:tmpl w:val="BBBA6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B7C18F3"/>
    <w:multiLevelType w:val="hybridMultilevel"/>
    <w:tmpl w:val="AF362336"/>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1" w:hanging="360"/>
      </w:pPr>
    </w:lvl>
    <w:lvl w:ilvl="2" w:tplc="0414001B" w:tentative="1">
      <w:start w:val="1"/>
      <w:numFmt w:val="lowerRoman"/>
      <w:lvlText w:val="%3."/>
      <w:lvlJc w:val="right"/>
      <w:pPr>
        <w:ind w:left="731" w:hanging="180"/>
      </w:pPr>
    </w:lvl>
    <w:lvl w:ilvl="3" w:tplc="0414000F" w:tentative="1">
      <w:start w:val="1"/>
      <w:numFmt w:val="decimal"/>
      <w:lvlText w:val="%4."/>
      <w:lvlJc w:val="left"/>
      <w:pPr>
        <w:ind w:left="1451" w:hanging="360"/>
      </w:pPr>
    </w:lvl>
    <w:lvl w:ilvl="4" w:tplc="04140019" w:tentative="1">
      <w:start w:val="1"/>
      <w:numFmt w:val="lowerLetter"/>
      <w:lvlText w:val="%5."/>
      <w:lvlJc w:val="left"/>
      <w:pPr>
        <w:ind w:left="2171" w:hanging="360"/>
      </w:pPr>
    </w:lvl>
    <w:lvl w:ilvl="5" w:tplc="0414001B" w:tentative="1">
      <w:start w:val="1"/>
      <w:numFmt w:val="lowerRoman"/>
      <w:lvlText w:val="%6."/>
      <w:lvlJc w:val="right"/>
      <w:pPr>
        <w:ind w:left="2891" w:hanging="180"/>
      </w:pPr>
    </w:lvl>
    <w:lvl w:ilvl="6" w:tplc="0414000F" w:tentative="1">
      <w:start w:val="1"/>
      <w:numFmt w:val="decimal"/>
      <w:lvlText w:val="%7."/>
      <w:lvlJc w:val="left"/>
      <w:pPr>
        <w:ind w:left="3611" w:hanging="360"/>
      </w:pPr>
    </w:lvl>
    <w:lvl w:ilvl="7" w:tplc="04140019" w:tentative="1">
      <w:start w:val="1"/>
      <w:numFmt w:val="lowerLetter"/>
      <w:lvlText w:val="%8."/>
      <w:lvlJc w:val="left"/>
      <w:pPr>
        <w:ind w:left="4331" w:hanging="360"/>
      </w:pPr>
    </w:lvl>
    <w:lvl w:ilvl="8" w:tplc="0414001B" w:tentative="1">
      <w:start w:val="1"/>
      <w:numFmt w:val="lowerRoman"/>
      <w:lvlText w:val="%9."/>
      <w:lvlJc w:val="right"/>
      <w:pPr>
        <w:ind w:left="5051" w:hanging="180"/>
      </w:pPr>
    </w:lvl>
  </w:abstractNum>
  <w:abstractNum w:abstractNumId="28" w15:restartNumberingAfterBreak="0">
    <w:nsid w:val="4F0B2990"/>
    <w:multiLevelType w:val="multilevel"/>
    <w:tmpl w:val="F91E9A4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8C3144"/>
    <w:multiLevelType w:val="hybridMultilevel"/>
    <w:tmpl w:val="653403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1" w:hanging="360"/>
      </w:pPr>
    </w:lvl>
    <w:lvl w:ilvl="2" w:tplc="0414001B" w:tentative="1">
      <w:start w:val="1"/>
      <w:numFmt w:val="lowerRoman"/>
      <w:lvlText w:val="%3."/>
      <w:lvlJc w:val="right"/>
      <w:pPr>
        <w:ind w:left="731" w:hanging="180"/>
      </w:pPr>
    </w:lvl>
    <w:lvl w:ilvl="3" w:tplc="0414000F" w:tentative="1">
      <w:start w:val="1"/>
      <w:numFmt w:val="decimal"/>
      <w:lvlText w:val="%4."/>
      <w:lvlJc w:val="left"/>
      <w:pPr>
        <w:ind w:left="1451" w:hanging="360"/>
      </w:pPr>
    </w:lvl>
    <w:lvl w:ilvl="4" w:tplc="04140019" w:tentative="1">
      <w:start w:val="1"/>
      <w:numFmt w:val="lowerLetter"/>
      <w:lvlText w:val="%5."/>
      <w:lvlJc w:val="left"/>
      <w:pPr>
        <w:ind w:left="2171" w:hanging="360"/>
      </w:pPr>
    </w:lvl>
    <w:lvl w:ilvl="5" w:tplc="0414001B" w:tentative="1">
      <w:start w:val="1"/>
      <w:numFmt w:val="lowerRoman"/>
      <w:lvlText w:val="%6."/>
      <w:lvlJc w:val="right"/>
      <w:pPr>
        <w:ind w:left="2891" w:hanging="180"/>
      </w:pPr>
    </w:lvl>
    <w:lvl w:ilvl="6" w:tplc="0414000F" w:tentative="1">
      <w:start w:val="1"/>
      <w:numFmt w:val="decimal"/>
      <w:lvlText w:val="%7."/>
      <w:lvlJc w:val="left"/>
      <w:pPr>
        <w:ind w:left="3611" w:hanging="360"/>
      </w:pPr>
    </w:lvl>
    <w:lvl w:ilvl="7" w:tplc="04140019" w:tentative="1">
      <w:start w:val="1"/>
      <w:numFmt w:val="lowerLetter"/>
      <w:lvlText w:val="%8."/>
      <w:lvlJc w:val="left"/>
      <w:pPr>
        <w:ind w:left="4331" w:hanging="360"/>
      </w:pPr>
    </w:lvl>
    <w:lvl w:ilvl="8" w:tplc="0414001B" w:tentative="1">
      <w:start w:val="1"/>
      <w:numFmt w:val="lowerRoman"/>
      <w:lvlText w:val="%9."/>
      <w:lvlJc w:val="right"/>
      <w:pPr>
        <w:ind w:left="5051" w:hanging="180"/>
      </w:pPr>
    </w:lvl>
  </w:abstractNum>
  <w:abstractNum w:abstractNumId="30" w15:restartNumberingAfterBreak="0">
    <w:nsid w:val="59BB14E9"/>
    <w:multiLevelType w:val="hybridMultilevel"/>
    <w:tmpl w:val="E19CC210"/>
    <w:lvl w:ilvl="0" w:tplc="A2620F86">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C71A92"/>
    <w:multiLevelType w:val="multilevel"/>
    <w:tmpl w:val="0F4A0024"/>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446A17"/>
    <w:multiLevelType w:val="hybridMultilevel"/>
    <w:tmpl w:val="B62A0C2C"/>
    <w:lvl w:ilvl="0" w:tplc="450C6D78">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678A73A" w:tentative="1">
      <w:start w:val="1"/>
      <w:numFmt w:val="decimal"/>
      <w:lvlText w:val="%3."/>
      <w:lvlJc w:val="left"/>
      <w:pPr>
        <w:tabs>
          <w:tab w:val="num" w:pos="1800"/>
        </w:tabs>
        <w:ind w:left="1800" w:hanging="360"/>
      </w:pPr>
    </w:lvl>
    <w:lvl w:ilvl="3" w:tplc="CD1660B2" w:tentative="1">
      <w:start w:val="1"/>
      <w:numFmt w:val="decimal"/>
      <w:lvlText w:val="%4."/>
      <w:lvlJc w:val="left"/>
      <w:pPr>
        <w:tabs>
          <w:tab w:val="num" w:pos="2520"/>
        </w:tabs>
        <w:ind w:left="2520" w:hanging="360"/>
      </w:pPr>
    </w:lvl>
    <w:lvl w:ilvl="4" w:tplc="EDD49688" w:tentative="1">
      <w:start w:val="1"/>
      <w:numFmt w:val="decimal"/>
      <w:lvlText w:val="%5."/>
      <w:lvlJc w:val="left"/>
      <w:pPr>
        <w:tabs>
          <w:tab w:val="num" w:pos="3240"/>
        </w:tabs>
        <w:ind w:left="3240" w:hanging="360"/>
      </w:pPr>
    </w:lvl>
    <w:lvl w:ilvl="5" w:tplc="4E80EDAE" w:tentative="1">
      <w:start w:val="1"/>
      <w:numFmt w:val="decimal"/>
      <w:lvlText w:val="%6."/>
      <w:lvlJc w:val="left"/>
      <w:pPr>
        <w:tabs>
          <w:tab w:val="num" w:pos="3960"/>
        </w:tabs>
        <w:ind w:left="3960" w:hanging="360"/>
      </w:pPr>
    </w:lvl>
    <w:lvl w:ilvl="6" w:tplc="EE8AA8F0" w:tentative="1">
      <w:start w:val="1"/>
      <w:numFmt w:val="decimal"/>
      <w:lvlText w:val="%7."/>
      <w:lvlJc w:val="left"/>
      <w:pPr>
        <w:tabs>
          <w:tab w:val="num" w:pos="4680"/>
        </w:tabs>
        <w:ind w:left="4680" w:hanging="360"/>
      </w:pPr>
    </w:lvl>
    <w:lvl w:ilvl="7" w:tplc="918E598A" w:tentative="1">
      <w:start w:val="1"/>
      <w:numFmt w:val="decimal"/>
      <w:lvlText w:val="%8."/>
      <w:lvlJc w:val="left"/>
      <w:pPr>
        <w:tabs>
          <w:tab w:val="num" w:pos="5400"/>
        </w:tabs>
        <w:ind w:left="5400" w:hanging="360"/>
      </w:pPr>
    </w:lvl>
    <w:lvl w:ilvl="8" w:tplc="76ECD60A" w:tentative="1">
      <w:start w:val="1"/>
      <w:numFmt w:val="decimal"/>
      <w:lvlText w:val="%9."/>
      <w:lvlJc w:val="left"/>
      <w:pPr>
        <w:tabs>
          <w:tab w:val="num" w:pos="6120"/>
        </w:tabs>
        <w:ind w:left="6120" w:hanging="360"/>
      </w:pPr>
    </w:lvl>
  </w:abstractNum>
  <w:abstractNum w:abstractNumId="33" w15:restartNumberingAfterBreak="0">
    <w:nsid w:val="5D25116E"/>
    <w:multiLevelType w:val="multilevel"/>
    <w:tmpl w:val="2A2897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2081DC5"/>
    <w:multiLevelType w:val="hybridMultilevel"/>
    <w:tmpl w:val="B7EEBEB8"/>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597183B"/>
    <w:multiLevelType w:val="hybridMultilevel"/>
    <w:tmpl w:val="06FEA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6E4184D"/>
    <w:multiLevelType w:val="multilevel"/>
    <w:tmpl w:val="CFDEF7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1C28A1"/>
    <w:multiLevelType w:val="hybridMultilevel"/>
    <w:tmpl w:val="2D2EA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D1D3026"/>
    <w:multiLevelType w:val="hybridMultilevel"/>
    <w:tmpl w:val="B902F79E"/>
    <w:lvl w:ilvl="0" w:tplc="AA82D4FE">
      <w:start w:val="20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CF22E7"/>
    <w:multiLevelType w:val="hybridMultilevel"/>
    <w:tmpl w:val="3D08CEF2"/>
    <w:lvl w:ilvl="0" w:tplc="BF3CF4AC">
      <w:start w:val="1"/>
      <w:numFmt w:val="bullet"/>
      <w:lvlText w:val="–"/>
      <w:lvlJc w:val="left"/>
      <w:pPr>
        <w:tabs>
          <w:tab w:val="num" w:pos="720"/>
        </w:tabs>
        <w:ind w:left="720" w:hanging="360"/>
      </w:pPr>
      <w:rPr>
        <w:rFonts w:ascii="Arial" w:hAnsi="Arial" w:hint="default"/>
      </w:rPr>
    </w:lvl>
    <w:lvl w:ilvl="1" w:tplc="FF3EBC08">
      <w:start w:val="1"/>
      <w:numFmt w:val="bullet"/>
      <w:lvlText w:val="–"/>
      <w:lvlJc w:val="left"/>
      <w:pPr>
        <w:tabs>
          <w:tab w:val="num" w:pos="1440"/>
        </w:tabs>
        <w:ind w:left="1440" w:hanging="360"/>
      </w:pPr>
      <w:rPr>
        <w:rFonts w:ascii="Arial" w:hAnsi="Arial" w:hint="default"/>
      </w:rPr>
    </w:lvl>
    <w:lvl w:ilvl="2" w:tplc="F07C85E2" w:tentative="1">
      <w:start w:val="1"/>
      <w:numFmt w:val="bullet"/>
      <w:lvlText w:val="–"/>
      <w:lvlJc w:val="left"/>
      <w:pPr>
        <w:tabs>
          <w:tab w:val="num" w:pos="2160"/>
        </w:tabs>
        <w:ind w:left="2160" w:hanging="360"/>
      </w:pPr>
      <w:rPr>
        <w:rFonts w:ascii="Arial" w:hAnsi="Arial" w:hint="default"/>
      </w:rPr>
    </w:lvl>
    <w:lvl w:ilvl="3" w:tplc="C44AFD90" w:tentative="1">
      <w:start w:val="1"/>
      <w:numFmt w:val="bullet"/>
      <w:lvlText w:val="–"/>
      <w:lvlJc w:val="left"/>
      <w:pPr>
        <w:tabs>
          <w:tab w:val="num" w:pos="2880"/>
        </w:tabs>
        <w:ind w:left="2880" w:hanging="360"/>
      </w:pPr>
      <w:rPr>
        <w:rFonts w:ascii="Arial" w:hAnsi="Arial" w:hint="default"/>
      </w:rPr>
    </w:lvl>
    <w:lvl w:ilvl="4" w:tplc="111CDAFC" w:tentative="1">
      <w:start w:val="1"/>
      <w:numFmt w:val="bullet"/>
      <w:lvlText w:val="–"/>
      <w:lvlJc w:val="left"/>
      <w:pPr>
        <w:tabs>
          <w:tab w:val="num" w:pos="3600"/>
        </w:tabs>
        <w:ind w:left="3600" w:hanging="360"/>
      </w:pPr>
      <w:rPr>
        <w:rFonts w:ascii="Arial" w:hAnsi="Arial" w:hint="default"/>
      </w:rPr>
    </w:lvl>
    <w:lvl w:ilvl="5" w:tplc="99968588" w:tentative="1">
      <w:start w:val="1"/>
      <w:numFmt w:val="bullet"/>
      <w:lvlText w:val="–"/>
      <w:lvlJc w:val="left"/>
      <w:pPr>
        <w:tabs>
          <w:tab w:val="num" w:pos="4320"/>
        </w:tabs>
        <w:ind w:left="4320" w:hanging="360"/>
      </w:pPr>
      <w:rPr>
        <w:rFonts w:ascii="Arial" w:hAnsi="Arial" w:hint="default"/>
      </w:rPr>
    </w:lvl>
    <w:lvl w:ilvl="6" w:tplc="4F90DD38" w:tentative="1">
      <w:start w:val="1"/>
      <w:numFmt w:val="bullet"/>
      <w:lvlText w:val="–"/>
      <w:lvlJc w:val="left"/>
      <w:pPr>
        <w:tabs>
          <w:tab w:val="num" w:pos="5040"/>
        </w:tabs>
        <w:ind w:left="5040" w:hanging="360"/>
      </w:pPr>
      <w:rPr>
        <w:rFonts w:ascii="Arial" w:hAnsi="Arial" w:hint="default"/>
      </w:rPr>
    </w:lvl>
    <w:lvl w:ilvl="7" w:tplc="2E827DDC" w:tentative="1">
      <w:start w:val="1"/>
      <w:numFmt w:val="bullet"/>
      <w:lvlText w:val="–"/>
      <w:lvlJc w:val="left"/>
      <w:pPr>
        <w:tabs>
          <w:tab w:val="num" w:pos="5760"/>
        </w:tabs>
        <w:ind w:left="5760" w:hanging="360"/>
      </w:pPr>
      <w:rPr>
        <w:rFonts w:ascii="Arial" w:hAnsi="Arial" w:hint="default"/>
      </w:rPr>
    </w:lvl>
    <w:lvl w:ilvl="8" w:tplc="C66EDB9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361E52"/>
    <w:multiLevelType w:val="hybridMultilevel"/>
    <w:tmpl w:val="5CC09E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7AB3059"/>
    <w:multiLevelType w:val="hybridMultilevel"/>
    <w:tmpl w:val="76003ABA"/>
    <w:lvl w:ilvl="0" w:tplc="08EEDE6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CF0816"/>
    <w:multiLevelType w:val="multilevel"/>
    <w:tmpl w:val="F91E9A4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37"/>
  </w:num>
  <w:num w:numId="4">
    <w:abstractNumId w:val="26"/>
  </w:num>
  <w:num w:numId="5">
    <w:abstractNumId w:val="31"/>
  </w:num>
  <w:num w:numId="6">
    <w:abstractNumId w:val="25"/>
  </w:num>
  <w:num w:numId="7">
    <w:abstractNumId w:val="21"/>
  </w:num>
  <w:num w:numId="8">
    <w:abstractNumId w:val="35"/>
  </w:num>
  <w:num w:numId="9">
    <w:abstractNumId w:val="10"/>
  </w:num>
  <w:num w:numId="10">
    <w:abstractNumId w:val="36"/>
  </w:num>
  <w:num w:numId="11">
    <w:abstractNumId w:val="33"/>
  </w:num>
  <w:num w:numId="12">
    <w:abstractNumId w:val="12"/>
  </w:num>
  <w:num w:numId="13">
    <w:abstractNumId w:val="40"/>
  </w:num>
  <w:num w:numId="14">
    <w:abstractNumId w:val="19"/>
  </w:num>
  <w:num w:numId="15">
    <w:abstractNumId w:val="8"/>
  </w:num>
  <w:num w:numId="16">
    <w:abstractNumId w:val="18"/>
  </w:num>
  <w:num w:numId="17">
    <w:abstractNumId w:val="27"/>
  </w:num>
  <w:num w:numId="18">
    <w:abstractNumId w:val="29"/>
  </w:num>
  <w:num w:numId="19">
    <w:abstractNumId w:val="23"/>
  </w:num>
  <w:num w:numId="20">
    <w:abstractNumId w:val="16"/>
  </w:num>
  <w:num w:numId="21">
    <w:abstractNumId w:val="41"/>
  </w:num>
  <w:num w:numId="22">
    <w:abstractNumId w:val="38"/>
  </w:num>
  <w:num w:numId="23">
    <w:abstractNumId w:val="17"/>
  </w:num>
  <w:num w:numId="24">
    <w:abstractNumId w:val="3"/>
  </w:num>
  <w:num w:numId="25">
    <w:abstractNumId w:val="32"/>
  </w:num>
  <w:num w:numId="26">
    <w:abstractNumId w:val="20"/>
  </w:num>
  <w:num w:numId="27">
    <w:abstractNumId w:val="30"/>
  </w:num>
  <w:num w:numId="28">
    <w:abstractNumId w:val="28"/>
  </w:num>
  <w:num w:numId="29">
    <w:abstractNumId w:val="13"/>
  </w:num>
  <w:num w:numId="30">
    <w:abstractNumId w:val="0"/>
  </w:num>
  <w:num w:numId="31">
    <w:abstractNumId w:val="11"/>
  </w:num>
  <w:num w:numId="32">
    <w:abstractNumId w:val="2"/>
  </w:num>
  <w:num w:numId="33">
    <w:abstractNumId w:val="14"/>
  </w:num>
  <w:num w:numId="34">
    <w:abstractNumId w:val="39"/>
  </w:num>
  <w:num w:numId="35">
    <w:abstractNumId w:val="42"/>
  </w:num>
  <w:num w:numId="36">
    <w:abstractNumId w:val="4"/>
  </w:num>
  <w:num w:numId="37">
    <w:abstractNumId w:val="6"/>
  </w:num>
  <w:num w:numId="38">
    <w:abstractNumId w:val="34"/>
  </w:num>
  <w:num w:numId="39">
    <w:abstractNumId w:val="5"/>
  </w:num>
  <w:num w:numId="40">
    <w:abstractNumId w:val="15"/>
  </w:num>
  <w:num w:numId="41">
    <w:abstractNumId w:val="1"/>
  </w:num>
  <w:num w:numId="42">
    <w:abstractNumId w:val="2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7C"/>
    <w:rsid w:val="00001251"/>
    <w:rsid w:val="00003839"/>
    <w:rsid w:val="0000627E"/>
    <w:rsid w:val="00006530"/>
    <w:rsid w:val="0000762B"/>
    <w:rsid w:val="00007AA7"/>
    <w:rsid w:val="00010980"/>
    <w:rsid w:val="000126C8"/>
    <w:rsid w:val="000129FB"/>
    <w:rsid w:val="00012DD7"/>
    <w:rsid w:val="00013ABB"/>
    <w:rsid w:val="0001668C"/>
    <w:rsid w:val="00021348"/>
    <w:rsid w:val="0002306A"/>
    <w:rsid w:val="0002778F"/>
    <w:rsid w:val="00031365"/>
    <w:rsid w:val="00031ED6"/>
    <w:rsid w:val="00033675"/>
    <w:rsid w:val="000337AB"/>
    <w:rsid w:val="000364CC"/>
    <w:rsid w:val="00041293"/>
    <w:rsid w:val="000448D6"/>
    <w:rsid w:val="00050A8B"/>
    <w:rsid w:val="000512AA"/>
    <w:rsid w:val="00051602"/>
    <w:rsid w:val="000564BD"/>
    <w:rsid w:val="00056EE7"/>
    <w:rsid w:val="00060905"/>
    <w:rsid w:val="000612CB"/>
    <w:rsid w:val="000624F6"/>
    <w:rsid w:val="00066375"/>
    <w:rsid w:val="00066F07"/>
    <w:rsid w:val="00070991"/>
    <w:rsid w:val="00070BFB"/>
    <w:rsid w:val="00073A0D"/>
    <w:rsid w:val="000750B4"/>
    <w:rsid w:val="00075277"/>
    <w:rsid w:val="0007646B"/>
    <w:rsid w:val="000766D5"/>
    <w:rsid w:val="00083BD1"/>
    <w:rsid w:val="000844C4"/>
    <w:rsid w:val="00085D1B"/>
    <w:rsid w:val="000914DB"/>
    <w:rsid w:val="000931C0"/>
    <w:rsid w:val="0009362E"/>
    <w:rsid w:val="00096F47"/>
    <w:rsid w:val="00097AF2"/>
    <w:rsid w:val="000A4383"/>
    <w:rsid w:val="000A4649"/>
    <w:rsid w:val="000A7173"/>
    <w:rsid w:val="000A71A5"/>
    <w:rsid w:val="000B128E"/>
    <w:rsid w:val="000B2A33"/>
    <w:rsid w:val="000B53AB"/>
    <w:rsid w:val="000C0379"/>
    <w:rsid w:val="000C2390"/>
    <w:rsid w:val="000C4C38"/>
    <w:rsid w:val="000C4CCC"/>
    <w:rsid w:val="000C4EFE"/>
    <w:rsid w:val="000C7853"/>
    <w:rsid w:val="000D4576"/>
    <w:rsid w:val="000E0D55"/>
    <w:rsid w:val="000E27DB"/>
    <w:rsid w:val="000E2956"/>
    <w:rsid w:val="000E3500"/>
    <w:rsid w:val="000E5385"/>
    <w:rsid w:val="000F0476"/>
    <w:rsid w:val="000F0A55"/>
    <w:rsid w:val="000F0E86"/>
    <w:rsid w:val="000F312D"/>
    <w:rsid w:val="000F523D"/>
    <w:rsid w:val="000F527D"/>
    <w:rsid w:val="000F5515"/>
    <w:rsid w:val="000F5CAF"/>
    <w:rsid w:val="000F7580"/>
    <w:rsid w:val="000F7EDC"/>
    <w:rsid w:val="00103EEF"/>
    <w:rsid w:val="00103FB2"/>
    <w:rsid w:val="00105A23"/>
    <w:rsid w:val="00106D1A"/>
    <w:rsid w:val="00106EEC"/>
    <w:rsid w:val="00110500"/>
    <w:rsid w:val="00111C44"/>
    <w:rsid w:val="00117F11"/>
    <w:rsid w:val="00123103"/>
    <w:rsid w:val="00124557"/>
    <w:rsid w:val="00125C91"/>
    <w:rsid w:val="00125DE6"/>
    <w:rsid w:val="00126047"/>
    <w:rsid w:val="00130175"/>
    <w:rsid w:val="00134066"/>
    <w:rsid w:val="00142C7F"/>
    <w:rsid w:val="00147FDF"/>
    <w:rsid w:val="001562E4"/>
    <w:rsid w:val="001624FA"/>
    <w:rsid w:val="00162C04"/>
    <w:rsid w:val="0016542D"/>
    <w:rsid w:val="00167A13"/>
    <w:rsid w:val="0017054A"/>
    <w:rsid w:val="00174420"/>
    <w:rsid w:val="00175742"/>
    <w:rsid w:val="001778D3"/>
    <w:rsid w:val="00181919"/>
    <w:rsid w:val="00182EDD"/>
    <w:rsid w:val="00183F8E"/>
    <w:rsid w:val="00185B6D"/>
    <w:rsid w:val="001869E7"/>
    <w:rsid w:val="001874E0"/>
    <w:rsid w:val="00190DF9"/>
    <w:rsid w:val="00191147"/>
    <w:rsid w:val="0019632A"/>
    <w:rsid w:val="00196889"/>
    <w:rsid w:val="00196C42"/>
    <w:rsid w:val="00197486"/>
    <w:rsid w:val="001A2084"/>
    <w:rsid w:val="001A2FC3"/>
    <w:rsid w:val="001A3831"/>
    <w:rsid w:val="001B3BD0"/>
    <w:rsid w:val="001B465B"/>
    <w:rsid w:val="001B5432"/>
    <w:rsid w:val="001B7C0E"/>
    <w:rsid w:val="001C17DE"/>
    <w:rsid w:val="001C33B9"/>
    <w:rsid w:val="001C5ED7"/>
    <w:rsid w:val="001C62ED"/>
    <w:rsid w:val="001C682E"/>
    <w:rsid w:val="001C6EC8"/>
    <w:rsid w:val="001D3A14"/>
    <w:rsid w:val="001D3BD9"/>
    <w:rsid w:val="001D429F"/>
    <w:rsid w:val="001D7B3B"/>
    <w:rsid w:val="001E40B8"/>
    <w:rsid w:val="001E5756"/>
    <w:rsid w:val="001E6F3F"/>
    <w:rsid w:val="001F0D13"/>
    <w:rsid w:val="001F2310"/>
    <w:rsid w:val="001F3489"/>
    <w:rsid w:val="001F7FBF"/>
    <w:rsid w:val="002011EC"/>
    <w:rsid w:val="00202A9E"/>
    <w:rsid w:val="00202BC6"/>
    <w:rsid w:val="00202CE9"/>
    <w:rsid w:val="00204C87"/>
    <w:rsid w:val="002051F3"/>
    <w:rsid w:val="002055A8"/>
    <w:rsid w:val="002069B0"/>
    <w:rsid w:val="002122D7"/>
    <w:rsid w:val="0021487B"/>
    <w:rsid w:val="00216DA6"/>
    <w:rsid w:val="00223610"/>
    <w:rsid w:val="002258BC"/>
    <w:rsid w:val="00230650"/>
    <w:rsid w:val="00231C3B"/>
    <w:rsid w:val="00234FD8"/>
    <w:rsid w:val="002405CC"/>
    <w:rsid w:val="00241EF9"/>
    <w:rsid w:val="00255CB8"/>
    <w:rsid w:val="00261EC8"/>
    <w:rsid w:val="0026285C"/>
    <w:rsid w:val="002652CC"/>
    <w:rsid w:val="0026782D"/>
    <w:rsid w:val="00271686"/>
    <w:rsid w:val="002717EC"/>
    <w:rsid w:val="00274749"/>
    <w:rsid w:val="0027778A"/>
    <w:rsid w:val="00280692"/>
    <w:rsid w:val="00280C43"/>
    <w:rsid w:val="002829A1"/>
    <w:rsid w:val="00284B33"/>
    <w:rsid w:val="0028616F"/>
    <w:rsid w:val="00286D6E"/>
    <w:rsid w:val="00296306"/>
    <w:rsid w:val="00296F45"/>
    <w:rsid w:val="00297343"/>
    <w:rsid w:val="00297743"/>
    <w:rsid w:val="002A227B"/>
    <w:rsid w:val="002A79FD"/>
    <w:rsid w:val="002B7EFB"/>
    <w:rsid w:val="002C0110"/>
    <w:rsid w:val="002C0E14"/>
    <w:rsid w:val="002C1841"/>
    <w:rsid w:val="002C63E7"/>
    <w:rsid w:val="002C6D30"/>
    <w:rsid w:val="002D3D69"/>
    <w:rsid w:val="002D434F"/>
    <w:rsid w:val="002D4BC1"/>
    <w:rsid w:val="002D6836"/>
    <w:rsid w:val="002E4395"/>
    <w:rsid w:val="002E4B6C"/>
    <w:rsid w:val="002F4B1D"/>
    <w:rsid w:val="002F5CA5"/>
    <w:rsid w:val="00310B47"/>
    <w:rsid w:val="0031275D"/>
    <w:rsid w:val="003128B9"/>
    <w:rsid w:val="00320A7F"/>
    <w:rsid w:val="00322F72"/>
    <w:rsid w:val="00326FF4"/>
    <w:rsid w:val="00327910"/>
    <w:rsid w:val="00330C36"/>
    <w:rsid w:val="003318C9"/>
    <w:rsid w:val="00334713"/>
    <w:rsid w:val="00337B4D"/>
    <w:rsid w:val="003447A2"/>
    <w:rsid w:val="00344A00"/>
    <w:rsid w:val="0035056D"/>
    <w:rsid w:val="0035108F"/>
    <w:rsid w:val="00356D3C"/>
    <w:rsid w:val="00357B45"/>
    <w:rsid w:val="00360BAD"/>
    <w:rsid w:val="00362BEB"/>
    <w:rsid w:val="0036377C"/>
    <w:rsid w:val="003640A7"/>
    <w:rsid w:val="003652A2"/>
    <w:rsid w:val="0036535E"/>
    <w:rsid w:val="003677FB"/>
    <w:rsid w:val="00367B95"/>
    <w:rsid w:val="0037122F"/>
    <w:rsid w:val="00374586"/>
    <w:rsid w:val="00374ABA"/>
    <w:rsid w:val="00376B8C"/>
    <w:rsid w:val="00377745"/>
    <w:rsid w:val="00377ADF"/>
    <w:rsid w:val="003807D6"/>
    <w:rsid w:val="00380B87"/>
    <w:rsid w:val="003813B8"/>
    <w:rsid w:val="00383B20"/>
    <w:rsid w:val="00394FDD"/>
    <w:rsid w:val="003A0FC0"/>
    <w:rsid w:val="003A1552"/>
    <w:rsid w:val="003A76A2"/>
    <w:rsid w:val="003B18DD"/>
    <w:rsid w:val="003B2287"/>
    <w:rsid w:val="003B2D5A"/>
    <w:rsid w:val="003B531B"/>
    <w:rsid w:val="003B59C5"/>
    <w:rsid w:val="003B7766"/>
    <w:rsid w:val="003C0F2D"/>
    <w:rsid w:val="003C11DD"/>
    <w:rsid w:val="003C6F5B"/>
    <w:rsid w:val="003D2582"/>
    <w:rsid w:val="003D360D"/>
    <w:rsid w:val="003D45F2"/>
    <w:rsid w:val="003D58AA"/>
    <w:rsid w:val="003E16E6"/>
    <w:rsid w:val="003E2663"/>
    <w:rsid w:val="003E32BC"/>
    <w:rsid w:val="003E4279"/>
    <w:rsid w:val="003F22B2"/>
    <w:rsid w:val="003F3556"/>
    <w:rsid w:val="003F35F5"/>
    <w:rsid w:val="004007B6"/>
    <w:rsid w:val="004103C7"/>
    <w:rsid w:val="00411EB6"/>
    <w:rsid w:val="00412481"/>
    <w:rsid w:val="00421C43"/>
    <w:rsid w:val="00425BAE"/>
    <w:rsid w:val="00432FAC"/>
    <w:rsid w:val="004353CD"/>
    <w:rsid w:val="0044256A"/>
    <w:rsid w:val="0044269A"/>
    <w:rsid w:val="004438D7"/>
    <w:rsid w:val="00443E42"/>
    <w:rsid w:val="00455F6F"/>
    <w:rsid w:val="00461875"/>
    <w:rsid w:val="00461B0E"/>
    <w:rsid w:val="00463079"/>
    <w:rsid w:val="0046383D"/>
    <w:rsid w:val="00464BF0"/>
    <w:rsid w:val="00466DAE"/>
    <w:rsid w:val="004679A9"/>
    <w:rsid w:val="0047562F"/>
    <w:rsid w:val="00476D6A"/>
    <w:rsid w:val="00480930"/>
    <w:rsid w:val="00480DF9"/>
    <w:rsid w:val="00483F1B"/>
    <w:rsid w:val="004849E3"/>
    <w:rsid w:val="00491A8E"/>
    <w:rsid w:val="004948C2"/>
    <w:rsid w:val="00495016"/>
    <w:rsid w:val="00496AE6"/>
    <w:rsid w:val="00496D04"/>
    <w:rsid w:val="004A30BD"/>
    <w:rsid w:val="004A66E0"/>
    <w:rsid w:val="004A733D"/>
    <w:rsid w:val="004B2C3D"/>
    <w:rsid w:val="004B59DC"/>
    <w:rsid w:val="004C033C"/>
    <w:rsid w:val="004C204C"/>
    <w:rsid w:val="004C2416"/>
    <w:rsid w:val="004C3207"/>
    <w:rsid w:val="004C3D37"/>
    <w:rsid w:val="004C6E66"/>
    <w:rsid w:val="004D6093"/>
    <w:rsid w:val="004D67F0"/>
    <w:rsid w:val="004E0D01"/>
    <w:rsid w:val="004E7864"/>
    <w:rsid w:val="004F05CB"/>
    <w:rsid w:val="004F0A10"/>
    <w:rsid w:val="004F1062"/>
    <w:rsid w:val="004F3E99"/>
    <w:rsid w:val="004F596C"/>
    <w:rsid w:val="00500A23"/>
    <w:rsid w:val="005010E6"/>
    <w:rsid w:val="005019A8"/>
    <w:rsid w:val="00501D30"/>
    <w:rsid w:val="00502325"/>
    <w:rsid w:val="005102BE"/>
    <w:rsid w:val="00510965"/>
    <w:rsid w:val="00513939"/>
    <w:rsid w:val="00514AD3"/>
    <w:rsid w:val="00517420"/>
    <w:rsid w:val="00520DB7"/>
    <w:rsid w:val="00524A94"/>
    <w:rsid w:val="00533146"/>
    <w:rsid w:val="005333DA"/>
    <w:rsid w:val="00535931"/>
    <w:rsid w:val="00541E14"/>
    <w:rsid w:val="00541F48"/>
    <w:rsid w:val="00542C66"/>
    <w:rsid w:val="005454B6"/>
    <w:rsid w:val="00550BD0"/>
    <w:rsid w:val="005518F0"/>
    <w:rsid w:val="00554E98"/>
    <w:rsid w:val="00556634"/>
    <w:rsid w:val="0055708A"/>
    <w:rsid w:val="00557B18"/>
    <w:rsid w:val="00557EB0"/>
    <w:rsid w:val="005603F2"/>
    <w:rsid w:val="00560A2D"/>
    <w:rsid w:val="00567EC9"/>
    <w:rsid w:val="00570347"/>
    <w:rsid w:val="00571036"/>
    <w:rsid w:val="00571263"/>
    <w:rsid w:val="0057576D"/>
    <w:rsid w:val="00576030"/>
    <w:rsid w:val="00577218"/>
    <w:rsid w:val="00590D0D"/>
    <w:rsid w:val="005931EA"/>
    <w:rsid w:val="005A4F52"/>
    <w:rsid w:val="005A6BB0"/>
    <w:rsid w:val="005B0D78"/>
    <w:rsid w:val="005C07CF"/>
    <w:rsid w:val="005C0D46"/>
    <w:rsid w:val="005C1C7C"/>
    <w:rsid w:val="005C20CA"/>
    <w:rsid w:val="005C2E6D"/>
    <w:rsid w:val="005D059A"/>
    <w:rsid w:val="005D0FCA"/>
    <w:rsid w:val="005D519C"/>
    <w:rsid w:val="005D5D7D"/>
    <w:rsid w:val="005E110D"/>
    <w:rsid w:val="005E1C36"/>
    <w:rsid w:val="005E30F8"/>
    <w:rsid w:val="005E69BA"/>
    <w:rsid w:val="005F0203"/>
    <w:rsid w:val="005F1284"/>
    <w:rsid w:val="005F1CB1"/>
    <w:rsid w:val="005F4BCB"/>
    <w:rsid w:val="005F50E2"/>
    <w:rsid w:val="005F6233"/>
    <w:rsid w:val="00601BA5"/>
    <w:rsid w:val="00602B4D"/>
    <w:rsid w:val="006046DB"/>
    <w:rsid w:val="00607B2F"/>
    <w:rsid w:val="00610EB9"/>
    <w:rsid w:val="00612195"/>
    <w:rsid w:val="00614630"/>
    <w:rsid w:val="00617D7F"/>
    <w:rsid w:val="0062016D"/>
    <w:rsid w:val="00620E98"/>
    <w:rsid w:val="00621246"/>
    <w:rsid w:val="00622731"/>
    <w:rsid w:val="00624923"/>
    <w:rsid w:val="00625B52"/>
    <w:rsid w:val="0062611E"/>
    <w:rsid w:val="0063146D"/>
    <w:rsid w:val="00640CB6"/>
    <w:rsid w:val="00641DA0"/>
    <w:rsid w:val="00646393"/>
    <w:rsid w:val="00646753"/>
    <w:rsid w:val="00647372"/>
    <w:rsid w:val="00647BBB"/>
    <w:rsid w:val="00650131"/>
    <w:rsid w:val="00651624"/>
    <w:rsid w:val="0065190A"/>
    <w:rsid w:val="00652327"/>
    <w:rsid w:val="00652585"/>
    <w:rsid w:val="00661EBF"/>
    <w:rsid w:val="00661EF6"/>
    <w:rsid w:val="006652E5"/>
    <w:rsid w:val="00674D4A"/>
    <w:rsid w:val="0067562E"/>
    <w:rsid w:val="006823A3"/>
    <w:rsid w:val="006829A2"/>
    <w:rsid w:val="00685362"/>
    <w:rsid w:val="0068695A"/>
    <w:rsid w:val="006929B2"/>
    <w:rsid w:val="006958BC"/>
    <w:rsid w:val="00695D58"/>
    <w:rsid w:val="00697D7D"/>
    <w:rsid w:val="006A07F7"/>
    <w:rsid w:val="006A18B6"/>
    <w:rsid w:val="006A266A"/>
    <w:rsid w:val="006A2F1B"/>
    <w:rsid w:val="006A33C6"/>
    <w:rsid w:val="006A4680"/>
    <w:rsid w:val="006A6B96"/>
    <w:rsid w:val="006B111F"/>
    <w:rsid w:val="006B4DFD"/>
    <w:rsid w:val="006B77A5"/>
    <w:rsid w:val="006C097F"/>
    <w:rsid w:val="006C2352"/>
    <w:rsid w:val="006C4FD7"/>
    <w:rsid w:val="006C72F9"/>
    <w:rsid w:val="006D1553"/>
    <w:rsid w:val="006D2B08"/>
    <w:rsid w:val="006D33BD"/>
    <w:rsid w:val="006D558B"/>
    <w:rsid w:val="006D730B"/>
    <w:rsid w:val="006E01CE"/>
    <w:rsid w:val="006E133A"/>
    <w:rsid w:val="006E5AA4"/>
    <w:rsid w:val="006F0FA3"/>
    <w:rsid w:val="006F1273"/>
    <w:rsid w:val="006F1696"/>
    <w:rsid w:val="006F76BD"/>
    <w:rsid w:val="007015DE"/>
    <w:rsid w:val="007031CA"/>
    <w:rsid w:val="00704888"/>
    <w:rsid w:val="007058D5"/>
    <w:rsid w:val="007065DF"/>
    <w:rsid w:val="00707508"/>
    <w:rsid w:val="007142D8"/>
    <w:rsid w:val="00714720"/>
    <w:rsid w:val="007163AC"/>
    <w:rsid w:val="00721F4C"/>
    <w:rsid w:val="00723163"/>
    <w:rsid w:val="00731CB3"/>
    <w:rsid w:val="00732442"/>
    <w:rsid w:val="00733C79"/>
    <w:rsid w:val="0074323A"/>
    <w:rsid w:val="0074401D"/>
    <w:rsid w:val="007451D2"/>
    <w:rsid w:val="00745283"/>
    <w:rsid w:val="00746FE2"/>
    <w:rsid w:val="00753C74"/>
    <w:rsid w:val="00753C8C"/>
    <w:rsid w:val="00754FAA"/>
    <w:rsid w:val="0075698B"/>
    <w:rsid w:val="007617BD"/>
    <w:rsid w:val="00763855"/>
    <w:rsid w:val="007662E0"/>
    <w:rsid w:val="00766D83"/>
    <w:rsid w:val="0077007B"/>
    <w:rsid w:val="00773F0E"/>
    <w:rsid w:val="00780512"/>
    <w:rsid w:val="007816D6"/>
    <w:rsid w:val="00782EDD"/>
    <w:rsid w:val="00784021"/>
    <w:rsid w:val="00784036"/>
    <w:rsid w:val="00786648"/>
    <w:rsid w:val="0079124F"/>
    <w:rsid w:val="00795744"/>
    <w:rsid w:val="00795762"/>
    <w:rsid w:val="0079766C"/>
    <w:rsid w:val="007A4BD6"/>
    <w:rsid w:val="007A6994"/>
    <w:rsid w:val="007B2E1E"/>
    <w:rsid w:val="007B39BD"/>
    <w:rsid w:val="007B4D9E"/>
    <w:rsid w:val="007B58A2"/>
    <w:rsid w:val="007C5228"/>
    <w:rsid w:val="007C6FFC"/>
    <w:rsid w:val="007D06B1"/>
    <w:rsid w:val="007D0A41"/>
    <w:rsid w:val="007D219B"/>
    <w:rsid w:val="007D499A"/>
    <w:rsid w:val="007D4DA6"/>
    <w:rsid w:val="007D5E27"/>
    <w:rsid w:val="007D5EC1"/>
    <w:rsid w:val="007D7496"/>
    <w:rsid w:val="007D7E94"/>
    <w:rsid w:val="007E103E"/>
    <w:rsid w:val="007F667B"/>
    <w:rsid w:val="007F70F6"/>
    <w:rsid w:val="00804221"/>
    <w:rsid w:val="00805795"/>
    <w:rsid w:val="0080751C"/>
    <w:rsid w:val="00820D00"/>
    <w:rsid w:val="00821ADE"/>
    <w:rsid w:val="0082372B"/>
    <w:rsid w:val="0082391F"/>
    <w:rsid w:val="00827DC7"/>
    <w:rsid w:val="00830707"/>
    <w:rsid w:val="00835DE7"/>
    <w:rsid w:val="00837CB4"/>
    <w:rsid w:val="00840B17"/>
    <w:rsid w:val="008413AE"/>
    <w:rsid w:val="00842C3E"/>
    <w:rsid w:val="0084484F"/>
    <w:rsid w:val="00846285"/>
    <w:rsid w:val="008506D6"/>
    <w:rsid w:val="00852830"/>
    <w:rsid w:val="00856066"/>
    <w:rsid w:val="0085679C"/>
    <w:rsid w:val="0086390F"/>
    <w:rsid w:val="00863F4D"/>
    <w:rsid w:val="00867452"/>
    <w:rsid w:val="008706EB"/>
    <w:rsid w:val="00872A6C"/>
    <w:rsid w:val="00872FCE"/>
    <w:rsid w:val="008809B5"/>
    <w:rsid w:val="008859D8"/>
    <w:rsid w:val="00891E51"/>
    <w:rsid w:val="00892609"/>
    <w:rsid w:val="008A02C6"/>
    <w:rsid w:val="008A363E"/>
    <w:rsid w:val="008A52F7"/>
    <w:rsid w:val="008A641A"/>
    <w:rsid w:val="008B085E"/>
    <w:rsid w:val="008B09B5"/>
    <w:rsid w:val="008B13A5"/>
    <w:rsid w:val="008B1971"/>
    <w:rsid w:val="008B4A01"/>
    <w:rsid w:val="008B4D71"/>
    <w:rsid w:val="008C2520"/>
    <w:rsid w:val="008C5039"/>
    <w:rsid w:val="008C7AAE"/>
    <w:rsid w:val="008D4503"/>
    <w:rsid w:val="008D5C09"/>
    <w:rsid w:val="008D65E3"/>
    <w:rsid w:val="008E2515"/>
    <w:rsid w:val="008E7BA0"/>
    <w:rsid w:val="008F1028"/>
    <w:rsid w:val="008F4B13"/>
    <w:rsid w:val="008F4FC3"/>
    <w:rsid w:val="008F5218"/>
    <w:rsid w:val="008F569D"/>
    <w:rsid w:val="008F5D4B"/>
    <w:rsid w:val="008F72A2"/>
    <w:rsid w:val="008F72F0"/>
    <w:rsid w:val="008F7734"/>
    <w:rsid w:val="00902284"/>
    <w:rsid w:val="009026BF"/>
    <w:rsid w:val="00903D26"/>
    <w:rsid w:val="009042A8"/>
    <w:rsid w:val="00904BBC"/>
    <w:rsid w:val="009056ED"/>
    <w:rsid w:val="00905B67"/>
    <w:rsid w:val="00905DD5"/>
    <w:rsid w:val="009067D2"/>
    <w:rsid w:val="00910E25"/>
    <w:rsid w:val="0091223C"/>
    <w:rsid w:val="0091284D"/>
    <w:rsid w:val="0091318D"/>
    <w:rsid w:val="00914392"/>
    <w:rsid w:val="0092427B"/>
    <w:rsid w:val="00925DDF"/>
    <w:rsid w:val="00930ACA"/>
    <w:rsid w:val="00933C96"/>
    <w:rsid w:val="0094219C"/>
    <w:rsid w:val="0094471B"/>
    <w:rsid w:val="00950AC3"/>
    <w:rsid w:val="009516EA"/>
    <w:rsid w:val="00952824"/>
    <w:rsid w:val="00962DAC"/>
    <w:rsid w:val="00966263"/>
    <w:rsid w:val="009666A1"/>
    <w:rsid w:val="009710A2"/>
    <w:rsid w:val="00972979"/>
    <w:rsid w:val="009739C5"/>
    <w:rsid w:val="00976B7C"/>
    <w:rsid w:val="00981EEB"/>
    <w:rsid w:val="00984BFA"/>
    <w:rsid w:val="00985678"/>
    <w:rsid w:val="00986E47"/>
    <w:rsid w:val="00987D0B"/>
    <w:rsid w:val="00991BAA"/>
    <w:rsid w:val="009946BF"/>
    <w:rsid w:val="00994F57"/>
    <w:rsid w:val="009957B6"/>
    <w:rsid w:val="00995A39"/>
    <w:rsid w:val="00996C78"/>
    <w:rsid w:val="009A6D64"/>
    <w:rsid w:val="009A7131"/>
    <w:rsid w:val="009B156B"/>
    <w:rsid w:val="009B2559"/>
    <w:rsid w:val="009B257E"/>
    <w:rsid w:val="009B2E02"/>
    <w:rsid w:val="009B462D"/>
    <w:rsid w:val="009B586C"/>
    <w:rsid w:val="009B6899"/>
    <w:rsid w:val="009C2258"/>
    <w:rsid w:val="009D024A"/>
    <w:rsid w:val="009D1991"/>
    <w:rsid w:val="009D3CFE"/>
    <w:rsid w:val="009D4D38"/>
    <w:rsid w:val="009E58CF"/>
    <w:rsid w:val="009E788B"/>
    <w:rsid w:val="009F04EA"/>
    <w:rsid w:val="009F0D79"/>
    <w:rsid w:val="009F0E89"/>
    <w:rsid w:val="009F2396"/>
    <w:rsid w:val="009F28AD"/>
    <w:rsid w:val="009F462D"/>
    <w:rsid w:val="009F4FF2"/>
    <w:rsid w:val="009F7C49"/>
    <w:rsid w:val="00A007C7"/>
    <w:rsid w:val="00A13C1B"/>
    <w:rsid w:val="00A16E7F"/>
    <w:rsid w:val="00A1751B"/>
    <w:rsid w:val="00A24A39"/>
    <w:rsid w:val="00A2740C"/>
    <w:rsid w:val="00A353F9"/>
    <w:rsid w:val="00A369DA"/>
    <w:rsid w:val="00A371AD"/>
    <w:rsid w:val="00A50D23"/>
    <w:rsid w:val="00A522BF"/>
    <w:rsid w:val="00A55AD5"/>
    <w:rsid w:val="00A56121"/>
    <w:rsid w:val="00A6040F"/>
    <w:rsid w:val="00A60996"/>
    <w:rsid w:val="00A61AF9"/>
    <w:rsid w:val="00A61D72"/>
    <w:rsid w:val="00A63D82"/>
    <w:rsid w:val="00A64B4E"/>
    <w:rsid w:val="00A67E67"/>
    <w:rsid w:val="00A71BBE"/>
    <w:rsid w:val="00A72AC0"/>
    <w:rsid w:val="00A80B15"/>
    <w:rsid w:val="00A844D4"/>
    <w:rsid w:val="00A84E54"/>
    <w:rsid w:val="00A84EA9"/>
    <w:rsid w:val="00A8545E"/>
    <w:rsid w:val="00A85667"/>
    <w:rsid w:val="00A86861"/>
    <w:rsid w:val="00A917AB"/>
    <w:rsid w:val="00A93ECE"/>
    <w:rsid w:val="00A9400C"/>
    <w:rsid w:val="00A9529C"/>
    <w:rsid w:val="00AA109C"/>
    <w:rsid w:val="00AA14FE"/>
    <w:rsid w:val="00AA19F8"/>
    <w:rsid w:val="00AA2281"/>
    <w:rsid w:val="00AA2354"/>
    <w:rsid w:val="00AA6975"/>
    <w:rsid w:val="00AA7E96"/>
    <w:rsid w:val="00AB1579"/>
    <w:rsid w:val="00AB35B0"/>
    <w:rsid w:val="00AB4F08"/>
    <w:rsid w:val="00AC0A4A"/>
    <w:rsid w:val="00AC1E5C"/>
    <w:rsid w:val="00AC2221"/>
    <w:rsid w:val="00AC46B9"/>
    <w:rsid w:val="00AC575B"/>
    <w:rsid w:val="00AC5CFC"/>
    <w:rsid w:val="00AC7007"/>
    <w:rsid w:val="00AD3B95"/>
    <w:rsid w:val="00AE069B"/>
    <w:rsid w:val="00AE3212"/>
    <w:rsid w:val="00AE755C"/>
    <w:rsid w:val="00AF0171"/>
    <w:rsid w:val="00AF104D"/>
    <w:rsid w:val="00AF35CD"/>
    <w:rsid w:val="00AF6079"/>
    <w:rsid w:val="00AF7A5B"/>
    <w:rsid w:val="00B03378"/>
    <w:rsid w:val="00B07488"/>
    <w:rsid w:val="00B114EC"/>
    <w:rsid w:val="00B11D60"/>
    <w:rsid w:val="00B121AC"/>
    <w:rsid w:val="00B13764"/>
    <w:rsid w:val="00B1402B"/>
    <w:rsid w:val="00B14474"/>
    <w:rsid w:val="00B149F2"/>
    <w:rsid w:val="00B154DD"/>
    <w:rsid w:val="00B21F42"/>
    <w:rsid w:val="00B22507"/>
    <w:rsid w:val="00B251B6"/>
    <w:rsid w:val="00B25C93"/>
    <w:rsid w:val="00B26140"/>
    <w:rsid w:val="00B360A9"/>
    <w:rsid w:val="00B36E6F"/>
    <w:rsid w:val="00B47557"/>
    <w:rsid w:val="00B476C0"/>
    <w:rsid w:val="00B50C3D"/>
    <w:rsid w:val="00B52087"/>
    <w:rsid w:val="00B56340"/>
    <w:rsid w:val="00B70C63"/>
    <w:rsid w:val="00B711A6"/>
    <w:rsid w:val="00B7142F"/>
    <w:rsid w:val="00B74509"/>
    <w:rsid w:val="00B80C20"/>
    <w:rsid w:val="00B81876"/>
    <w:rsid w:val="00B8302B"/>
    <w:rsid w:val="00BA0991"/>
    <w:rsid w:val="00BA45DB"/>
    <w:rsid w:val="00BA559D"/>
    <w:rsid w:val="00BA662B"/>
    <w:rsid w:val="00BB06C1"/>
    <w:rsid w:val="00BB0EF1"/>
    <w:rsid w:val="00BB2888"/>
    <w:rsid w:val="00BB2DC4"/>
    <w:rsid w:val="00BB308F"/>
    <w:rsid w:val="00BB55F2"/>
    <w:rsid w:val="00BB6326"/>
    <w:rsid w:val="00BC0CD7"/>
    <w:rsid w:val="00BC1EE6"/>
    <w:rsid w:val="00BC28D9"/>
    <w:rsid w:val="00BC4460"/>
    <w:rsid w:val="00BC4EEA"/>
    <w:rsid w:val="00BD0AF3"/>
    <w:rsid w:val="00BD2A0E"/>
    <w:rsid w:val="00BD2B2B"/>
    <w:rsid w:val="00BD4010"/>
    <w:rsid w:val="00BE18A8"/>
    <w:rsid w:val="00BE1DA4"/>
    <w:rsid w:val="00BE7D53"/>
    <w:rsid w:val="00BF6049"/>
    <w:rsid w:val="00C019F9"/>
    <w:rsid w:val="00C01B0F"/>
    <w:rsid w:val="00C0581B"/>
    <w:rsid w:val="00C0623B"/>
    <w:rsid w:val="00C10A97"/>
    <w:rsid w:val="00C157F8"/>
    <w:rsid w:val="00C17949"/>
    <w:rsid w:val="00C21653"/>
    <w:rsid w:val="00C22212"/>
    <w:rsid w:val="00C26301"/>
    <w:rsid w:val="00C26484"/>
    <w:rsid w:val="00C30ED6"/>
    <w:rsid w:val="00C35882"/>
    <w:rsid w:val="00C3795A"/>
    <w:rsid w:val="00C41103"/>
    <w:rsid w:val="00C4133F"/>
    <w:rsid w:val="00C419E8"/>
    <w:rsid w:val="00C45380"/>
    <w:rsid w:val="00C472BE"/>
    <w:rsid w:val="00C47D9D"/>
    <w:rsid w:val="00C508F1"/>
    <w:rsid w:val="00C54A1E"/>
    <w:rsid w:val="00C561E4"/>
    <w:rsid w:val="00C61372"/>
    <w:rsid w:val="00C61B3C"/>
    <w:rsid w:val="00C62C9B"/>
    <w:rsid w:val="00C63181"/>
    <w:rsid w:val="00C71F81"/>
    <w:rsid w:val="00C728F1"/>
    <w:rsid w:val="00C74E95"/>
    <w:rsid w:val="00C819AF"/>
    <w:rsid w:val="00C83F3B"/>
    <w:rsid w:val="00C86E4E"/>
    <w:rsid w:val="00C90336"/>
    <w:rsid w:val="00C910BA"/>
    <w:rsid w:val="00C92638"/>
    <w:rsid w:val="00C94B4B"/>
    <w:rsid w:val="00CA3954"/>
    <w:rsid w:val="00CB270E"/>
    <w:rsid w:val="00CB3927"/>
    <w:rsid w:val="00CB3A7F"/>
    <w:rsid w:val="00CB63D1"/>
    <w:rsid w:val="00CB670A"/>
    <w:rsid w:val="00CB77EB"/>
    <w:rsid w:val="00CC11E3"/>
    <w:rsid w:val="00CC2438"/>
    <w:rsid w:val="00CC2F8D"/>
    <w:rsid w:val="00CD245E"/>
    <w:rsid w:val="00CD2D86"/>
    <w:rsid w:val="00CD2E7C"/>
    <w:rsid w:val="00CD5202"/>
    <w:rsid w:val="00CD5549"/>
    <w:rsid w:val="00CD6A66"/>
    <w:rsid w:val="00CE11F4"/>
    <w:rsid w:val="00CE1C05"/>
    <w:rsid w:val="00CE22EB"/>
    <w:rsid w:val="00CE5894"/>
    <w:rsid w:val="00CE77B2"/>
    <w:rsid w:val="00CF1497"/>
    <w:rsid w:val="00D0149B"/>
    <w:rsid w:val="00D01E60"/>
    <w:rsid w:val="00D04226"/>
    <w:rsid w:val="00D06B9B"/>
    <w:rsid w:val="00D0760E"/>
    <w:rsid w:val="00D07E7B"/>
    <w:rsid w:val="00D13CE3"/>
    <w:rsid w:val="00D14CB2"/>
    <w:rsid w:val="00D15C6D"/>
    <w:rsid w:val="00D170B7"/>
    <w:rsid w:val="00D178F4"/>
    <w:rsid w:val="00D2250D"/>
    <w:rsid w:val="00D2271B"/>
    <w:rsid w:val="00D239F8"/>
    <w:rsid w:val="00D250F8"/>
    <w:rsid w:val="00D255AF"/>
    <w:rsid w:val="00D26566"/>
    <w:rsid w:val="00D309F3"/>
    <w:rsid w:val="00D328CF"/>
    <w:rsid w:val="00D32DD6"/>
    <w:rsid w:val="00D369A9"/>
    <w:rsid w:val="00D40D5C"/>
    <w:rsid w:val="00D41D72"/>
    <w:rsid w:val="00D4447B"/>
    <w:rsid w:val="00D4759A"/>
    <w:rsid w:val="00D478E5"/>
    <w:rsid w:val="00D50310"/>
    <w:rsid w:val="00D5091A"/>
    <w:rsid w:val="00D549A3"/>
    <w:rsid w:val="00D62733"/>
    <w:rsid w:val="00D6387E"/>
    <w:rsid w:val="00D63DE1"/>
    <w:rsid w:val="00D71367"/>
    <w:rsid w:val="00D80A61"/>
    <w:rsid w:val="00D80AC3"/>
    <w:rsid w:val="00D80B25"/>
    <w:rsid w:val="00D80B2D"/>
    <w:rsid w:val="00D82548"/>
    <w:rsid w:val="00D84622"/>
    <w:rsid w:val="00D8472F"/>
    <w:rsid w:val="00D84816"/>
    <w:rsid w:val="00D922CF"/>
    <w:rsid w:val="00D92893"/>
    <w:rsid w:val="00D93975"/>
    <w:rsid w:val="00D945F1"/>
    <w:rsid w:val="00D94A30"/>
    <w:rsid w:val="00D95530"/>
    <w:rsid w:val="00D973CA"/>
    <w:rsid w:val="00DA4EA0"/>
    <w:rsid w:val="00DA6999"/>
    <w:rsid w:val="00DB2C66"/>
    <w:rsid w:val="00DB6621"/>
    <w:rsid w:val="00DB7518"/>
    <w:rsid w:val="00DB7DA5"/>
    <w:rsid w:val="00DC1F66"/>
    <w:rsid w:val="00DC54E5"/>
    <w:rsid w:val="00DD3568"/>
    <w:rsid w:val="00DD6E4B"/>
    <w:rsid w:val="00DE0FC6"/>
    <w:rsid w:val="00DE3191"/>
    <w:rsid w:val="00DE4E65"/>
    <w:rsid w:val="00DE6E43"/>
    <w:rsid w:val="00DF2449"/>
    <w:rsid w:val="00DF56B5"/>
    <w:rsid w:val="00E0024E"/>
    <w:rsid w:val="00E004D3"/>
    <w:rsid w:val="00E007B0"/>
    <w:rsid w:val="00E014D0"/>
    <w:rsid w:val="00E050A3"/>
    <w:rsid w:val="00E055D5"/>
    <w:rsid w:val="00E065A2"/>
    <w:rsid w:val="00E06627"/>
    <w:rsid w:val="00E07847"/>
    <w:rsid w:val="00E07D80"/>
    <w:rsid w:val="00E12D4A"/>
    <w:rsid w:val="00E12E56"/>
    <w:rsid w:val="00E131E1"/>
    <w:rsid w:val="00E21EDE"/>
    <w:rsid w:val="00E250FA"/>
    <w:rsid w:val="00E30C0F"/>
    <w:rsid w:val="00E4056F"/>
    <w:rsid w:val="00E4116C"/>
    <w:rsid w:val="00E44A06"/>
    <w:rsid w:val="00E466E8"/>
    <w:rsid w:val="00E47260"/>
    <w:rsid w:val="00E477BF"/>
    <w:rsid w:val="00E50FDC"/>
    <w:rsid w:val="00E514D2"/>
    <w:rsid w:val="00E51545"/>
    <w:rsid w:val="00E62397"/>
    <w:rsid w:val="00E633F3"/>
    <w:rsid w:val="00E65FF8"/>
    <w:rsid w:val="00E76233"/>
    <w:rsid w:val="00E7710E"/>
    <w:rsid w:val="00E811C1"/>
    <w:rsid w:val="00E83A9E"/>
    <w:rsid w:val="00E83EC7"/>
    <w:rsid w:val="00E84987"/>
    <w:rsid w:val="00E86276"/>
    <w:rsid w:val="00E92D0A"/>
    <w:rsid w:val="00EA1785"/>
    <w:rsid w:val="00EA3CC7"/>
    <w:rsid w:val="00EA4350"/>
    <w:rsid w:val="00EA44F9"/>
    <w:rsid w:val="00EC13F5"/>
    <w:rsid w:val="00EC3D67"/>
    <w:rsid w:val="00EC45FE"/>
    <w:rsid w:val="00ED244A"/>
    <w:rsid w:val="00ED37EE"/>
    <w:rsid w:val="00ED7372"/>
    <w:rsid w:val="00EE00B7"/>
    <w:rsid w:val="00EE00FB"/>
    <w:rsid w:val="00EE084B"/>
    <w:rsid w:val="00EE0A05"/>
    <w:rsid w:val="00EE31CC"/>
    <w:rsid w:val="00EE3375"/>
    <w:rsid w:val="00EE51C0"/>
    <w:rsid w:val="00EE64F6"/>
    <w:rsid w:val="00EE7F36"/>
    <w:rsid w:val="00EF2F64"/>
    <w:rsid w:val="00EF3789"/>
    <w:rsid w:val="00F001D3"/>
    <w:rsid w:val="00F01629"/>
    <w:rsid w:val="00F024D5"/>
    <w:rsid w:val="00F05EC4"/>
    <w:rsid w:val="00F065F3"/>
    <w:rsid w:val="00F11A69"/>
    <w:rsid w:val="00F14B77"/>
    <w:rsid w:val="00F151D9"/>
    <w:rsid w:val="00F159B7"/>
    <w:rsid w:val="00F2022A"/>
    <w:rsid w:val="00F20F32"/>
    <w:rsid w:val="00F2323B"/>
    <w:rsid w:val="00F23E96"/>
    <w:rsid w:val="00F2739F"/>
    <w:rsid w:val="00F30D33"/>
    <w:rsid w:val="00F33381"/>
    <w:rsid w:val="00F337C0"/>
    <w:rsid w:val="00F35954"/>
    <w:rsid w:val="00F35C77"/>
    <w:rsid w:val="00F375BD"/>
    <w:rsid w:val="00F40B2E"/>
    <w:rsid w:val="00F43233"/>
    <w:rsid w:val="00F43389"/>
    <w:rsid w:val="00F4504F"/>
    <w:rsid w:val="00F46B54"/>
    <w:rsid w:val="00F54044"/>
    <w:rsid w:val="00F5470B"/>
    <w:rsid w:val="00F548D2"/>
    <w:rsid w:val="00F54F23"/>
    <w:rsid w:val="00F60291"/>
    <w:rsid w:val="00F60C76"/>
    <w:rsid w:val="00F62BB6"/>
    <w:rsid w:val="00F63572"/>
    <w:rsid w:val="00F65989"/>
    <w:rsid w:val="00F6639C"/>
    <w:rsid w:val="00F70177"/>
    <w:rsid w:val="00F70F9F"/>
    <w:rsid w:val="00F7100A"/>
    <w:rsid w:val="00F71E6B"/>
    <w:rsid w:val="00F72761"/>
    <w:rsid w:val="00F75DF0"/>
    <w:rsid w:val="00F76E56"/>
    <w:rsid w:val="00F91836"/>
    <w:rsid w:val="00F91DB5"/>
    <w:rsid w:val="00F94A1F"/>
    <w:rsid w:val="00FA0CE4"/>
    <w:rsid w:val="00FA1686"/>
    <w:rsid w:val="00FA1904"/>
    <w:rsid w:val="00FA3361"/>
    <w:rsid w:val="00FB0AC3"/>
    <w:rsid w:val="00FB50E0"/>
    <w:rsid w:val="00FB6B79"/>
    <w:rsid w:val="00FB6D71"/>
    <w:rsid w:val="00FC28C2"/>
    <w:rsid w:val="00FC2A2A"/>
    <w:rsid w:val="00FC2DF9"/>
    <w:rsid w:val="00FC4E04"/>
    <w:rsid w:val="00FC4EEF"/>
    <w:rsid w:val="00FC6055"/>
    <w:rsid w:val="00FC64C9"/>
    <w:rsid w:val="00FC77C5"/>
    <w:rsid w:val="00FD08F5"/>
    <w:rsid w:val="00FD210F"/>
    <w:rsid w:val="00FD6F53"/>
    <w:rsid w:val="00FD7F49"/>
    <w:rsid w:val="00FE6A7A"/>
    <w:rsid w:val="00FE6EA1"/>
    <w:rsid w:val="00FF0E4A"/>
    <w:rsid w:val="00FF15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9E67B-2333-4D4B-8B98-B69AAF0D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b/>
      <w:kern w:val="28"/>
      <w:u w:val="single"/>
    </w:rPr>
  </w:style>
  <w:style w:type="paragraph" w:styleId="Heading2">
    <w:name w:val="heading 2"/>
    <w:basedOn w:val="Normal"/>
    <w:next w:val="Normal"/>
    <w:link w:val="Heading2Char"/>
    <w:qFormat/>
    <w:pPr>
      <w:keepNext/>
      <w:spacing w:before="240" w:after="60"/>
      <w:outlineLvl w:val="1"/>
    </w:pPr>
    <w:rPr>
      <w:b/>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BalloonText">
    <w:name w:val="Balloon Text"/>
    <w:basedOn w:val="Normal"/>
    <w:link w:val="BalloonTextChar"/>
    <w:rsid w:val="00C92638"/>
    <w:rPr>
      <w:rFonts w:ascii="Tahoma" w:hAnsi="Tahoma" w:cs="Tahoma"/>
      <w:sz w:val="16"/>
      <w:szCs w:val="16"/>
    </w:rPr>
  </w:style>
  <w:style w:type="character" w:customStyle="1" w:styleId="BalloonTextChar">
    <w:name w:val="Balloon Text Char"/>
    <w:basedOn w:val="DefaultParagraphFont"/>
    <w:link w:val="BalloonText"/>
    <w:rsid w:val="00C92638"/>
    <w:rPr>
      <w:rFonts w:ascii="Tahoma" w:hAnsi="Tahoma" w:cs="Tahoma"/>
      <w:sz w:val="16"/>
      <w:szCs w:val="16"/>
    </w:rPr>
  </w:style>
  <w:style w:type="character" w:styleId="CommentReference">
    <w:name w:val="annotation reference"/>
    <w:basedOn w:val="DefaultParagraphFont"/>
    <w:rsid w:val="00BD4010"/>
    <w:rPr>
      <w:sz w:val="16"/>
      <w:szCs w:val="16"/>
    </w:rPr>
  </w:style>
  <w:style w:type="paragraph" w:styleId="CommentText">
    <w:name w:val="annotation text"/>
    <w:basedOn w:val="Normal"/>
    <w:link w:val="CommentTextChar"/>
    <w:rsid w:val="00BD4010"/>
    <w:rPr>
      <w:sz w:val="20"/>
    </w:rPr>
  </w:style>
  <w:style w:type="character" w:customStyle="1" w:styleId="CommentTextChar">
    <w:name w:val="Comment Text Char"/>
    <w:basedOn w:val="DefaultParagraphFont"/>
    <w:link w:val="CommentText"/>
    <w:rsid w:val="00BD4010"/>
  </w:style>
  <w:style w:type="paragraph" w:styleId="CommentSubject">
    <w:name w:val="annotation subject"/>
    <w:basedOn w:val="CommentText"/>
    <w:next w:val="CommentText"/>
    <w:link w:val="CommentSubjectChar"/>
    <w:rsid w:val="00BD4010"/>
    <w:rPr>
      <w:b/>
      <w:bCs/>
    </w:rPr>
  </w:style>
  <w:style w:type="character" w:customStyle="1" w:styleId="CommentSubjectChar">
    <w:name w:val="Comment Subject Char"/>
    <w:basedOn w:val="CommentTextChar"/>
    <w:link w:val="CommentSubject"/>
    <w:rsid w:val="00BD4010"/>
    <w:rPr>
      <w:b/>
      <w:bCs/>
    </w:rPr>
  </w:style>
  <w:style w:type="paragraph" w:styleId="ListParagraph">
    <w:name w:val="List Paragraph"/>
    <w:basedOn w:val="Normal"/>
    <w:uiPriority w:val="34"/>
    <w:qFormat/>
    <w:rsid w:val="00CE11F4"/>
    <w:pPr>
      <w:ind w:left="720"/>
      <w:contextualSpacing/>
    </w:pPr>
  </w:style>
  <w:style w:type="paragraph" w:styleId="Revision">
    <w:name w:val="Revision"/>
    <w:hidden/>
    <w:uiPriority w:val="99"/>
    <w:semiHidden/>
    <w:rsid w:val="00E633F3"/>
    <w:rPr>
      <w:sz w:val="24"/>
    </w:rPr>
  </w:style>
  <w:style w:type="paragraph" w:customStyle="1" w:styleId="Default">
    <w:name w:val="Default"/>
    <w:rsid w:val="00AF104D"/>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54FA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54FAA"/>
    <w:rPr>
      <w:rFonts w:ascii="Calibri" w:eastAsiaTheme="minorHAnsi" w:hAnsi="Calibri" w:cstheme="minorBidi"/>
      <w:sz w:val="22"/>
      <w:szCs w:val="21"/>
      <w:lang w:eastAsia="en-US"/>
    </w:rPr>
  </w:style>
  <w:style w:type="paragraph" w:styleId="FootnoteText">
    <w:name w:val="footnote text"/>
    <w:basedOn w:val="Normal"/>
    <w:link w:val="FootnoteTextChar"/>
    <w:uiPriority w:val="99"/>
    <w:semiHidden/>
    <w:rsid w:val="00CC2F8D"/>
    <w:pPr>
      <w:spacing w:before="120" w:after="180"/>
      <w:ind w:left="85" w:right="85"/>
    </w:pPr>
    <w:rPr>
      <w:rFonts w:ascii="Times" w:hAnsi="Times"/>
      <w:sz w:val="20"/>
      <w:lang w:val="en-GB" w:eastAsia="en-US"/>
    </w:rPr>
  </w:style>
  <w:style w:type="character" w:customStyle="1" w:styleId="FootnoteTextChar">
    <w:name w:val="Footnote Text Char"/>
    <w:basedOn w:val="DefaultParagraphFont"/>
    <w:link w:val="FootnoteText"/>
    <w:uiPriority w:val="99"/>
    <w:semiHidden/>
    <w:rsid w:val="00CC2F8D"/>
    <w:rPr>
      <w:rFonts w:ascii="Times" w:hAnsi="Times"/>
      <w:lang w:val="en-GB" w:eastAsia="en-US"/>
    </w:rPr>
  </w:style>
  <w:style w:type="character" w:styleId="FootnoteReference">
    <w:name w:val="footnote reference"/>
    <w:uiPriority w:val="99"/>
    <w:rsid w:val="00CC2F8D"/>
    <w:rPr>
      <w:vertAlign w:val="superscript"/>
    </w:rPr>
  </w:style>
  <w:style w:type="table" w:styleId="TableGrid">
    <w:name w:val="Table Grid"/>
    <w:basedOn w:val="TableNormal"/>
    <w:rsid w:val="00CC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5DB"/>
    <w:pPr>
      <w:spacing w:before="100" w:beforeAutospacing="1" w:after="100" w:afterAutospacing="1"/>
    </w:pPr>
    <w:rPr>
      <w:szCs w:val="24"/>
    </w:rPr>
  </w:style>
  <w:style w:type="paragraph" w:styleId="Caption">
    <w:name w:val="caption"/>
    <w:basedOn w:val="Normal"/>
    <w:next w:val="Normal"/>
    <w:unhideWhenUsed/>
    <w:qFormat/>
    <w:rsid w:val="000F527D"/>
    <w:pPr>
      <w:spacing w:after="200"/>
    </w:pPr>
    <w:rPr>
      <w:i/>
      <w:iCs/>
      <w:color w:val="1F497D" w:themeColor="text2"/>
      <w:sz w:val="18"/>
      <w:szCs w:val="18"/>
    </w:rPr>
  </w:style>
  <w:style w:type="character" w:customStyle="1" w:styleId="Heading1Char">
    <w:name w:val="Heading 1 Char"/>
    <w:basedOn w:val="DefaultParagraphFont"/>
    <w:link w:val="Heading1"/>
    <w:rsid w:val="00BB06C1"/>
    <w:rPr>
      <w:b/>
      <w:kern w:val="28"/>
      <w:sz w:val="24"/>
      <w:u w:val="single"/>
    </w:rPr>
  </w:style>
  <w:style w:type="character" w:customStyle="1" w:styleId="Heading2Char">
    <w:name w:val="Heading 2 Char"/>
    <w:basedOn w:val="DefaultParagraphFont"/>
    <w:link w:val="Heading2"/>
    <w:rsid w:val="00BB06C1"/>
    <w:rPr>
      <w:b/>
      <w:sz w:val="24"/>
    </w:rPr>
  </w:style>
  <w:style w:type="paragraph" w:styleId="NoSpacing">
    <w:name w:val="No Spacing"/>
    <w:uiPriority w:val="1"/>
    <w:qFormat/>
    <w:rsid w:val="00D04226"/>
    <w:rPr>
      <w:rFonts w:asciiTheme="minorHAnsi" w:eastAsiaTheme="minorHAnsi" w:hAnsiTheme="minorHAnsi" w:cstheme="minorBidi"/>
      <w:sz w:val="22"/>
      <w:szCs w:val="22"/>
      <w:lang w:eastAsia="en-US"/>
    </w:rPr>
  </w:style>
  <w:style w:type="paragraph" w:customStyle="1" w:styleId="Tilfelt">
    <w:name w:val="Tilfelt"/>
    <w:basedOn w:val="Normal"/>
    <w:rsid w:val="007B39BD"/>
    <w:pPr>
      <w:spacing w:after="20"/>
      <w:ind w:left="85" w:right="85"/>
    </w:pPr>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262">
      <w:bodyDiv w:val="1"/>
      <w:marLeft w:val="0"/>
      <w:marRight w:val="0"/>
      <w:marTop w:val="0"/>
      <w:marBottom w:val="0"/>
      <w:divBdr>
        <w:top w:val="none" w:sz="0" w:space="0" w:color="auto"/>
        <w:left w:val="none" w:sz="0" w:space="0" w:color="auto"/>
        <w:bottom w:val="none" w:sz="0" w:space="0" w:color="auto"/>
        <w:right w:val="none" w:sz="0" w:space="0" w:color="auto"/>
      </w:divBdr>
    </w:div>
    <w:div w:id="62802355">
      <w:bodyDiv w:val="1"/>
      <w:marLeft w:val="0"/>
      <w:marRight w:val="0"/>
      <w:marTop w:val="0"/>
      <w:marBottom w:val="0"/>
      <w:divBdr>
        <w:top w:val="none" w:sz="0" w:space="0" w:color="auto"/>
        <w:left w:val="none" w:sz="0" w:space="0" w:color="auto"/>
        <w:bottom w:val="none" w:sz="0" w:space="0" w:color="auto"/>
        <w:right w:val="none" w:sz="0" w:space="0" w:color="auto"/>
      </w:divBdr>
    </w:div>
    <w:div w:id="88233093">
      <w:bodyDiv w:val="1"/>
      <w:marLeft w:val="0"/>
      <w:marRight w:val="0"/>
      <w:marTop w:val="0"/>
      <w:marBottom w:val="0"/>
      <w:divBdr>
        <w:top w:val="none" w:sz="0" w:space="0" w:color="auto"/>
        <w:left w:val="none" w:sz="0" w:space="0" w:color="auto"/>
        <w:bottom w:val="none" w:sz="0" w:space="0" w:color="auto"/>
        <w:right w:val="none" w:sz="0" w:space="0" w:color="auto"/>
      </w:divBdr>
    </w:div>
    <w:div w:id="209851079">
      <w:bodyDiv w:val="1"/>
      <w:marLeft w:val="0"/>
      <w:marRight w:val="0"/>
      <w:marTop w:val="0"/>
      <w:marBottom w:val="0"/>
      <w:divBdr>
        <w:top w:val="none" w:sz="0" w:space="0" w:color="auto"/>
        <w:left w:val="none" w:sz="0" w:space="0" w:color="auto"/>
        <w:bottom w:val="none" w:sz="0" w:space="0" w:color="auto"/>
        <w:right w:val="none" w:sz="0" w:space="0" w:color="auto"/>
      </w:divBdr>
    </w:div>
    <w:div w:id="389504106">
      <w:bodyDiv w:val="1"/>
      <w:marLeft w:val="0"/>
      <w:marRight w:val="0"/>
      <w:marTop w:val="0"/>
      <w:marBottom w:val="0"/>
      <w:divBdr>
        <w:top w:val="none" w:sz="0" w:space="0" w:color="auto"/>
        <w:left w:val="none" w:sz="0" w:space="0" w:color="auto"/>
        <w:bottom w:val="none" w:sz="0" w:space="0" w:color="auto"/>
        <w:right w:val="none" w:sz="0" w:space="0" w:color="auto"/>
      </w:divBdr>
    </w:div>
    <w:div w:id="436950783">
      <w:bodyDiv w:val="1"/>
      <w:marLeft w:val="0"/>
      <w:marRight w:val="0"/>
      <w:marTop w:val="0"/>
      <w:marBottom w:val="0"/>
      <w:divBdr>
        <w:top w:val="none" w:sz="0" w:space="0" w:color="auto"/>
        <w:left w:val="none" w:sz="0" w:space="0" w:color="auto"/>
        <w:bottom w:val="none" w:sz="0" w:space="0" w:color="auto"/>
        <w:right w:val="none" w:sz="0" w:space="0" w:color="auto"/>
      </w:divBdr>
    </w:div>
    <w:div w:id="483282578">
      <w:bodyDiv w:val="1"/>
      <w:marLeft w:val="0"/>
      <w:marRight w:val="0"/>
      <w:marTop w:val="0"/>
      <w:marBottom w:val="0"/>
      <w:divBdr>
        <w:top w:val="none" w:sz="0" w:space="0" w:color="auto"/>
        <w:left w:val="none" w:sz="0" w:space="0" w:color="auto"/>
        <w:bottom w:val="none" w:sz="0" w:space="0" w:color="auto"/>
        <w:right w:val="none" w:sz="0" w:space="0" w:color="auto"/>
      </w:divBdr>
    </w:div>
    <w:div w:id="492189148">
      <w:bodyDiv w:val="1"/>
      <w:marLeft w:val="0"/>
      <w:marRight w:val="0"/>
      <w:marTop w:val="0"/>
      <w:marBottom w:val="0"/>
      <w:divBdr>
        <w:top w:val="none" w:sz="0" w:space="0" w:color="auto"/>
        <w:left w:val="none" w:sz="0" w:space="0" w:color="auto"/>
        <w:bottom w:val="none" w:sz="0" w:space="0" w:color="auto"/>
        <w:right w:val="none" w:sz="0" w:space="0" w:color="auto"/>
      </w:divBdr>
    </w:div>
    <w:div w:id="492523898">
      <w:bodyDiv w:val="1"/>
      <w:marLeft w:val="0"/>
      <w:marRight w:val="0"/>
      <w:marTop w:val="0"/>
      <w:marBottom w:val="0"/>
      <w:divBdr>
        <w:top w:val="none" w:sz="0" w:space="0" w:color="auto"/>
        <w:left w:val="none" w:sz="0" w:space="0" w:color="auto"/>
        <w:bottom w:val="none" w:sz="0" w:space="0" w:color="auto"/>
        <w:right w:val="none" w:sz="0" w:space="0" w:color="auto"/>
      </w:divBdr>
    </w:div>
    <w:div w:id="638992663">
      <w:bodyDiv w:val="1"/>
      <w:marLeft w:val="0"/>
      <w:marRight w:val="0"/>
      <w:marTop w:val="0"/>
      <w:marBottom w:val="0"/>
      <w:divBdr>
        <w:top w:val="none" w:sz="0" w:space="0" w:color="auto"/>
        <w:left w:val="none" w:sz="0" w:space="0" w:color="auto"/>
        <w:bottom w:val="none" w:sz="0" w:space="0" w:color="auto"/>
        <w:right w:val="none" w:sz="0" w:space="0" w:color="auto"/>
      </w:divBdr>
      <w:divsChild>
        <w:div w:id="1562056039">
          <w:marLeft w:val="1166"/>
          <w:marRight w:val="0"/>
          <w:marTop w:val="82"/>
          <w:marBottom w:val="0"/>
          <w:divBdr>
            <w:top w:val="none" w:sz="0" w:space="0" w:color="auto"/>
            <w:left w:val="none" w:sz="0" w:space="0" w:color="auto"/>
            <w:bottom w:val="none" w:sz="0" w:space="0" w:color="auto"/>
            <w:right w:val="none" w:sz="0" w:space="0" w:color="auto"/>
          </w:divBdr>
        </w:div>
      </w:divsChild>
    </w:div>
    <w:div w:id="647981027">
      <w:bodyDiv w:val="1"/>
      <w:marLeft w:val="0"/>
      <w:marRight w:val="0"/>
      <w:marTop w:val="0"/>
      <w:marBottom w:val="0"/>
      <w:divBdr>
        <w:top w:val="none" w:sz="0" w:space="0" w:color="auto"/>
        <w:left w:val="none" w:sz="0" w:space="0" w:color="auto"/>
        <w:bottom w:val="none" w:sz="0" w:space="0" w:color="auto"/>
        <w:right w:val="none" w:sz="0" w:space="0" w:color="auto"/>
      </w:divBdr>
    </w:div>
    <w:div w:id="680274702">
      <w:bodyDiv w:val="1"/>
      <w:marLeft w:val="0"/>
      <w:marRight w:val="0"/>
      <w:marTop w:val="0"/>
      <w:marBottom w:val="0"/>
      <w:divBdr>
        <w:top w:val="none" w:sz="0" w:space="0" w:color="auto"/>
        <w:left w:val="none" w:sz="0" w:space="0" w:color="auto"/>
        <w:bottom w:val="none" w:sz="0" w:space="0" w:color="auto"/>
        <w:right w:val="none" w:sz="0" w:space="0" w:color="auto"/>
      </w:divBdr>
    </w:div>
    <w:div w:id="850804150">
      <w:bodyDiv w:val="1"/>
      <w:marLeft w:val="0"/>
      <w:marRight w:val="0"/>
      <w:marTop w:val="0"/>
      <w:marBottom w:val="0"/>
      <w:divBdr>
        <w:top w:val="none" w:sz="0" w:space="0" w:color="auto"/>
        <w:left w:val="none" w:sz="0" w:space="0" w:color="auto"/>
        <w:bottom w:val="none" w:sz="0" w:space="0" w:color="auto"/>
        <w:right w:val="none" w:sz="0" w:space="0" w:color="auto"/>
      </w:divBdr>
    </w:div>
    <w:div w:id="887449747">
      <w:bodyDiv w:val="1"/>
      <w:marLeft w:val="0"/>
      <w:marRight w:val="0"/>
      <w:marTop w:val="0"/>
      <w:marBottom w:val="0"/>
      <w:divBdr>
        <w:top w:val="none" w:sz="0" w:space="0" w:color="auto"/>
        <w:left w:val="none" w:sz="0" w:space="0" w:color="auto"/>
        <w:bottom w:val="none" w:sz="0" w:space="0" w:color="auto"/>
        <w:right w:val="none" w:sz="0" w:space="0" w:color="auto"/>
      </w:divBdr>
    </w:div>
    <w:div w:id="944926505">
      <w:bodyDiv w:val="1"/>
      <w:marLeft w:val="0"/>
      <w:marRight w:val="0"/>
      <w:marTop w:val="0"/>
      <w:marBottom w:val="0"/>
      <w:divBdr>
        <w:top w:val="none" w:sz="0" w:space="0" w:color="auto"/>
        <w:left w:val="none" w:sz="0" w:space="0" w:color="auto"/>
        <w:bottom w:val="none" w:sz="0" w:space="0" w:color="auto"/>
        <w:right w:val="none" w:sz="0" w:space="0" w:color="auto"/>
      </w:divBdr>
    </w:div>
    <w:div w:id="1236012708">
      <w:bodyDiv w:val="1"/>
      <w:marLeft w:val="0"/>
      <w:marRight w:val="0"/>
      <w:marTop w:val="0"/>
      <w:marBottom w:val="0"/>
      <w:divBdr>
        <w:top w:val="none" w:sz="0" w:space="0" w:color="auto"/>
        <w:left w:val="none" w:sz="0" w:space="0" w:color="auto"/>
        <w:bottom w:val="none" w:sz="0" w:space="0" w:color="auto"/>
        <w:right w:val="none" w:sz="0" w:space="0" w:color="auto"/>
      </w:divBdr>
    </w:div>
    <w:div w:id="1322539878">
      <w:bodyDiv w:val="1"/>
      <w:marLeft w:val="0"/>
      <w:marRight w:val="0"/>
      <w:marTop w:val="0"/>
      <w:marBottom w:val="0"/>
      <w:divBdr>
        <w:top w:val="none" w:sz="0" w:space="0" w:color="auto"/>
        <w:left w:val="none" w:sz="0" w:space="0" w:color="auto"/>
        <w:bottom w:val="none" w:sz="0" w:space="0" w:color="auto"/>
        <w:right w:val="none" w:sz="0" w:space="0" w:color="auto"/>
      </w:divBdr>
    </w:div>
    <w:div w:id="1358891207">
      <w:bodyDiv w:val="1"/>
      <w:marLeft w:val="0"/>
      <w:marRight w:val="0"/>
      <w:marTop w:val="0"/>
      <w:marBottom w:val="0"/>
      <w:divBdr>
        <w:top w:val="none" w:sz="0" w:space="0" w:color="auto"/>
        <w:left w:val="none" w:sz="0" w:space="0" w:color="auto"/>
        <w:bottom w:val="none" w:sz="0" w:space="0" w:color="auto"/>
        <w:right w:val="none" w:sz="0" w:space="0" w:color="auto"/>
      </w:divBdr>
    </w:div>
    <w:div w:id="1371030631">
      <w:bodyDiv w:val="1"/>
      <w:marLeft w:val="0"/>
      <w:marRight w:val="0"/>
      <w:marTop w:val="0"/>
      <w:marBottom w:val="0"/>
      <w:divBdr>
        <w:top w:val="none" w:sz="0" w:space="0" w:color="auto"/>
        <w:left w:val="none" w:sz="0" w:space="0" w:color="auto"/>
        <w:bottom w:val="none" w:sz="0" w:space="0" w:color="auto"/>
        <w:right w:val="none" w:sz="0" w:space="0" w:color="auto"/>
      </w:divBdr>
    </w:div>
    <w:div w:id="1471243909">
      <w:bodyDiv w:val="1"/>
      <w:marLeft w:val="0"/>
      <w:marRight w:val="0"/>
      <w:marTop w:val="0"/>
      <w:marBottom w:val="0"/>
      <w:divBdr>
        <w:top w:val="none" w:sz="0" w:space="0" w:color="auto"/>
        <w:left w:val="none" w:sz="0" w:space="0" w:color="auto"/>
        <w:bottom w:val="none" w:sz="0" w:space="0" w:color="auto"/>
        <w:right w:val="none" w:sz="0" w:space="0" w:color="auto"/>
      </w:divBdr>
    </w:div>
    <w:div w:id="1519077022">
      <w:bodyDiv w:val="1"/>
      <w:marLeft w:val="0"/>
      <w:marRight w:val="0"/>
      <w:marTop w:val="0"/>
      <w:marBottom w:val="0"/>
      <w:divBdr>
        <w:top w:val="none" w:sz="0" w:space="0" w:color="auto"/>
        <w:left w:val="none" w:sz="0" w:space="0" w:color="auto"/>
        <w:bottom w:val="none" w:sz="0" w:space="0" w:color="auto"/>
        <w:right w:val="none" w:sz="0" w:space="0" w:color="auto"/>
      </w:divBdr>
      <w:divsChild>
        <w:div w:id="135032632">
          <w:marLeft w:val="547"/>
          <w:marRight w:val="0"/>
          <w:marTop w:val="106"/>
          <w:marBottom w:val="0"/>
          <w:divBdr>
            <w:top w:val="none" w:sz="0" w:space="0" w:color="auto"/>
            <w:left w:val="none" w:sz="0" w:space="0" w:color="auto"/>
            <w:bottom w:val="none" w:sz="0" w:space="0" w:color="auto"/>
            <w:right w:val="none" w:sz="0" w:space="0" w:color="auto"/>
          </w:divBdr>
        </w:div>
      </w:divsChild>
    </w:div>
    <w:div w:id="1979332591">
      <w:bodyDiv w:val="1"/>
      <w:marLeft w:val="0"/>
      <w:marRight w:val="0"/>
      <w:marTop w:val="0"/>
      <w:marBottom w:val="0"/>
      <w:divBdr>
        <w:top w:val="none" w:sz="0" w:space="0" w:color="auto"/>
        <w:left w:val="none" w:sz="0" w:space="0" w:color="auto"/>
        <w:bottom w:val="none" w:sz="0" w:space="0" w:color="auto"/>
        <w:right w:val="none" w:sz="0" w:space="0" w:color="auto"/>
      </w:divBdr>
    </w:div>
    <w:div w:id="2058236452">
      <w:bodyDiv w:val="1"/>
      <w:marLeft w:val="0"/>
      <w:marRight w:val="0"/>
      <w:marTop w:val="0"/>
      <w:marBottom w:val="0"/>
      <w:divBdr>
        <w:top w:val="none" w:sz="0" w:space="0" w:color="auto"/>
        <w:left w:val="none" w:sz="0" w:space="0" w:color="auto"/>
        <w:bottom w:val="none" w:sz="0" w:space="0" w:color="auto"/>
        <w:right w:val="none" w:sz="0" w:space="0" w:color="auto"/>
      </w:divBdr>
    </w:div>
    <w:div w:id="20916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1D17-2426-4ED3-BA49-DE228F9E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2355</Words>
  <Characters>13359</Characters>
  <Application>Microsoft Office Word</Application>
  <DocSecurity>4</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Orientering om økonomisk status pr august</vt:lpstr>
      <vt:lpstr>Orientering om økonomisk status pr august</vt:lpstr>
    </vt:vector>
  </TitlesOfParts>
  <Company>NTNU</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 om økonomisk status pr august</dc:title>
  <dc:subject>Kolegie notat</dc:subject>
  <dc:creator>Per-Arne Norevik</dc:creator>
  <cp:keywords/>
  <dc:description/>
  <cp:lastModifiedBy>Wenche Margrethe Kulmo</cp:lastModifiedBy>
  <cp:revision>2</cp:revision>
  <cp:lastPrinted>2019-02-20T16:24:00Z</cp:lastPrinted>
  <dcterms:created xsi:type="dcterms:W3CDTF">2019-04-01T06:42:00Z</dcterms:created>
  <dcterms:modified xsi:type="dcterms:W3CDTF">2019-04-01T06:42:00Z</dcterms:modified>
</cp:coreProperties>
</file>