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64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48"/>
        <w:gridCol w:w="3465"/>
        <w:gridCol w:w="916"/>
        <w:gridCol w:w="4635"/>
      </w:tblGrid>
      <w:tr w:rsidR="001E4DB1" w:rsidRPr="00C32BE5" w:rsidTr="006716FD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3741" w:type="dxa"/>
          </w:tcPr>
          <w:p w:rsidR="00C71610" w:rsidRPr="00290380" w:rsidRDefault="006716FD" w:rsidP="006716FD">
            <w:pPr>
              <w:pStyle w:val="InnkallingsskriftFyllInn"/>
            </w:pPr>
            <w:bookmarkStart w:id="3" w:name="Tid"/>
            <w:bookmarkEnd w:id="3"/>
            <w:r>
              <w:t>27.4</w:t>
            </w:r>
            <w:r w:rsidR="00220471">
              <w:t>3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 w:rsidR="00220471">
              <w:t xml:space="preserve">12.30 </w:t>
            </w:r>
            <w:r w:rsidR="00C75A91">
              <w:t xml:space="preserve"> - </w:t>
            </w:r>
            <w:r w:rsidR="00556A81">
              <w:t>1</w:t>
            </w:r>
            <w:r w:rsidR="00220471">
              <w:t>4</w:t>
            </w:r>
            <w:r w:rsidR="00556A81">
              <w:t>.</w:t>
            </w:r>
            <w:r w:rsidR="00220471">
              <w:t>00</w:t>
            </w:r>
            <w:r w:rsidR="00B42CE4" w:rsidRPr="00290380">
              <w:t xml:space="preserve"> </w:t>
            </w:r>
          </w:p>
        </w:tc>
        <w:tc>
          <w:tcPr>
            <w:tcW w:w="224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6716FD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3A0A25" w:rsidRDefault="003A0A25" w:rsidP="002F17B2">
      <w:pPr>
        <w:ind w:left="0"/>
        <w:jc w:val="both"/>
        <w:rPr>
          <w:b/>
        </w:rPr>
      </w:pPr>
    </w:p>
    <w:p w:rsidR="003A0A25" w:rsidRDefault="003A0A25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Pr="006716FD" w:rsidRDefault="002F17B2" w:rsidP="006716FD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6716FD">
        <w:t>12.3</w:t>
      </w:r>
      <w:r w:rsidR="00220471">
        <w:t xml:space="preserve">.2018 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6716FD" w:rsidRPr="006716FD">
        <w:rPr>
          <w:rFonts w:ascii="Times" w:eastAsia="Times New Roman" w:hAnsi="Times"/>
          <w:b/>
          <w:sz w:val="24"/>
          <w:szCs w:val="24"/>
        </w:rPr>
        <w:t>Nye økonomisystemer (BOTT) /digitalisering (informasjon)</w:t>
      </w:r>
    </w:p>
    <w:p w:rsidR="006716FD" w:rsidRDefault="006716FD" w:rsidP="006716FD">
      <w:pPr>
        <w:ind w:left="720" w:firstLine="1"/>
      </w:pPr>
      <w:r>
        <w:t xml:space="preserve">Arbeidsgiver informerer om status i arbeidet </w:t>
      </w:r>
      <w:proofErr w:type="gramStart"/>
      <w:r>
        <w:t>med  anskaffelse</w:t>
      </w:r>
      <w:proofErr w:type="gramEnd"/>
      <w:r>
        <w:t xml:space="preserve"> av nye økonomisystemer (BOTT), samt om andre prosjekter med digitalisering/robotisering. Muntlig presentasjon i møtet. </w:t>
      </w:r>
    </w:p>
    <w:p w:rsidR="006716FD" w:rsidRDefault="006716FD" w:rsidP="006716FD">
      <w:pPr>
        <w:ind w:left="720" w:firstLine="1"/>
      </w:pPr>
    </w:p>
    <w:p w:rsidR="006716FD" w:rsidRPr="006716FD" w:rsidRDefault="006716FD" w:rsidP="006716FD">
      <w:pPr>
        <w:spacing w:after="0"/>
        <w:ind w:right="0"/>
        <w:rPr>
          <w:color w:val="1F497D"/>
        </w:rPr>
      </w:pPr>
    </w:p>
    <w:p w:rsidR="00220471" w:rsidRDefault="00220471" w:rsidP="00220471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4.</w:t>
      </w:r>
      <w:r>
        <w:rPr>
          <w:rFonts w:ascii="Times" w:eastAsia="Times New Roman" w:hAnsi="Times"/>
          <w:b/>
          <w:sz w:val="24"/>
          <w:szCs w:val="24"/>
        </w:rPr>
        <w:tab/>
      </w:r>
      <w:r w:rsidR="006716FD" w:rsidRPr="006716FD">
        <w:rPr>
          <w:rFonts w:ascii="Times" w:eastAsia="Times New Roman" w:hAnsi="Times"/>
          <w:b/>
          <w:sz w:val="24"/>
          <w:szCs w:val="24"/>
        </w:rPr>
        <w:t>Oppfølging arbeidsmiljøundersøkelsen (informasjon)</w:t>
      </w:r>
    </w:p>
    <w:p w:rsidR="00220471" w:rsidRDefault="00220471" w:rsidP="00220471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 xml:space="preserve">Arbeidsgiver informerer om </w:t>
      </w:r>
      <w:r w:rsidR="006716FD">
        <w:rPr>
          <w:rFonts w:ascii="Times" w:eastAsia="Times New Roman" w:hAnsi="Times"/>
          <w:sz w:val="24"/>
          <w:szCs w:val="24"/>
        </w:rPr>
        <w:t xml:space="preserve">oppfølgingsarbeidet etter arbeidsmiljøundersøkelsen så langt. Diskusjon om behov for tiltak på tvers avdelingene. Muntlig informasjon i møtet. </w:t>
      </w:r>
    </w:p>
    <w:p w:rsidR="006716FD" w:rsidRDefault="006716FD" w:rsidP="00220471">
      <w:pPr>
        <w:pStyle w:val="Rentekst"/>
        <w:ind w:left="720" w:hanging="720"/>
      </w:pPr>
    </w:p>
    <w:p w:rsidR="00C01D48" w:rsidRPr="00510767" w:rsidRDefault="00C01D48" w:rsidP="00220471">
      <w:pPr>
        <w:pStyle w:val="Rentekst"/>
        <w:ind w:left="720" w:hanging="720"/>
      </w:pPr>
    </w:p>
    <w:p w:rsidR="006716FD" w:rsidRDefault="00220471" w:rsidP="003A0A25">
      <w:pPr>
        <w:ind w:left="0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6716FD" w:rsidRPr="006716FD">
        <w:rPr>
          <w:b/>
        </w:rPr>
        <w:t>Strategiske satsinger (RSO) i regi av ØE i 2019 (drøfting)</w:t>
      </w:r>
    </w:p>
    <w:p w:rsidR="002B5BA9" w:rsidRDefault="006716FD" w:rsidP="002B5BA9">
      <w:pPr>
        <w:ind w:left="720"/>
      </w:pPr>
      <w:r>
        <w:t>Økonomi og eiendomsdirektøren er bedt om å gi inns</w:t>
      </w:r>
      <w:r w:rsidR="002B5BA9">
        <w:t xml:space="preserve">pill til strategiske satsninger innen Økonomi og eiendomsområdet for 2019. Vedlagt oversikt over de tiltak som foreslås prioritert. </w:t>
      </w:r>
    </w:p>
    <w:p w:rsidR="0040016A" w:rsidRDefault="0040016A" w:rsidP="0040016A">
      <w:pPr>
        <w:pStyle w:val="Rentekst"/>
        <w:ind w:left="720" w:hanging="720"/>
      </w:pPr>
    </w:p>
    <w:p w:rsidR="00C01D48" w:rsidRDefault="00C01D48" w:rsidP="0040016A">
      <w:pPr>
        <w:pStyle w:val="Rentekst"/>
        <w:ind w:left="720" w:hanging="720"/>
      </w:pPr>
    </w:p>
    <w:p w:rsidR="0040016A" w:rsidRDefault="002B5BA9" w:rsidP="0040016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6</w:t>
      </w:r>
      <w:r w:rsidR="0040016A">
        <w:rPr>
          <w:rFonts w:ascii="Times" w:eastAsia="Times New Roman" w:hAnsi="Times"/>
          <w:b/>
          <w:sz w:val="24"/>
          <w:szCs w:val="24"/>
        </w:rPr>
        <w:t xml:space="preserve">. </w:t>
      </w:r>
      <w:r w:rsidR="0040016A"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>Rådgivende gruppe for tilsettinger i Økonomi og eiendomsområdet (in</w:t>
      </w:r>
      <w:r w:rsidR="0040016A" w:rsidRPr="00846616">
        <w:rPr>
          <w:rFonts w:ascii="Times" w:eastAsia="Times New Roman" w:hAnsi="Times"/>
          <w:b/>
          <w:sz w:val="24"/>
          <w:szCs w:val="24"/>
        </w:rPr>
        <w:t>formasjon</w:t>
      </w:r>
      <w:r w:rsidR="0040016A">
        <w:rPr>
          <w:rFonts w:ascii="Times" w:eastAsia="Times New Roman" w:hAnsi="Times"/>
          <w:b/>
          <w:sz w:val="24"/>
          <w:szCs w:val="24"/>
        </w:rPr>
        <w:t>/drøfting</w:t>
      </w:r>
      <w:r w:rsidR="0040016A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1273DA" w:rsidRDefault="0040016A" w:rsidP="0040016A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 w:rsidR="002A0E53">
        <w:rPr>
          <w:rFonts w:ascii="Times" w:eastAsia="Times New Roman" w:hAnsi="Times"/>
          <w:sz w:val="24"/>
          <w:szCs w:val="24"/>
        </w:rPr>
        <w:t xml:space="preserve">LOSAM ØE har etter NTNUs personalreglement ansvar for å ajourholde navneliste med personer som kan delta i rådgivende gruppe i innstillingsprosessen for tilsettinger innen LOSAM-området. </w:t>
      </w:r>
      <w:r w:rsidR="002A0E53">
        <w:rPr>
          <w:rFonts w:ascii="Times" w:eastAsia="Times New Roman" w:hAnsi="Times"/>
          <w:sz w:val="24"/>
          <w:szCs w:val="24"/>
        </w:rPr>
        <w:br/>
        <w:t xml:space="preserve">NTL har bedt om at denne listen gjennomgås med sikte på at personer som er sluttet fjernes, og at listen kompletteres. Se vedlegg, dagens liste. </w:t>
      </w:r>
      <w:bookmarkStart w:id="6" w:name="_GoBack"/>
      <w:bookmarkEnd w:id="6"/>
    </w:p>
    <w:p w:rsidR="00455CAE" w:rsidRDefault="00455CAE" w:rsidP="00172D10">
      <w:pPr>
        <w:ind w:left="0"/>
        <w:rPr>
          <w:b/>
        </w:rPr>
      </w:pPr>
    </w:p>
    <w:p w:rsidR="00C01D48" w:rsidRDefault="00C01D48" w:rsidP="00172D10">
      <w:pPr>
        <w:ind w:left="0"/>
        <w:rPr>
          <w:b/>
        </w:rPr>
      </w:pPr>
    </w:p>
    <w:p w:rsidR="00172D10" w:rsidRPr="00846616" w:rsidRDefault="003A0A25" w:rsidP="00172D10">
      <w:pPr>
        <w:ind w:left="0"/>
        <w:rPr>
          <w:b/>
        </w:rPr>
      </w:pPr>
      <w:r>
        <w:rPr>
          <w:b/>
        </w:rPr>
        <w:t>7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</w:r>
      <w:r w:rsidR="00455CAE"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3A0A25" w:rsidP="00455CAE">
      <w:pPr>
        <w:pStyle w:val="Rentekst"/>
        <w:rPr>
          <w:b/>
        </w:rPr>
      </w:pPr>
      <w:r>
        <w:rPr>
          <w:b/>
        </w:rPr>
        <w:t>8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8628B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68628B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3A0A25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3A0A25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6716FD" w:rsidP="006716FD">
          <w:pPr>
            <w:pStyle w:val="DatoRefFyllInn"/>
          </w:pPr>
          <w:bookmarkStart w:id="9" w:name="VarDato"/>
          <w:bookmarkEnd w:id="9"/>
          <w:r>
            <w:t>20.4</w:t>
          </w:r>
          <w:r w:rsidR="004C2CB4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C12"/>
    <w:multiLevelType w:val="hybridMultilevel"/>
    <w:tmpl w:val="5F827A12"/>
    <w:lvl w:ilvl="0" w:tplc="746E2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0E53"/>
    <w:rsid w:val="002A6CAB"/>
    <w:rsid w:val="002B2422"/>
    <w:rsid w:val="002B5BA9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0A25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16FD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28B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1D48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D6F9B91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5</cp:revision>
  <cp:lastPrinted>2013-02-06T13:41:00Z</cp:lastPrinted>
  <dcterms:created xsi:type="dcterms:W3CDTF">2018-04-20T14:45:00Z</dcterms:created>
  <dcterms:modified xsi:type="dcterms:W3CDTF">2018-04-20T14:53:00Z</dcterms:modified>
</cp:coreProperties>
</file>