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C4D6F" w14:textId="52A8B7D2" w:rsidR="00574AFC" w:rsidRPr="00574AFC" w:rsidRDefault="00574AFC" w:rsidP="00574AFC">
      <w:pPr>
        <w:pStyle w:val="NormalWeb"/>
        <w:rPr>
          <w:color w:val="000000"/>
          <w:sz w:val="24"/>
          <w:szCs w:val="24"/>
          <w:lang w:val="en-US"/>
        </w:rPr>
      </w:pPr>
      <w:r w:rsidRPr="00574AFC">
        <w:rPr>
          <w:color w:val="000000"/>
          <w:sz w:val="24"/>
          <w:szCs w:val="24"/>
          <w:lang w:val="en-US"/>
        </w:rPr>
        <w:t xml:space="preserve">Dear </w:t>
      </w:r>
      <w:r>
        <w:rPr>
          <w:color w:val="000000"/>
          <w:sz w:val="24"/>
          <w:szCs w:val="24"/>
          <w:lang w:val="en-US"/>
        </w:rPr>
        <w:t>NN and</w:t>
      </w:r>
      <w:r w:rsidRPr="00574AF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  <w:lang w:val="en-US"/>
        </w:rPr>
        <w:t>NN2</w:t>
      </w:r>
      <w:r w:rsidRPr="00574AFC">
        <w:rPr>
          <w:color w:val="000000"/>
          <w:sz w:val="24"/>
          <w:szCs w:val="24"/>
          <w:lang w:val="en-US"/>
        </w:rPr>
        <w:t>,</w:t>
      </w:r>
    </w:p>
    <w:p w14:paraId="7E336367" w14:textId="77777777" w:rsidR="00574AFC" w:rsidRPr="00574AFC" w:rsidRDefault="00574AFC" w:rsidP="00574AFC">
      <w:pPr>
        <w:pStyle w:val="NormalWeb"/>
        <w:rPr>
          <w:color w:val="000000"/>
          <w:sz w:val="24"/>
          <w:szCs w:val="24"/>
          <w:lang w:val="en-US"/>
        </w:rPr>
      </w:pPr>
    </w:p>
    <w:p w14:paraId="24AEEA0A" w14:textId="77777777" w:rsidR="00574AFC" w:rsidRDefault="00574AFC" w:rsidP="00574AFC">
      <w:pPr>
        <w:pStyle w:val="Normal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Thank you for agreeing to be opponent for “candidate name” PhD defence. </w:t>
      </w:r>
    </w:p>
    <w:p w14:paraId="0EE184D7" w14:textId="72EDB7BE" w:rsidR="00574AFC" w:rsidRPr="00574AFC" w:rsidRDefault="00574AFC" w:rsidP="00574AFC">
      <w:pPr>
        <w:pStyle w:val="NormalWeb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 xml:space="preserve"> </w:t>
      </w:r>
    </w:p>
    <w:p w14:paraId="7CB1F53B" w14:textId="4CCEC638" w:rsidR="00574AFC" w:rsidRPr="00574AFC" w:rsidRDefault="00574AFC" w:rsidP="00574AFC">
      <w:pPr>
        <w:pStyle w:val="NormalWeb"/>
        <w:rPr>
          <w:lang w:val="en-US"/>
        </w:rPr>
      </w:pPr>
      <w:r w:rsidRPr="00574AFC">
        <w:rPr>
          <w:color w:val="000000"/>
          <w:sz w:val="24"/>
          <w:szCs w:val="24"/>
          <w:lang w:val="en-US"/>
        </w:rPr>
        <w:t>The first thing that we have to agree on is the date of the PhD </w:t>
      </w:r>
      <w:r w:rsidRPr="00574AFC">
        <w:rPr>
          <w:sz w:val="24"/>
          <w:szCs w:val="24"/>
          <w:lang w:val="en-US"/>
        </w:rPr>
        <w:t xml:space="preserve">defence. </w:t>
      </w:r>
      <w:r>
        <w:rPr>
          <w:sz w:val="24"/>
          <w:szCs w:val="24"/>
          <w:lang w:val="en-US"/>
        </w:rPr>
        <w:t>“Suggest possible dates”.</w:t>
      </w:r>
    </w:p>
    <w:p w14:paraId="5219E36D" w14:textId="77777777" w:rsidR="00574AFC" w:rsidRPr="00574AFC" w:rsidRDefault="00574AFC" w:rsidP="00574AFC">
      <w:pPr>
        <w:pStyle w:val="NormalWeb"/>
        <w:rPr>
          <w:lang w:val="en-US"/>
        </w:rPr>
      </w:pPr>
    </w:p>
    <w:p w14:paraId="4636A457" w14:textId="26FEFE50" w:rsidR="00574AFC" w:rsidRPr="00574AFC" w:rsidRDefault="00574AFC" w:rsidP="00574AFC">
      <w:pPr>
        <w:pStyle w:val="NormalWeb"/>
        <w:rPr>
          <w:lang w:val="en-US"/>
        </w:rPr>
      </w:pPr>
      <w:r w:rsidRPr="00574AFC">
        <w:rPr>
          <w:sz w:val="24"/>
          <w:szCs w:val="24"/>
          <w:lang w:val="en-US"/>
        </w:rPr>
        <w:t>On the day of the defence, we shall be busy from 10AM to about 5 PM with a lunch break. For the candidate's trial lecture on a topic different from the PhD project, the candidate's presentation of the PhD thesis, your disputations with the candidate</w:t>
      </w:r>
      <w:r>
        <w:rPr>
          <w:sz w:val="24"/>
          <w:szCs w:val="24"/>
          <w:lang w:val="en-US"/>
        </w:rPr>
        <w:t>,</w:t>
      </w:r>
      <w:r w:rsidRPr="00574AFC">
        <w:rPr>
          <w:sz w:val="24"/>
          <w:szCs w:val="24"/>
          <w:lang w:val="en-US"/>
        </w:rPr>
        <w:t xml:space="preserve"> and </w:t>
      </w:r>
      <w:r>
        <w:rPr>
          <w:sz w:val="24"/>
          <w:szCs w:val="24"/>
          <w:lang w:val="en-US"/>
        </w:rPr>
        <w:t xml:space="preserve">finally providing </w:t>
      </w:r>
      <w:r w:rsidRPr="00574AFC">
        <w:rPr>
          <w:sz w:val="24"/>
          <w:szCs w:val="24"/>
          <w:lang w:val="en-US"/>
        </w:rPr>
        <w:t>our assessment of trial lecture, PhD thesis and defence</w:t>
      </w:r>
      <w:r>
        <w:rPr>
          <w:sz w:val="24"/>
          <w:szCs w:val="24"/>
          <w:lang w:val="en-US"/>
        </w:rPr>
        <w:t xml:space="preserve">. </w:t>
      </w:r>
      <w:r w:rsidRPr="00574AFC">
        <w:rPr>
          <w:sz w:val="24"/>
          <w:szCs w:val="24"/>
          <w:lang w:val="en-US"/>
        </w:rPr>
        <w:t>I'll provide more details on the PhD defence schedule later.</w:t>
      </w:r>
    </w:p>
    <w:p w14:paraId="394B6BFB" w14:textId="77777777" w:rsidR="00574AFC" w:rsidRPr="00574AFC" w:rsidRDefault="00574AFC" w:rsidP="00574AFC">
      <w:pPr>
        <w:pStyle w:val="NormalWeb"/>
        <w:rPr>
          <w:lang w:val="en-US"/>
        </w:rPr>
      </w:pPr>
    </w:p>
    <w:p w14:paraId="1D7A55E0" w14:textId="5D7C78A1" w:rsidR="00574AFC" w:rsidRPr="00574AFC" w:rsidRDefault="00574AFC" w:rsidP="00574AFC">
      <w:pPr>
        <w:pStyle w:val="NormalWeb"/>
        <w:rPr>
          <w:lang w:val="en-US"/>
        </w:rPr>
      </w:pPr>
      <w:r w:rsidRPr="00574AFC">
        <w:rPr>
          <w:sz w:val="24"/>
          <w:szCs w:val="24"/>
          <w:lang w:val="en-US"/>
        </w:rPr>
        <w:t>The choice of the PhD defence date has an implication on the deadline for your assessment reports (1-2 pages). At least five weeks before the PhD defence, I as the administrator of the assessment committee have to deliver </w:t>
      </w:r>
      <w:r w:rsidRPr="00574AFC">
        <w:rPr>
          <w:color w:val="26282A"/>
          <w:sz w:val="24"/>
          <w:szCs w:val="24"/>
          <w:lang w:val="en-US"/>
        </w:rPr>
        <w:t>a joint recommendation and the title of the trial lecture to our Faculty of Engineering. To allow me to compile that recommendation from your evaluations, I should appreciate to receive your </w:t>
      </w:r>
      <w:r w:rsidRPr="00574AFC">
        <w:rPr>
          <w:sz w:val="24"/>
          <w:szCs w:val="24"/>
          <w:lang w:val="en-US"/>
        </w:rPr>
        <w:t xml:space="preserve">assessment reports a few days before the deadline. </w:t>
      </w:r>
      <w:r>
        <w:rPr>
          <w:sz w:val="24"/>
          <w:szCs w:val="24"/>
          <w:lang w:val="en-US"/>
        </w:rPr>
        <w:t>The main supervisor</w:t>
      </w:r>
      <w:r w:rsidRPr="00574AFC">
        <w:rPr>
          <w:sz w:val="24"/>
          <w:szCs w:val="24"/>
          <w:lang w:val="en-US"/>
        </w:rPr>
        <w:t xml:space="preserve"> will propose a title </w:t>
      </w:r>
      <w:r w:rsidRPr="00574AFC">
        <w:rPr>
          <w:color w:val="26282A"/>
          <w:sz w:val="24"/>
          <w:szCs w:val="24"/>
          <w:lang w:val="en-US"/>
        </w:rPr>
        <w:t>of the trial lecture to give us some time to discuss it. We may take the suggested title or propose another one. Thus, if we agree on </w:t>
      </w:r>
      <w:r>
        <w:rPr>
          <w:sz w:val="24"/>
          <w:szCs w:val="24"/>
          <w:lang w:val="en-US"/>
        </w:rPr>
        <w:t>“date”</w:t>
      </w:r>
      <w:r w:rsidRPr="00574AFC">
        <w:rPr>
          <w:sz w:val="24"/>
          <w:szCs w:val="24"/>
          <w:lang w:val="en-US"/>
        </w:rPr>
        <w:t xml:space="preserve"> as the date of </w:t>
      </w:r>
      <w:r>
        <w:rPr>
          <w:sz w:val="24"/>
          <w:szCs w:val="24"/>
          <w:lang w:val="en-US"/>
        </w:rPr>
        <w:t>“candidate”</w:t>
      </w:r>
      <w:r w:rsidRPr="00574AFC">
        <w:rPr>
          <w:sz w:val="24"/>
          <w:szCs w:val="24"/>
          <w:lang w:val="en-US"/>
        </w:rPr>
        <w:t>'s PhD defence, I should like to receive you assessment reports and </w:t>
      </w:r>
      <w:r>
        <w:rPr>
          <w:sz w:val="24"/>
          <w:szCs w:val="24"/>
          <w:lang w:val="en-US"/>
        </w:rPr>
        <w:t>“supervisors”</w:t>
      </w:r>
      <w:r w:rsidRPr="00574AFC">
        <w:rPr>
          <w:sz w:val="24"/>
          <w:szCs w:val="24"/>
          <w:lang w:val="en-US"/>
        </w:rPr>
        <w:t>'s suggested t</w:t>
      </w:r>
      <w:r w:rsidRPr="00574AFC">
        <w:rPr>
          <w:color w:val="26282A"/>
          <w:sz w:val="24"/>
          <w:szCs w:val="24"/>
          <w:lang w:val="en-US"/>
        </w:rPr>
        <w:t xml:space="preserve">itle of the trial lecture by </w:t>
      </w:r>
      <w:r>
        <w:rPr>
          <w:color w:val="26282A"/>
          <w:sz w:val="24"/>
          <w:szCs w:val="24"/>
          <w:lang w:val="en-US"/>
        </w:rPr>
        <w:t>“date 5 weeks and a few days prior of defense”</w:t>
      </w:r>
      <w:r w:rsidRPr="00574AFC">
        <w:rPr>
          <w:color w:val="26282A"/>
          <w:sz w:val="24"/>
          <w:szCs w:val="24"/>
          <w:lang w:val="en-US"/>
        </w:rPr>
        <w:t>. The </w:t>
      </w:r>
      <w:r w:rsidRPr="00574AFC">
        <w:rPr>
          <w:sz w:val="24"/>
          <w:szCs w:val="24"/>
          <w:lang w:val="en-US"/>
        </w:rPr>
        <w:t>assessment reports should clearly state, </w:t>
      </w:r>
      <w:r w:rsidRPr="00574AFC">
        <w:rPr>
          <w:color w:val="26282A"/>
          <w:sz w:val="24"/>
          <w:szCs w:val="24"/>
          <w:lang w:val="en-US"/>
        </w:rPr>
        <w:t>whether the PhD thesis is worthy of defence for the PhD degree.</w:t>
      </w:r>
    </w:p>
    <w:p w14:paraId="793D361B" w14:textId="77777777" w:rsidR="00574AFC" w:rsidRPr="00574AFC" w:rsidRDefault="00574AFC" w:rsidP="00574AFC">
      <w:pPr>
        <w:pStyle w:val="NormalWeb"/>
        <w:rPr>
          <w:lang w:val="en-US"/>
        </w:rPr>
      </w:pPr>
      <w:r w:rsidRPr="00574AFC">
        <w:rPr>
          <w:color w:val="26282A"/>
          <w:lang w:val="en-US"/>
        </w:rPr>
        <w:br/>
      </w:r>
    </w:p>
    <w:p w14:paraId="3C51B1CE" w14:textId="77777777" w:rsidR="00574AFC" w:rsidRPr="00574AFC" w:rsidRDefault="00574AFC" w:rsidP="00574AFC">
      <w:pPr>
        <w:pStyle w:val="NormalWeb"/>
        <w:rPr>
          <w:lang w:val="en-US"/>
        </w:rPr>
      </w:pPr>
      <w:r w:rsidRPr="00574AFC">
        <w:rPr>
          <w:color w:val="26282A"/>
          <w:sz w:val="24"/>
          <w:szCs w:val="24"/>
          <w:lang w:val="en-US"/>
        </w:rPr>
        <w:t>For your information, you'll find the regulations for the PhD degree at NTNU at </w:t>
      </w:r>
      <w:hyperlink r:id="rId7" w:tgtFrame="_blank" w:tooltip="https://www.ntnu.edu/phd/regulations&#10;Cmd+Click or tap to follow the link" w:history="1">
        <w:r w:rsidRPr="00574AFC">
          <w:rPr>
            <w:rStyle w:val="Hyperkobling"/>
            <w:sz w:val="24"/>
            <w:szCs w:val="24"/>
            <w:lang w:val="en-US"/>
          </w:rPr>
          <w:t>https://www.ntnu.edu/phd/regulations</w:t>
        </w:r>
      </w:hyperlink>
      <w:r w:rsidRPr="00574AFC">
        <w:rPr>
          <w:color w:val="26282A"/>
          <w:sz w:val="24"/>
          <w:szCs w:val="24"/>
          <w:lang w:val="en-US"/>
        </w:rPr>
        <w:t> </w:t>
      </w:r>
      <w:r w:rsidRPr="00574AFC">
        <w:rPr>
          <w:lang w:val="en-US"/>
        </w:rPr>
        <w:t>. For PhD theses at our Faculty of Engineering, supplementary regulations are relevant, cf. </w:t>
      </w:r>
      <w:hyperlink r:id="rId8" w:tgtFrame="_blank" w:history="1">
        <w:r w:rsidRPr="00574AFC">
          <w:rPr>
            <w:rStyle w:val="Hyperkobling"/>
            <w:sz w:val="24"/>
            <w:szCs w:val="24"/>
            <w:lang w:val="en-US"/>
          </w:rPr>
          <w:t>https://www.ntnu.edu/documents/139736/20785611/Regulations+for+the+Philosophiae+Doctor+Degree+with+amd+regulations+for+IV.pdf/9169a896-1d64-4561-b5dd-88a35c6fad2e</w:t>
        </w:r>
      </w:hyperlink>
      <w:r w:rsidRPr="00574AFC">
        <w:rPr>
          <w:color w:val="26282A"/>
          <w:sz w:val="24"/>
          <w:szCs w:val="24"/>
          <w:lang w:val="en-US"/>
        </w:rPr>
        <w:t>. For the assessment of candidates for Norwegian doctoral degrees, the guidelines at </w:t>
      </w:r>
      <w:hyperlink r:id="rId9" w:tgtFrame="_blank" w:tooltip="https://www.ntnu.no/c/document_library/get_file?uuid=ddbe209f-6442-4643-b698-f6cddd8693b8&amp;amp;groupId=10578&#10;Cmd+Click or tap to follow the link" w:history="1">
        <w:r w:rsidRPr="00574AFC">
          <w:rPr>
            <w:rStyle w:val="Hyperkobling"/>
            <w:sz w:val="24"/>
            <w:szCs w:val="24"/>
            <w:lang w:val="en-US"/>
          </w:rPr>
          <w:t>https://www.ntnu.no/c/document_library/get_file?uuid=ddbe209f-6442-4643-b698-f6cddd8693b8&amp;groupId=10578</w:t>
        </w:r>
      </w:hyperlink>
      <w:r w:rsidRPr="00574AFC">
        <w:rPr>
          <w:color w:val="26282A"/>
          <w:sz w:val="24"/>
          <w:szCs w:val="24"/>
          <w:lang w:val="en-US"/>
        </w:rPr>
        <w:t> apply.</w:t>
      </w:r>
      <w:r w:rsidRPr="00574AFC">
        <w:rPr>
          <w:color w:val="26282A"/>
          <w:lang w:val="en-US"/>
        </w:rPr>
        <w:br/>
      </w:r>
    </w:p>
    <w:p w14:paraId="251EF964" w14:textId="77777777" w:rsidR="00574AFC" w:rsidRPr="00574AFC" w:rsidRDefault="00574AFC" w:rsidP="00574AFC">
      <w:pPr>
        <w:pStyle w:val="NormalWeb"/>
        <w:rPr>
          <w:lang w:val="en-US"/>
        </w:rPr>
      </w:pPr>
      <w:r w:rsidRPr="00574AFC">
        <w:rPr>
          <w:color w:val="26282A"/>
          <w:lang w:val="en-US"/>
        </w:rPr>
        <w:br/>
      </w:r>
    </w:p>
    <w:p w14:paraId="305224BB" w14:textId="77777777" w:rsidR="00574AFC" w:rsidRPr="00574AFC" w:rsidRDefault="00574AFC" w:rsidP="00574AFC">
      <w:pPr>
        <w:pStyle w:val="NormalWeb"/>
        <w:rPr>
          <w:lang w:val="en-US"/>
        </w:rPr>
      </w:pPr>
      <w:r w:rsidRPr="00574AFC">
        <w:rPr>
          <w:color w:val="26282A"/>
          <w:sz w:val="24"/>
          <w:szCs w:val="24"/>
          <w:lang w:val="en-US"/>
        </w:rPr>
        <w:t xml:space="preserve">If you have any question on the procedure, please </w:t>
      </w:r>
      <w:r w:rsidRPr="00574AFC">
        <w:rPr>
          <w:lang w:val="en-US"/>
        </w:rPr>
        <w:t>let me know. </w:t>
      </w:r>
    </w:p>
    <w:p w14:paraId="4CECF906" w14:textId="77777777" w:rsidR="00574AFC" w:rsidRDefault="00574AFC" w:rsidP="00574AFC">
      <w:pPr>
        <w:rPr>
          <w:rFonts w:eastAsia="Times New Roman"/>
          <w:color w:val="26282A"/>
          <w:sz w:val="24"/>
          <w:szCs w:val="24"/>
        </w:rPr>
      </w:pPr>
    </w:p>
    <w:p w14:paraId="5A57E4A3" w14:textId="0B2CB373" w:rsidR="00574AFC" w:rsidRDefault="00574AFC" w:rsidP="00574AFC">
      <w:pPr>
        <w:rPr>
          <w:rFonts w:ascii="Segoe UI" w:eastAsia="Times New Roman" w:hAnsi="Segoe UI" w:cs="Segoe UI"/>
          <w:color w:val="26282A"/>
        </w:rPr>
      </w:pPr>
      <w:r>
        <w:rPr>
          <w:rFonts w:eastAsia="Times New Roman"/>
          <w:color w:val="26282A"/>
          <w:sz w:val="24"/>
          <w:szCs w:val="24"/>
        </w:rPr>
        <w:t>Best regards,</w:t>
      </w:r>
    </w:p>
    <w:p w14:paraId="6898AA5E" w14:textId="77777777" w:rsidR="00C37332" w:rsidRDefault="005D6203"/>
    <w:sectPr w:rsidR="00C373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54E9B" w14:textId="77777777" w:rsidR="00574AFC" w:rsidRDefault="00574AFC" w:rsidP="00574AFC">
      <w:r>
        <w:separator/>
      </w:r>
    </w:p>
  </w:endnote>
  <w:endnote w:type="continuationSeparator" w:id="0">
    <w:p w14:paraId="31F26616" w14:textId="77777777" w:rsidR="00574AFC" w:rsidRDefault="00574AFC" w:rsidP="0057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956B7" w14:textId="77777777" w:rsidR="00574AFC" w:rsidRDefault="00574AFC" w:rsidP="00574AFC">
      <w:r>
        <w:separator/>
      </w:r>
    </w:p>
  </w:footnote>
  <w:footnote w:type="continuationSeparator" w:id="0">
    <w:p w14:paraId="39E58BC9" w14:textId="77777777" w:rsidR="00574AFC" w:rsidRDefault="00574AFC" w:rsidP="00574A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FC"/>
    <w:rsid w:val="00054E8F"/>
    <w:rsid w:val="00574AFC"/>
    <w:rsid w:val="005D6203"/>
    <w:rsid w:val="009F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D512D"/>
  <w15:chartTrackingRefBased/>
  <w15:docId w15:val="{C13C0522-4D7C-4F4E-A2C2-2D726431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FC"/>
    <w:pPr>
      <w:spacing w:after="0" w:line="240" w:lineRule="auto"/>
    </w:pPr>
    <w:rPr>
      <w:rFonts w:ascii="Calibri" w:hAnsi="Calibri"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574A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nu.edu/documents/139736/20785611/Regulations+for+the+Philosophiae+Doctor+Degree+with+amd+regulations+for+IV.pdf/9169a896-1d64-4561-b5dd-88a35c6fad2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tnu.edu/phd/regulation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tnu.no/c/document_library/get_file?uuid=ddbe209f-6442-4643-b698-f6cddd8693b8&amp;groupId=105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725DF-8A8E-43AE-A8F5-2A4AC5F6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2360</Characters>
  <Application>Microsoft Office Word</Application>
  <DocSecurity>4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Løvås</dc:creator>
  <cp:keywords/>
  <dc:description/>
  <cp:lastModifiedBy>Maren Agdestein</cp:lastModifiedBy>
  <cp:revision>2</cp:revision>
  <dcterms:created xsi:type="dcterms:W3CDTF">2021-06-07T08:49:00Z</dcterms:created>
  <dcterms:modified xsi:type="dcterms:W3CDTF">2021-06-07T08:49:00Z</dcterms:modified>
</cp:coreProperties>
</file>