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97" w:rsidRDefault="00B97D97" w:rsidP="00B97D97">
      <w:pPr>
        <w:pStyle w:val="Moteoverskrift"/>
      </w:pPr>
      <w:bookmarkStart w:id="0" w:name="start"/>
      <w:bookmarkEnd w:id="0"/>
      <w:r>
        <w:t>Møtereferat</w:t>
      </w:r>
    </w:p>
    <w:tbl>
      <w:tblPr>
        <w:tblW w:w="0" w:type="auto"/>
        <w:tblInd w:w="108" w:type="dxa"/>
        <w:tblCellMar>
          <w:left w:w="0" w:type="dxa"/>
          <w:right w:w="0" w:type="dxa"/>
        </w:tblCellMar>
        <w:tblLook w:val="04A0" w:firstRow="1" w:lastRow="0" w:firstColumn="1" w:lastColumn="0" w:noHBand="0" w:noVBand="1"/>
      </w:tblPr>
      <w:tblGrid>
        <w:gridCol w:w="1074"/>
        <w:gridCol w:w="2875"/>
        <w:gridCol w:w="1085"/>
        <w:gridCol w:w="4653"/>
      </w:tblGrid>
      <w:tr w:rsidR="00B97D97" w:rsidRPr="00B97D97" w:rsidTr="00B97D97">
        <w:trPr>
          <w:cantSplit/>
        </w:trPr>
        <w:tc>
          <w:tcPr>
            <w:tcW w:w="1074" w:type="dxa"/>
            <w:tcBorders>
              <w:top w:val="single" w:sz="8" w:space="0" w:color="auto"/>
              <w:left w:val="nil"/>
              <w:bottom w:val="single" w:sz="8" w:space="0" w:color="auto"/>
              <w:right w:val="nil"/>
            </w:tcBorders>
            <w:tcMar>
              <w:top w:w="0" w:type="dxa"/>
              <w:left w:w="102" w:type="dxa"/>
              <w:bottom w:w="0" w:type="dxa"/>
              <w:right w:w="102" w:type="dxa"/>
            </w:tcMar>
            <w:hideMark/>
          </w:tcPr>
          <w:p w:rsidR="00B97D97" w:rsidRDefault="00B97D97">
            <w:pPr>
              <w:pStyle w:val="Innkallingsskrift"/>
            </w:pPr>
            <w:r>
              <w:t>Til stede:</w:t>
            </w:r>
          </w:p>
        </w:tc>
        <w:tc>
          <w:tcPr>
            <w:tcW w:w="8613" w:type="dxa"/>
            <w:gridSpan w:val="3"/>
            <w:tcBorders>
              <w:top w:val="single" w:sz="8" w:space="0" w:color="auto"/>
              <w:left w:val="nil"/>
              <w:bottom w:val="single" w:sz="8" w:space="0" w:color="auto"/>
              <w:right w:val="nil"/>
            </w:tcBorders>
            <w:tcMar>
              <w:top w:w="0" w:type="dxa"/>
              <w:left w:w="102" w:type="dxa"/>
              <w:bottom w:w="0" w:type="dxa"/>
              <w:right w:w="102" w:type="dxa"/>
            </w:tcMar>
            <w:hideMark/>
          </w:tcPr>
          <w:p w:rsidR="00B97D97" w:rsidRPr="00B97D97" w:rsidRDefault="00B97D97">
            <w:pPr>
              <w:pStyle w:val="InnkallingsskriftFyllInn"/>
              <w:rPr>
                <w:rFonts w:eastAsia="Calibri" w:cs="Times"/>
              </w:rPr>
            </w:pPr>
            <w:r>
              <w:t>Terje Brattli, Jørgen Fastner, Silje Fretheim, Birgitte Skar, Suzette Paasche, Marianne Utne Nilsen</w:t>
            </w:r>
          </w:p>
          <w:p w:rsidR="00B97D97" w:rsidRDefault="00B97D97">
            <w:pPr>
              <w:pStyle w:val="InnkallingsskriftFyllInn"/>
            </w:pPr>
            <w:r>
              <w:t>Fra LOSAM – Ellen G. Ellingsen</w:t>
            </w:r>
          </w:p>
          <w:p w:rsidR="00B97D97" w:rsidRDefault="00B97D97">
            <w:pPr>
              <w:pStyle w:val="InnkallingsskriftFyllInn"/>
            </w:pPr>
            <w:r>
              <w:t>Adm.sjef Ivar Jensås</w:t>
            </w:r>
          </w:p>
        </w:tc>
      </w:tr>
      <w:tr w:rsidR="00B97D97" w:rsidTr="00B97D97">
        <w:trPr>
          <w:cantSplit/>
        </w:trPr>
        <w:tc>
          <w:tcPr>
            <w:tcW w:w="1074" w:type="dxa"/>
            <w:tcBorders>
              <w:top w:val="nil"/>
              <w:left w:val="nil"/>
              <w:bottom w:val="single" w:sz="8" w:space="0" w:color="auto"/>
              <w:right w:val="nil"/>
            </w:tcBorders>
            <w:tcMar>
              <w:top w:w="0" w:type="dxa"/>
              <w:left w:w="102" w:type="dxa"/>
              <w:bottom w:w="0" w:type="dxa"/>
              <w:right w:w="102" w:type="dxa"/>
            </w:tcMar>
            <w:hideMark/>
          </w:tcPr>
          <w:p w:rsidR="00B97D97" w:rsidRDefault="00B97D97">
            <w:pPr>
              <w:pStyle w:val="Innkallingsskrift"/>
            </w:pPr>
            <w:r>
              <w:t>Forfall:</w:t>
            </w:r>
          </w:p>
        </w:tc>
        <w:tc>
          <w:tcPr>
            <w:tcW w:w="8613" w:type="dxa"/>
            <w:gridSpan w:val="3"/>
            <w:tcBorders>
              <w:top w:val="nil"/>
              <w:left w:val="nil"/>
              <w:bottom w:val="single" w:sz="8" w:space="0" w:color="auto"/>
              <w:right w:val="nil"/>
            </w:tcBorders>
            <w:tcMar>
              <w:top w:w="0" w:type="dxa"/>
              <w:left w:w="102" w:type="dxa"/>
              <w:bottom w:w="0" w:type="dxa"/>
              <w:right w:w="102" w:type="dxa"/>
            </w:tcMar>
            <w:hideMark/>
          </w:tcPr>
          <w:p w:rsidR="00B97D97" w:rsidRDefault="00B97D97">
            <w:pPr>
              <w:pStyle w:val="InnkallingsskriftFyllInn"/>
            </w:pPr>
            <w:r>
              <w:t>Sigmund Alsaker, stud.rep Sigourney Nina Navarro, stud.rep Caroline Fredriksen</w:t>
            </w:r>
          </w:p>
        </w:tc>
      </w:tr>
      <w:tr w:rsidR="00B97D97" w:rsidTr="00B97D97">
        <w:trPr>
          <w:cantSplit/>
        </w:trPr>
        <w:tc>
          <w:tcPr>
            <w:tcW w:w="1074" w:type="dxa"/>
            <w:tcBorders>
              <w:top w:val="nil"/>
              <w:left w:val="nil"/>
              <w:bottom w:val="single" w:sz="8" w:space="0" w:color="auto"/>
              <w:right w:val="nil"/>
            </w:tcBorders>
            <w:tcMar>
              <w:top w:w="0" w:type="dxa"/>
              <w:left w:w="102" w:type="dxa"/>
              <w:bottom w:w="0" w:type="dxa"/>
              <w:right w:w="102" w:type="dxa"/>
            </w:tcMar>
            <w:hideMark/>
          </w:tcPr>
          <w:p w:rsidR="00B97D97" w:rsidRDefault="00B97D97">
            <w:pPr>
              <w:pStyle w:val="Innkallingsskrift"/>
            </w:pPr>
            <w:r>
              <w:t>Kopi til:</w:t>
            </w:r>
          </w:p>
        </w:tc>
        <w:tc>
          <w:tcPr>
            <w:tcW w:w="8613" w:type="dxa"/>
            <w:gridSpan w:val="3"/>
            <w:tcBorders>
              <w:top w:val="nil"/>
              <w:left w:val="nil"/>
              <w:bottom w:val="single" w:sz="8" w:space="0" w:color="auto"/>
              <w:right w:val="nil"/>
            </w:tcBorders>
            <w:tcMar>
              <w:top w:w="0" w:type="dxa"/>
              <w:left w:w="102" w:type="dxa"/>
              <w:bottom w:w="0" w:type="dxa"/>
              <w:right w:w="102" w:type="dxa"/>
            </w:tcMar>
            <w:hideMark/>
          </w:tcPr>
          <w:p w:rsidR="00B97D97" w:rsidRDefault="00B97D97">
            <w:pPr>
              <w:pStyle w:val="InnkallingsskriftFyllInn"/>
            </w:pPr>
            <w:r>
              <w:t> </w:t>
            </w:r>
          </w:p>
        </w:tc>
      </w:tr>
      <w:tr w:rsidR="00B97D97" w:rsidTr="00B97D97">
        <w:trPr>
          <w:cantSplit/>
        </w:trPr>
        <w:tc>
          <w:tcPr>
            <w:tcW w:w="1074" w:type="dxa"/>
            <w:tcBorders>
              <w:top w:val="nil"/>
              <w:left w:val="nil"/>
              <w:bottom w:val="single" w:sz="8" w:space="0" w:color="auto"/>
              <w:right w:val="nil"/>
            </w:tcBorders>
            <w:tcMar>
              <w:top w:w="0" w:type="dxa"/>
              <w:left w:w="102" w:type="dxa"/>
              <w:bottom w:w="0" w:type="dxa"/>
              <w:right w:w="102" w:type="dxa"/>
            </w:tcMar>
            <w:hideMark/>
          </w:tcPr>
          <w:p w:rsidR="00B97D97" w:rsidRDefault="00B97D97">
            <w:pPr>
              <w:pStyle w:val="Innkallingsskrift"/>
            </w:pPr>
            <w:r>
              <w:t>Gjelder:</w:t>
            </w:r>
          </w:p>
        </w:tc>
        <w:tc>
          <w:tcPr>
            <w:tcW w:w="8613" w:type="dxa"/>
            <w:gridSpan w:val="3"/>
            <w:tcBorders>
              <w:top w:val="nil"/>
              <w:left w:val="nil"/>
              <w:bottom w:val="single" w:sz="8" w:space="0" w:color="auto"/>
              <w:right w:val="nil"/>
            </w:tcBorders>
            <w:tcMar>
              <w:top w:w="0" w:type="dxa"/>
              <w:left w:w="102" w:type="dxa"/>
              <w:bottom w:w="0" w:type="dxa"/>
              <w:right w:w="102" w:type="dxa"/>
            </w:tcMar>
            <w:hideMark/>
          </w:tcPr>
          <w:p w:rsidR="00B97D97" w:rsidRDefault="00B97D97">
            <w:pPr>
              <w:pStyle w:val="InnkallingsskriftFyllInn"/>
            </w:pPr>
            <w:r>
              <w:t>Møte i SAK seksjonsstyre 10.12.2013</w:t>
            </w:r>
          </w:p>
        </w:tc>
      </w:tr>
      <w:tr w:rsidR="00B97D97" w:rsidRPr="00E72656" w:rsidTr="00B97D97">
        <w:trPr>
          <w:cantSplit/>
        </w:trPr>
        <w:tc>
          <w:tcPr>
            <w:tcW w:w="1074" w:type="dxa"/>
            <w:tcBorders>
              <w:top w:val="nil"/>
              <w:left w:val="nil"/>
              <w:bottom w:val="single" w:sz="8" w:space="0" w:color="auto"/>
              <w:right w:val="nil"/>
            </w:tcBorders>
            <w:tcMar>
              <w:top w:w="0" w:type="dxa"/>
              <w:left w:w="102" w:type="dxa"/>
              <w:bottom w:w="0" w:type="dxa"/>
              <w:right w:w="102" w:type="dxa"/>
            </w:tcMar>
            <w:hideMark/>
          </w:tcPr>
          <w:p w:rsidR="00B97D97" w:rsidRDefault="00B97D97">
            <w:pPr>
              <w:pStyle w:val="Innkallingsskrift"/>
            </w:pPr>
            <w:r>
              <w:t>Møtetid:</w:t>
            </w:r>
          </w:p>
        </w:tc>
        <w:tc>
          <w:tcPr>
            <w:tcW w:w="2875" w:type="dxa"/>
            <w:tcBorders>
              <w:top w:val="nil"/>
              <w:left w:val="nil"/>
              <w:bottom w:val="single" w:sz="8" w:space="0" w:color="auto"/>
              <w:right w:val="nil"/>
            </w:tcBorders>
            <w:tcMar>
              <w:top w:w="0" w:type="dxa"/>
              <w:left w:w="102" w:type="dxa"/>
              <w:bottom w:w="0" w:type="dxa"/>
              <w:right w:w="102" w:type="dxa"/>
            </w:tcMar>
            <w:hideMark/>
          </w:tcPr>
          <w:p w:rsidR="00B97D97" w:rsidRDefault="00B97D97">
            <w:pPr>
              <w:pStyle w:val="InnkallingsskriftFyllInn"/>
            </w:pPr>
            <w:r>
              <w:t>Tirsdag 10.12 2013</w:t>
            </w:r>
            <w:r w:rsidR="00E72656">
              <w:t>, kl. 13.00 – 15.40</w:t>
            </w:r>
          </w:p>
        </w:tc>
        <w:tc>
          <w:tcPr>
            <w:tcW w:w="1085" w:type="dxa"/>
            <w:tcBorders>
              <w:top w:val="nil"/>
              <w:left w:val="nil"/>
              <w:bottom w:val="single" w:sz="8" w:space="0" w:color="auto"/>
              <w:right w:val="nil"/>
            </w:tcBorders>
            <w:tcMar>
              <w:top w:w="0" w:type="dxa"/>
              <w:left w:w="102" w:type="dxa"/>
              <w:bottom w:w="0" w:type="dxa"/>
              <w:right w:w="102" w:type="dxa"/>
            </w:tcMar>
            <w:hideMark/>
          </w:tcPr>
          <w:p w:rsidR="00B97D97" w:rsidRDefault="00B97D97">
            <w:pPr>
              <w:pStyle w:val="Innkallingsskrift"/>
            </w:pPr>
            <w:r>
              <w:t>Møtested:</w:t>
            </w:r>
          </w:p>
        </w:tc>
        <w:tc>
          <w:tcPr>
            <w:tcW w:w="4653" w:type="dxa"/>
            <w:tcBorders>
              <w:top w:val="nil"/>
              <w:left w:val="nil"/>
              <w:bottom w:val="single" w:sz="8" w:space="0" w:color="auto"/>
              <w:right w:val="nil"/>
            </w:tcBorders>
            <w:tcMar>
              <w:top w:w="0" w:type="dxa"/>
              <w:left w:w="102" w:type="dxa"/>
              <w:bottom w:w="0" w:type="dxa"/>
              <w:right w:w="102" w:type="dxa"/>
            </w:tcMar>
            <w:hideMark/>
          </w:tcPr>
          <w:p w:rsidR="00B97D97" w:rsidRDefault="00B97D97">
            <w:pPr>
              <w:pStyle w:val="InnkallingsskriftFyllInn"/>
            </w:pPr>
            <w:r>
              <w:t>Trykkeriet</w:t>
            </w:r>
          </w:p>
        </w:tc>
      </w:tr>
      <w:tr w:rsidR="00B97D97" w:rsidRPr="00E72656" w:rsidTr="00B97D97">
        <w:trPr>
          <w:cantSplit/>
        </w:trPr>
        <w:tc>
          <w:tcPr>
            <w:tcW w:w="1074" w:type="dxa"/>
            <w:tcMar>
              <w:top w:w="0" w:type="dxa"/>
              <w:left w:w="102" w:type="dxa"/>
              <w:bottom w:w="0" w:type="dxa"/>
              <w:right w:w="102" w:type="dxa"/>
            </w:tcMar>
            <w:hideMark/>
          </w:tcPr>
          <w:p w:rsidR="00B97D97" w:rsidRDefault="00B97D97">
            <w:pPr>
              <w:pStyle w:val="Innkallingsskrift"/>
            </w:pPr>
            <w:r>
              <w:t>Signatur:</w:t>
            </w:r>
          </w:p>
        </w:tc>
        <w:tc>
          <w:tcPr>
            <w:tcW w:w="8613" w:type="dxa"/>
            <w:gridSpan w:val="3"/>
            <w:tcMar>
              <w:top w:w="0" w:type="dxa"/>
              <w:left w:w="102" w:type="dxa"/>
              <w:bottom w:w="0" w:type="dxa"/>
              <w:right w:w="102" w:type="dxa"/>
            </w:tcMar>
            <w:hideMark/>
          </w:tcPr>
          <w:p w:rsidR="00B97D97" w:rsidRPr="00E72656" w:rsidRDefault="00B97D97">
            <w:pPr>
              <w:rPr>
                <w:rFonts w:ascii="Times New Roman" w:hAnsi="Times New Roman"/>
                <w:sz w:val="20"/>
                <w:szCs w:val="20"/>
                <w:lang w:val="nb-NO" w:eastAsia="nb-NO"/>
              </w:rPr>
            </w:pPr>
          </w:p>
        </w:tc>
      </w:tr>
    </w:tbl>
    <w:p w:rsidR="00B97D97" w:rsidRPr="00B97D97" w:rsidRDefault="00B97D97" w:rsidP="00B97D97">
      <w:pPr>
        <w:pStyle w:val="Tomlinje"/>
        <w:rPr>
          <w:rFonts w:eastAsia="Calibri"/>
          <w:szCs w:val="2"/>
        </w:rPr>
      </w:pPr>
      <w:r>
        <w:t> </w:t>
      </w:r>
    </w:p>
    <w:p w:rsidR="00B97D97" w:rsidRDefault="00B97D97" w:rsidP="00B97D97">
      <w:pPr>
        <w:pStyle w:val="Rentekst"/>
      </w:pPr>
      <w:r>
        <w:t xml:space="preserve">Velkommen til det siste styremøtet med dagens sammensetning. Nytt styre for de kommende 4 år vil være klart over nyttår 2014. </w:t>
      </w:r>
    </w:p>
    <w:p w:rsidR="00B97D97" w:rsidRDefault="00B97D97" w:rsidP="00B97D97">
      <w:pPr>
        <w:pStyle w:val="Rentekst"/>
      </w:pPr>
      <w:r>
        <w:t> </w:t>
      </w:r>
    </w:p>
    <w:p w:rsidR="00B97D97" w:rsidRDefault="00B97D97" w:rsidP="00B97D97">
      <w:pPr>
        <w:pStyle w:val="Rentekst"/>
      </w:pPr>
      <w:r>
        <w:t> </w:t>
      </w:r>
    </w:p>
    <w:p w:rsidR="00B97D97" w:rsidRDefault="00B97D97" w:rsidP="00B97D97">
      <w:pPr>
        <w:pStyle w:val="Rentekst"/>
      </w:pPr>
      <w:r>
        <w:t>Et opprinnelig tenkt fag</w:t>
      </w:r>
      <w:r>
        <w:t>lig innslag med Jørgen Rosvold h</w:t>
      </w:r>
      <w:r>
        <w:t xml:space="preserve">ar måttet utgå pga at Jørgen er på Svalbard. </w:t>
      </w:r>
    </w:p>
    <w:p w:rsidR="00B97D97" w:rsidRDefault="00B97D97" w:rsidP="00B97D97">
      <w:pPr>
        <w:pStyle w:val="Rentekst"/>
      </w:pPr>
      <w:r>
        <w:t> </w:t>
      </w:r>
    </w:p>
    <w:p w:rsidR="00B97D97" w:rsidRDefault="00B97D97" w:rsidP="00B97D97">
      <w:pPr>
        <w:pStyle w:val="Rentekst"/>
      </w:pPr>
      <w:r>
        <w:t> </w:t>
      </w:r>
    </w:p>
    <w:p w:rsidR="00B97D97" w:rsidRDefault="00B97D97" w:rsidP="00B97D97">
      <w:pPr>
        <w:pStyle w:val="Rentekst"/>
      </w:pPr>
      <w:r>
        <w:t xml:space="preserve">Ingen kommentarer er gitt til sakslista. </w:t>
      </w:r>
    </w:p>
    <w:p w:rsidR="00B97D97" w:rsidRDefault="00B97D97" w:rsidP="00B97D97">
      <w:pPr>
        <w:pStyle w:val="Rentekst"/>
      </w:pPr>
      <w:r>
        <w:t> </w:t>
      </w:r>
    </w:p>
    <w:p w:rsidR="00B97D97" w:rsidRDefault="00B97D97" w:rsidP="00B97D97">
      <w:pPr>
        <w:pStyle w:val="Rentekst"/>
      </w:pPr>
      <w:r>
        <w:t xml:space="preserve">En sak er meldt inn til eventuelt. </w:t>
      </w:r>
    </w:p>
    <w:p w:rsidR="00B97D97" w:rsidRDefault="00B97D97" w:rsidP="00B97D97">
      <w:pPr>
        <w:pStyle w:val="Rentekst"/>
      </w:pPr>
      <w:r>
        <w:t xml:space="preserve">- Lederfunksjonen på SAK i 2014 </w:t>
      </w:r>
    </w:p>
    <w:p w:rsidR="00B97D97" w:rsidRDefault="00B97D97" w:rsidP="00B97D97">
      <w:pPr>
        <w:pStyle w:val="Rentekst"/>
      </w:pPr>
      <w:r>
        <w:t> </w:t>
      </w:r>
    </w:p>
    <w:p w:rsidR="00B97D97" w:rsidRDefault="00B97D97" w:rsidP="00B97D97">
      <w:pPr>
        <w:pStyle w:val="Rentekst"/>
      </w:pPr>
      <w:r>
        <w:t> </w:t>
      </w:r>
    </w:p>
    <w:p w:rsidR="00B97D97" w:rsidRDefault="00B97D97" w:rsidP="00B97D97">
      <w:pPr>
        <w:pStyle w:val="Rentekst"/>
      </w:pPr>
      <w:r>
        <w:rPr>
          <w:b/>
          <w:bCs/>
        </w:rPr>
        <w:t xml:space="preserve">Ss-sak 4/13 Status økonomi ved Seksjon for arkeologi og kulturhistorie. </w:t>
      </w:r>
    </w:p>
    <w:p w:rsidR="00B97D97" w:rsidRDefault="00B97D97" w:rsidP="00B97D97">
      <w:pPr>
        <w:pStyle w:val="Rentekst"/>
      </w:pPr>
      <w:r>
        <w:t xml:space="preserve">Gjennomgangen gjøres av administrasjonssjef Ivar Jensås. </w:t>
      </w:r>
    </w:p>
    <w:p w:rsidR="00B97D97" w:rsidRDefault="00B97D97" w:rsidP="00B97D97">
      <w:pPr>
        <w:pStyle w:val="Rentekst"/>
      </w:pPr>
      <w:r>
        <w:t> </w:t>
      </w:r>
    </w:p>
    <w:p w:rsidR="00EB4DC2" w:rsidRPr="00EB4DC2" w:rsidRDefault="00EB4DC2" w:rsidP="00B97D97">
      <w:pPr>
        <w:pStyle w:val="Rentekst"/>
        <w:rPr>
          <w:b/>
        </w:rPr>
      </w:pPr>
      <w:r>
        <w:rPr>
          <w:b/>
        </w:rPr>
        <w:t>Regnskapet</w:t>
      </w:r>
    </w:p>
    <w:p w:rsidR="00B97D97" w:rsidRDefault="00B97D97" w:rsidP="00B97D97">
      <w:pPr>
        <w:pStyle w:val="Rentekst"/>
      </w:pPr>
      <w:r>
        <w:t xml:space="preserve">Av ulike årsaker er SAKs regnskap pr i dag ikke oppdatert. Oppgaven har følgelig vært å få presentert styret med et så oppdatert regnskap som mulig. </w:t>
      </w:r>
    </w:p>
    <w:p w:rsidR="00B97D97" w:rsidRDefault="00B97D97" w:rsidP="00B97D97">
      <w:pPr>
        <w:pStyle w:val="Rentekst"/>
      </w:pPr>
      <w:r>
        <w:t> </w:t>
      </w:r>
    </w:p>
    <w:p w:rsidR="00B97D97" w:rsidRDefault="00B97D97" w:rsidP="00B97D97">
      <w:pPr>
        <w:pStyle w:val="Rentekst"/>
      </w:pPr>
      <w:r>
        <w:lastRenderedPageBreak/>
        <w:t>Over RD (statsfinansierte driftsmidler) har vi</w:t>
      </w:r>
      <w:r>
        <w:t xml:space="preserve"> for 2013</w:t>
      </w:r>
      <w:r>
        <w:t xml:space="preserve"> en budsjettert overføring på kr. 725 000,- Regnskapet pr 04.12.13 viser en overføring på kr. 883 458,-. Men av disse midlene er pengene bundet til undervisningen, laboratoriedrift og samlingskuratering. Vi har over RD et merforbruk på drift på kr. 359 132,-. Dette skjer årlig og bevilgningen skal sees på som et tilskudd til driften. BOA-virksomheten er tenkt å supplere driften av seksjonen. Innen årets slutt vil underskuddet på drift trolig være </w:t>
      </w:r>
      <w:r w:rsidR="00963EB3">
        <w:t>ca.</w:t>
      </w:r>
      <w:r>
        <w:t xml:space="preserve"> 500 000,-.</w:t>
      </w:r>
    </w:p>
    <w:p w:rsidR="00B97D97" w:rsidRDefault="00B97D97" w:rsidP="00B97D97">
      <w:pPr>
        <w:pStyle w:val="Rentekst"/>
      </w:pPr>
      <w:r>
        <w:t> </w:t>
      </w:r>
    </w:p>
    <w:p w:rsidR="00B97D97" w:rsidRDefault="00B97D97" w:rsidP="00B97D97">
      <w:pPr>
        <w:pStyle w:val="Rentekst"/>
      </w:pPr>
      <w:r>
        <w:t xml:space="preserve">Det vil bli overført midler tildelt av Riksantikvaren, men også disse er bundet til lønn marin, lønn/skjøtsel bergkunst og post 78 (nødgravingsmidler).   </w:t>
      </w:r>
    </w:p>
    <w:p w:rsidR="00B97D97" w:rsidRDefault="00B97D97" w:rsidP="00B97D97">
      <w:pPr>
        <w:pStyle w:val="Rentekst"/>
      </w:pPr>
      <w:r>
        <w:t> </w:t>
      </w:r>
    </w:p>
    <w:p w:rsidR="00B97D97" w:rsidRDefault="00B97D97" w:rsidP="00B97D97">
      <w:pPr>
        <w:pStyle w:val="Rentekst"/>
      </w:pPr>
      <w:r>
        <w:t xml:space="preserve">Over RD69 (oppdragsfinansierte driftsmidler) har vi en budsjettert overføring med kr. 3,3 mill. Regnskapet viser en overføring pr 04.12.13 på kr. 162 698,- </w:t>
      </w:r>
    </w:p>
    <w:p w:rsidR="00B97D97" w:rsidRDefault="00B97D97" w:rsidP="00B97D97">
      <w:pPr>
        <w:pStyle w:val="Rentekst"/>
      </w:pPr>
      <w:r>
        <w:t> </w:t>
      </w:r>
    </w:p>
    <w:p w:rsidR="00B97D97" w:rsidRDefault="00B97D97" w:rsidP="00B97D97">
      <w:pPr>
        <w:pStyle w:val="Rentekst"/>
      </w:pPr>
      <w:r>
        <w:t>Vi har med en måneds lønn for</w:t>
      </w:r>
      <w:r>
        <w:t xml:space="preserve"> desember utestående brukt kr. </w:t>
      </w:r>
      <w:r>
        <w:t xml:space="preserve">7 050 143,- på lønn til senere fordeling. Resultatet viser at vi så langt har tjent inn kr. 4 704 006 + overhead kr. 2 255 193. Dette gir en negativ differanse over lønn til senere fordeling på kr. 90 944,- + lønn for desember. Det er denne posten som er mest krevende og sårbar for SAK, og den vil </w:t>
      </w:r>
      <w:r>
        <w:t xml:space="preserve">i 2013 </w:t>
      </w:r>
      <w:r>
        <w:t>være underfinansiert ved årets slutt. Vi har hvert år siden 2004 hatt større</w:t>
      </w:r>
      <w:r>
        <w:t xml:space="preserve"> overføringer over RD69</w:t>
      </w:r>
      <w:r>
        <w:t xml:space="preserve"> - disse er nå spist opp gjennom at kostnadene hele tiden har vært høyere enn inntektene. I 2014 krysser vi linja og kommer negativt ut. </w:t>
      </w:r>
    </w:p>
    <w:p w:rsidR="00B97D97" w:rsidRDefault="00B97D97" w:rsidP="00B97D97">
      <w:pPr>
        <w:pStyle w:val="Rentekst"/>
      </w:pPr>
      <w:r>
        <w:t> </w:t>
      </w:r>
    </w:p>
    <w:p w:rsidR="00B97D97" w:rsidRDefault="00B97D97" w:rsidP="00B97D97">
      <w:pPr>
        <w:pStyle w:val="Rentekst"/>
      </w:pPr>
      <w:r>
        <w:t>Hva forsøker vi å gjøre med dette?</w:t>
      </w:r>
    </w:p>
    <w:p w:rsidR="00B97D97" w:rsidRDefault="00B97D97" w:rsidP="00B97D97">
      <w:pPr>
        <w:pStyle w:val="Rentekst"/>
      </w:pPr>
      <w:r>
        <w:t>Det er gjennomført styringsdialog med Rektor og vi er i dialog med KD vedr. faste rammebetingelser for oppgaver/stillinger som er knyttet til de lov</w:t>
      </w:r>
      <w:r>
        <w:t>pålagte oppgavene vi har innen offentlig myndighetsutøvelse</w:t>
      </w:r>
      <w:r>
        <w:t>. Det er her hovedproblemstillingen ligger. SAK har meldt til KD at vi trenger 11 statsfinansi</w:t>
      </w:r>
      <w:r>
        <w:t>erte stillinger for å løse de nødven</w:t>
      </w:r>
      <w:r>
        <w:t>dige muse</w:t>
      </w:r>
      <w:r>
        <w:t>a</w:t>
      </w:r>
      <w:r>
        <w:t>le funksjonene i henhold til kulturminneloven. Og vi er ikke alene, det</w:t>
      </w:r>
      <w:r>
        <w:t>te</w:t>
      </w:r>
      <w:r>
        <w:t xml:space="preserve"> er gjengs for universitetsmuseene, om enn i noe varierende grad. Forskerne</w:t>
      </w:r>
      <w:r>
        <w:t xml:space="preserve"> som er tilsattgjennom</w:t>
      </w:r>
      <w:r>
        <w:t xml:space="preserve"> i ytre forvaltning har en forskningstid som ikke kan belastes oppdragsgiver</w:t>
      </w:r>
      <w:r>
        <w:t xml:space="preserve">. På samme tid er </w:t>
      </w:r>
      <w:r>
        <w:t>de pri</w:t>
      </w:r>
      <w:r>
        <w:t>sene vi får lov til å benytte</w:t>
      </w:r>
      <w:r>
        <w:t xml:space="preserve"> fastsatt ev Riksantikvaren og handler ikke om reelle lønnstrinn. Dette tilspisser situasjonen. Så langt har vi ikke fått svar fra KD, men vi håper løsningene faller på plass over tid. Av disse 11 stillingene er 9 stillinger vi har i dag, pluss to nye. </w:t>
      </w:r>
    </w:p>
    <w:p w:rsidR="00B97D97" w:rsidRDefault="00B97D97" w:rsidP="00B97D97">
      <w:pPr>
        <w:pStyle w:val="Rentekst"/>
      </w:pPr>
      <w:r>
        <w:t> </w:t>
      </w:r>
    </w:p>
    <w:p w:rsidR="00B97D97" w:rsidRDefault="00B97D97" w:rsidP="00B97D97">
      <w:pPr>
        <w:pStyle w:val="Rentekst"/>
      </w:pPr>
      <w:r>
        <w:t xml:space="preserve">Det som er veldig bestemmende er BOA-virksomheten, dvs omsettingen på SAK. </w:t>
      </w:r>
      <w:r>
        <w:t>Omsetningen e</w:t>
      </w:r>
      <w:r>
        <w:t>t norma</w:t>
      </w:r>
      <w:r>
        <w:t>lår ligger mellom 12 - 14 mill.</w:t>
      </w:r>
      <w:r>
        <w:t xml:space="preserve"> 2014 forventes å bli et normalår. Samtidig er bemanningen på SAK redusert de siste par år.  Skal vi klare å forsvare de kostnadene vi har på RD 69 i dag, må vi ha </w:t>
      </w:r>
      <w:r w:rsidR="00963EB3">
        <w:t>ca.</w:t>
      </w:r>
      <w:r>
        <w:t xml:space="preserve"> 18 - 20 mill i omsetning. </w:t>
      </w:r>
      <w:r w:rsidR="00963EB3">
        <w:t>Nedbemanning</w:t>
      </w:r>
      <w:r>
        <w:t xml:space="preserve"> begrenser</w:t>
      </w:r>
      <w:r w:rsidR="00963EB3">
        <w:t xml:space="preserve"> på samme tid våre muligheter til</w:t>
      </w:r>
      <w:r>
        <w:t xml:space="preserve"> å øke inntektene. </w:t>
      </w:r>
      <w:r>
        <w:t>Det gjelder her å finne den rette balansen.</w:t>
      </w:r>
    </w:p>
    <w:p w:rsidR="00B97D97" w:rsidRPr="00B97D97" w:rsidRDefault="00B97D97" w:rsidP="00B97D97">
      <w:pPr>
        <w:rPr>
          <w:rFonts w:ascii="Times New Roman" w:hAnsi="Times New Roman"/>
          <w:lang w:val="nb-NO" w:eastAsia="nb-NO"/>
        </w:rPr>
      </w:pPr>
    </w:p>
    <w:p w:rsidR="00B97D97" w:rsidRPr="00B97D97" w:rsidRDefault="00B97D97" w:rsidP="00B97D97">
      <w:pPr>
        <w:pStyle w:val="Rentekst"/>
      </w:pPr>
      <w:r>
        <w:t>H</w:t>
      </w:r>
      <w:r>
        <w:t>va kan vi gjøre for å øke inntek</w:t>
      </w:r>
      <w:r>
        <w:t xml:space="preserve">tene? SAK må ut på et annet marked enn det statlig styrte for å hente prosjekter - eks miljøovervåkning, bruke forskningsstrategien o.l. </w:t>
      </w:r>
      <w:r>
        <w:t>Det må i tillegg innføres et registreringsverktøy som gir oss mulighet til å registrere</w:t>
      </w:r>
      <w:r>
        <w:t xml:space="preserve"> alle salgbare timer</w:t>
      </w:r>
      <w:r w:rsidR="00EB4DC2">
        <w:t xml:space="preserve">. </w:t>
      </w:r>
    </w:p>
    <w:p w:rsidR="00B97D97" w:rsidRDefault="00B97D97" w:rsidP="00B97D97">
      <w:pPr>
        <w:pStyle w:val="Rentekst"/>
      </w:pPr>
      <w:r>
        <w:t> </w:t>
      </w:r>
    </w:p>
    <w:p w:rsidR="00B97D97" w:rsidRDefault="00B97D97" w:rsidP="00B97D97">
      <w:pPr>
        <w:pStyle w:val="Rentekst"/>
      </w:pPr>
      <w:r>
        <w:t>Rektors fokus er</w:t>
      </w:r>
      <w:r w:rsidR="00EB4DC2">
        <w:t xml:space="preserve"> </w:t>
      </w:r>
      <w:r>
        <w:t xml:space="preserve">at vi selv må </w:t>
      </w:r>
      <w:r w:rsidR="00EB4DC2">
        <w:t>skape utviklingen</w:t>
      </w:r>
      <w:r>
        <w:t xml:space="preserve"> gjennom BOA-virksomheten, det er ikke midler å hente i NTNU systemet. I dag ligger 12,6 årsverk på SAK med lønn over RD 69- dette krever 8 mill.</w:t>
      </w:r>
    </w:p>
    <w:p w:rsidR="00B97D97" w:rsidRDefault="00B97D97" w:rsidP="00B97D97">
      <w:pPr>
        <w:pStyle w:val="Rentekst"/>
      </w:pPr>
      <w:r>
        <w:t> </w:t>
      </w:r>
    </w:p>
    <w:p w:rsidR="00B97D97" w:rsidRDefault="00EB4DC2" w:rsidP="00B97D97">
      <w:pPr>
        <w:pStyle w:val="Rentekst"/>
      </w:pPr>
      <w:r>
        <w:t>2013 er det sis</w:t>
      </w:r>
      <w:r w:rsidR="00B97D97">
        <w:t>te året hvor vi operer med to regnskap. Fra 2014 vil RD og RD69 bli slått sammen til ett.</w:t>
      </w:r>
    </w:p>
    <w:p w:rsidR="00EB4DC2" w:rsidRDefault="00EB4DC2" w:rsidP="00B97D97">
      <w:pPr>
        <w:pStyle w:val="Rentekst"/>
      </w:pPr>
    </w:p>
    <w:p w:rsidR="00E72656" w:rsidRDefault="00E72656" w:rsidP="00EB4DC2">
      <w:pPr>
        <w:pStyle w:val="Rentekst"/>
        <w:rPr>
          <w:b/>
        </w:rPr>
      </w:pPr>
    </w:p>
    <w:p w:rsidR="00EB4DC2" w:rsidRDefault="00EB4DC2" w:rsidP="00EB4DC2">
      <w:pPr>
        <w:pStyle w:val="Rentekst"/>
        <w:rPr>
          <w:b/>
        </w:rPr>
      </w:pPr>
      <w:r>
        <w:rPr>
          <w:b/>
        </w:rPr>
        <w:lastRenderedPageBreak/>
        <w:t>Budsjettet 2014</w:t>
      </w:r>
    </w:p>
    <w:p w:rsidR="00B97D97" w:rsidRDefault="00EB4DC2" w:rsidP="00EB4DC2">
      <w:pPr>
        <w:pStyle w:val="Rentekst"/>
      </w:pPr>
      <w:r>
        <w:t xml:space="preserve">Budsjettet for 2014 er </w:t>
      </w:r>
      <w:r w:rsidR="00B97D97" w:rsidRPr="00EB4DC2">
        <w:t>lagt. Museet har over de kommende tre år fått en liten</w:t>
      </w:r>
      <w:r>
        <w:t xml:space="preserve"> økning i tilskuddet fra NTNU. </w:t>
      </w:r>
      <w:r w:rsidR="00B97D97" w:rsidRPr="00EB4DC2">
        <w:t>Det in</w:t>
      </w:r>
      <w:r>
        <w:t>nebærer at museet har økt seksjonenes tildeling</w:t>
      </w:r>
      <w:r w:rsidR="00B97D97" w:rsidRPr="00EB4DC2">
        <w:t xml:space="preserve"> pr arbeid</w:t>
      </w:r>
      <w:r w:rsidR="00B97D97">
        <w:t xml:space="preserve">splass fra kr. 20 000 pr år til kr. 30 000,- pr år. Dette gir seksjonene en noe økt </w:t>
      </w:r>
      <w:r w:rsidR="00963EB3">
        <w:t>driftspost</w:t>
      </w:r>
      <w:r w:rsidR="00B97D97">
        <w:t xml:space="preserve">. I tillegg har vi to åremålsstillinger </w:t>
      </w:r>
      <w:r>
        <w:t xml:space="preserve">(seksjonsledere) </w:t>
      </w:r>
      <w:r w:rsidR="00B97D97">
        <w:t xml:space="preserve">ved SAK og SN som ikke er utlyst og seksjonslederne er prolongert frem til 01.09.14. Lønn til event. to nye seksjonsledere er også lagt inn </w:t>
      </w:r>
      <w:r>
        <w:t xml:space="preserve">i budsjettet </w:t>
      </w:r>
      <w:r w:rsidR="00B97D97">
        <w:t>fra 01.09.14. </w:t>
      </w:r>
    </w:p>
    <w:p w:rsidR="00EB4DC2" w:rsidRDefault="00EB4DC2" w:rsidP="00B97D97">
      <w:pPr>
        <w:rPr>
          <w:rFonts w:ascii="Calibri" w:eastAsia="Calibri" w:hAnsi="Calibri" w:cs="Calibri"/>
          <w:b/>
          <w:sz w:val="22"/>
          <w:szCs w:val="22"/>
          <w:lang w:val="nb-NO"/>
        </w:rPr>
      </w:pPr>
    </w:p>
    <w:p w:rsidR="00B97D97" w:rsidRPr="00EB4DC2" w:rsidRDefault="00B97D97" w:rsidP="00B97D97">
      <w:pPr>
        <w:rPr>
          <w:rFonts w:asciiTheme="minorHAnsi" w:hAnsiTheme="minorHAnsi" w:cstheme="minorHAnsi"/>
          <w:sz w:val="22"/>
          <w:szCs w:val="22"/>
          <w:lang w:val="nb-NO" w:eastAsia="nb-NO"/>
        </w:rPr>
      </w:pPr>
      <w:r w:rsidRPr="00EB4DC2">
        <w:rPr>
          <w:rFonts w:asciiTheme="minorHAnsi" w:hAnsiTheme="minorHAnsi" w:cstheme="minorHAnsi"/>
          <w:sz w:val="22"/>
          <w:szCs w:val="22"/>
          <w:lang w:val="nb-NO" w:eastAsia="nb-NO"/>
        </w:rPr>
        <w:t>Tildelingen fra HF til arkeologistudiet er uforandret for 2014,</w:t>
      </w:r>
      <w:r w:rsidR="00EB4DC2">
        <w:rPr>
          <w:rFonts w:asciiTheme="minorHAnsi" w:hAnsiTheme="minorHAnsi" w:cstheme="minorHAnsi"/>
          <w:sz w:val="22"/>
          <w:szCs w:val="22"/>
          <w:lang w:val="nb-NO" w:eastAsia="nb-NO"/>
        </w:rPr>
        <w:t xml:space="preserve"> og dette</w:t>
      </w:r>
      <w:r w:rsidRPr="00EB4DC2">
        <w:rPr>
          <w:rFonts w:asciiTheme="minorHAnsi" w:hAnsiTheme="minorHAnsi" w:cstheme="minorHAnsi"/>
          <w:sz w:val="22"/>
          <w:szCs w:val="22"/>
          <w:lang w:val="nb-NO" w:eastAsia="nb-NO"/>
        </w:rPr>
        <w:t xml:space="preserve"> i mangel på en avtale som kan danne grunnlag for en ny for</w:t>
      </w:r>
      <w:r w:rsidR="00EB4DC2">
        <w:rPr>
          <w:rFonts w:asciiTheme="minorHAnsi" w:hAnsiTheme="minorHAnsi" w:cstheme="minorHAnsi"/>
          <w:sz w:val="22"/>
          <w:szCs w:val="22"/>
          <w:lang w:val="nb-NO" w:eastAsia="nb-NO"/>
        </w:rPr>
        <w:t>deling. Vi forventer dog at frem</w:t>
      </w:r>
      <w:r w:rsidRPr="00EB4DC2">
        <w:rPr>
          <w:rFonts w:asciiTheme="minorHAnsi" w:hAnsiTheme="minorHAnsi" w:cstheme="minorHAnsi"/>
          <w:sz w:val="22"/>
          <w:szCs w:val="22"/>
          <w:lang w:val="nb-NO" w:eastAsia="nb-NO"/>
        </w:rPr>
        <w:t xml:space="preserve">tiden vil gi oss en reduksjon </w:t>
      </w:r>
      <w:r w:rsidR="00EB4DC2">
        <w:rPr>
          <w:rFonts w:asciiTheme="minorHAnsi" w:hAnsiTheme="minorHAnsi" w:cstheme="minorHAnsi"/>
          <w:sz w:val="22"/>
          <w:szCs w:val="22"/>
          <w:lang w:val="nb-NO" w:eastAsia="nb-NO"/>
        </w:rPr>
        <w:t xml:space="preserve">i bevilgningen </w:t>
      </w:r>
      <w:r w:rsidRPr="00EB4DC2">
        <w:rPr>
          <w:rFonts w:asciiTheme="minorHAnsi" w:hAnsiTheme="minorHAnsi" w:cstheme="minorHAnsi"/>
          <w:sz w:val="22"/>
          <w:szCs w:val="22"/>
          <w:lang w:val="nb-NO" w:eastAsia="nb-NO"/>
        </w:rPr>
        <w:t>gitt HFs økonomiske situasjon. </w:t>
      </w:r>
    </w:p>
    <w:p w:rsidR="00B97D97" w:rsidRPr="00EB4DC2" w:rsidRDefault="00B97D97" w:rsidP="00B97D97">
      <w:pPr>
        <w:rPr>
          <w:rFonts w:asciiTheme="minorHAnsi" w:hAnsiTheme="minorHAnsi" w:cstheme="minorHAnsi"/>
          <w:sz w:val="22"/>
          <w:szCs w:val="22"/>
          <w:lang w:val="nb-NO" w:eastAsia="nb-NO"/>
        </w:rPr>
      </w:pPr>
    </w:p>
    <w:p w:rsidR="00B97D97" w:rsidRPr="00EB4DC2" w:rsidRDefault="00B97D97" w:rsidP="00B97D97">
      <w:pPr>
        <w:rPr>
          <w:rFonts w:asciiTheme="minorHAnsi" w:hAnsiTheme="minorHAnsi" w:cstheme="minorHAnsi"/>
          <w:sz w:val="22"/>
          <w:szCs w:val="22"/>
          <w:lang w:val="nb-NO" w:eastAsia="nb-NO"/>
        </w:rPr>
      </w:pPr>
      <w:r w:rsidRPr="00EB4DC2">
        <w:rPr>
          <w:rFonts w:asciiTheme="minorHAnsi" w:hAnsiTheme="minorHAnsi" w:cstheme="minorHAnsi"/>
          <w:sz w:val="22"/>
          <w:szCs w:val="22"/>
          <w:lang w:val="nb-NO" w:eastAsia="nb-NO"/>
        </w:rPr>
        <w:t>Museet har satt opp handlingsplantiltak for 2014 som krever kr. 1 450 000,-</w:t>
      </w:r>
    </w:p>
    <w:p w:rsidR="00EB4DC2" w:rsidRDefault="00EB4DC2" w:rsidP="00B97D97">
      <w:pPr>
        <w:rPr>
          <w:rFonts w:asciiTheme="minorHAnsi" w:hAnsiTheme="minorHAnsi" w:cstheme="minorHAnsi"/>
          <w:sz w:val="22"/>
          <w:szCs w:val="22"/>
          <w:lang w:val="nb-NO" w:eastAsia="nb-NO"/>
        </w:rPr>
      </w:pPr>
    </w:p>
    <w:p w:rsidR="00B97D97" w:rsidRPr="00EB4DC2" w:rsidRDefault="00B97D97" w:rsidP="00B97D97">
      <w:pPr>
        <w:rPr>
          <w:rFonts w:asciiTheme="minorHAnsi" w:hAnsiTheme="minorHAnsi" w:cstheme="minorHAnsi"/>
          <w:sz w:val="22"/>
          <w:szCs w:val="22"/>
          <w:lang w:val="nb-NO" w:eastAsia="nb-NO"/>
        </w:rPr>
      </w:pPr>
      <w:r w:rsidRPr="00EB4DC2">
        <w:rPr>
          <w:rFonts w:asciiTheme="minorHAnsi" w:hAnsiTheme="minorHAnsi" w:cstheme="minorHAnsi"/>
          <w:sz w:val="22"/>
          <w:szCs w:val="22"/>
          <w:lang w:val="nb-NO" w:eastAsia="nb-NO"/>
        </w:rPr>
        <w:t>Seksjonens</w:t>
      </w:r>
      <w:r w:rsidR="00EB4DC2">
        <w:rPr>
          <w:rFonts w:asciiTheme="minorHAnsi" w:hAnsiTheme="minorHAnsi" w:cstheme="minorHAnsi"/>
          <w:sz w:val="22"/>
          <w:szCs w:val="22"/>
          <w:lang w:val="nb-NO" w:eastAsia="nb-NO"/>
        </w:rPr>
        <w:t xml:space="preserve"> (SAK)</w:t>
      </w:r>
      <w:r w:rsidRPr="00EB4DC2">
        <w:rPr>
          <w:rFonts w:asciiTheme="minorHAnsi" w:hAnsiTheme="minorHAnsi" w:cstheme="minorHAnsi"/>
          <w:sz w:val="22"/>
          <w:szCs w:val="22"/>
          <w:lang w:val="nb-NO" w:eastAsia="nb-NO"/>
        </w:rPr>
        <w:t xml:space="preserve"> resultattideling (publisering o.l) ser en liten økning fra 2013 til kr. 142 497,-</w:t>
      </w:r>
    </w:p>
    <w:p w:rsidR="00B97D97" w:rsidRPr="00EB4DC2" w:rsidRDefault="00B97D97" w:rsidP="00B97D97">
      <w:pPr>
        <w:rPr>
          <w:rFonts w:asciiTheme="minorHAnsi" w:hAnsiTheme="minorHAnsi" w:cstheme="minorHAnsi"/>
          <w:sz w:val="22"/>
          <w:szCs w:val="22"/>
          <w:lang w:val="nb-NO" w:eastAsia="nb-NO"/>
        </w:rPr>
      </w:pPr>
    </w:p>
    <w:p w:rsidR="00B97D97" w:rsidRPr="00EB4DC2" w:rsidRDefault="00B97D97" w:rsidP="00B97D97">
      <w:pPr>
        <w:rPr>
          <w:rFonts w:asciiTheme="minorHAnsi" w:hAnsiTheme="minorHAnsi" w:cstheme="minorHAnsi"/>
          <w:sz w:val="22"/>
          <w:szCs w:val="22"/>
          <w:lang w:val="nb-NO" w:eastAsia="nb-NO"/>
        </w:rPr>
      </w:pPr>
      <w:r w:rsidRPr="00EB4DC2">
        <w:rPr>
          <w:rFonts w:asciiTheme="minorHAnsi" w:hAnsiTheme="minorHAnsi" w:cstheme="minorHAnsi"/>
          <w:sz w:val="22"/>
          <w:szCs w:val="22"/>
          <w:lang w:val="nb-NO" w:eastAsia="nb-NO"/>
        </w:rPr>
        <w:t>Våre</w:t>
      </w:r>
      <w:r w:rsidR="00EB4DC2">
        <w:rPr>
          <w:rFonts w:asciiTheme="minorHAnsi" w:hAnsiTheme="minorHAnsi" w:cstheme="minorHAnsi"/>
          <w:sz w:val="22"/>
          <w:szCs w:val="22"/>
          <w:lang w:val="nb-NO" w:eastAsia="nb-NO"/>
        </w:rPr>
        <w:t xml:space="preserve"> (museets)</w:t>
      </w:r>
      <w:r w:rsidRPr="00EB4DC2">
        <w:rPr>
          <w:rFonts w:asciiTheme="minorHAnsi" w:hAnsiTheme="minorHAnsi" w:cstheme="minorHAnsi"/>
          <w:sz w:val="22"/>
          <w:szCs w:val="22"/>
          <w:lang w:val="nb-NO" w:eastAsia="nb-NO"/>
        </w:rPr>
        <w:t xml:space="preserve"> forpliktelser på Hopsjø koster også museet som helhet </w:t>
      </w:r>
      <w:r w:rsidR="00963EB3" w:rsidRPr="00EB4DC2">
        <w:rPr>
          <w:rFonts w:asciiTheme="minorHAnsi" w:hAnsiTheme="minorHAnsi" w:cstheme="minorHAnsi"/>
          <w:sz w:val="22"/>
          <w:szCs w:val="22"/>
          <w:lang w:val="nb-NO" w:eastAsia="nb-NO"/>
        </w:rPr>
        <w:t>ca.</w:t>
      </w:r>
      <w:r w:rsidRPr="00EB4DC2">
        <w:rPr>
          <w:rFonts w:asciiTheme="minorHAnsi" w:hAnsiTheme="minorHAnsi" w:cstheme="minorHAnsi"/>
          <w:sz w:val="22"/>
          <w:szCs w:val="22"/>
          <w:lang w:val="nb-NO" w:eastAsia="nb-NO"/>
        </w:rPr>
        <w:t xml:space="preserve"> kr. 400 000,- pr år. Det er to år igjen til kontrakten er oppfylt og vi er fri belastningen. MiST planleggere en utstilling i det nye terminalbygget på Sandstad på Hitra i 2015/2016. "Trondheimsleia" v</w:t>
      </w:r>
      <w:r w:rsidR="00EB4DC2">
        <w:rPr>
          <w:rFonts w:asciiTheme="minorHAnsi" w:hAnsiTheme="minorHAnsi" w:cstheme="minorHAnsi"/>
          <w:sz w:val="22"/>
          <w:szCs w:val="22"/>
          <w:lang w:val="nb-NO" w:eastAsia="nb-NO"/>
        </w:rPr>
        <w:t>il være headingen og her vil SAK</w:t>
      </w:r>
      <w:r w:rsidRPr="00EB4DC2">
        <w:rPr>
          <w:rFonts w:asciiTheme="minorHAnsi" w:hAnsiTheme="minorHAnsi" w:cstheme="minorHAnsi"/>
          <w:sz w:val="22"/>
          <w:szCs w:val="22"/>
          <w:lang w:val="nb-NO" w:eastAsia="nb-NO"/>
        </w:rPr>
        <w:t xml:space="preserve"> kunne være en naturlig samarbeidspartner. Et aktuelt samarbeidsområde som kan gi gode synergier. </w:t>
      </w:r>
    </w:p>
    <w:p w:rsidR="00B97D97" w:rsidRDefault="00B97D97" w:rsidP="00B97D97">
      <w:pPr>
        <w:rPr>
          <w:rFonts w:asciiTheme="minorHAnsi" w:hAnsiTheme="minorHAnsi" w:cstheme="minorHAnsi"/>
          <w:sz w:val="22"/>
          <w:szCs w:val="22"/>
          <w:lang w:val="nb-NO" w:eastAsia="nb-NO"/>
        </w:rPr>
      </w:pPr>
    </w:p>
    <w:p w:rsidR="00EB4DC2" w:rsidRPr="00EB4DC2" w:rsidRDefault="00EB4DC2" w:rsidP="00B97D97">
      <w:pPr>
        <w:rPr>
          <w:rFonts w:asciiTheme="minorHAnsi" w:hAnsiTheme="minorHAnsi" w:cstheme="minorHAnsi"/>
          <w:b/>
          <w:sz w:val="22"/>
          <w:szCs w:val="22"/>
          <w:lang w:val="nb-NO" w:eastAsia="nb-NO"/>
        </w:rPr>
      </w:pPr>
      <w:r w:rsidRPr="00EB4DC2">
        <w:rPr>
          <w:rFonts w:asciiTheme="minorHAnsi" w:hAnsiTheme="minorHAnsi" w:cstheme="minorHAnsi"/>
          <w:b/>
          <w:sz w:val="22"/>
          <w:szCs w:val="22"/>
          <w:lang w:val="nb-NO" w:eastAsia="nb-NO"/>
        </w:rPr>
        <w:t>TDI-modellen</w:t>
      </w:r>
    </w:p>
    <w:p w:rsidR="00B97D97" w:rsidRPr="00EB4DC2" w:rsidRDefault="00B97D97" w:rsidP="00B97D97">
      <w:pPr>
        <w:rPr>
          <w:rFonts w:asciiTheme="minorHAnsi" w:hAnsiTheme="minorHAnsi" w:cstheme="minorHAnsi"/>
          <w:sz w:val="22"/>
          <w:szCs w:val="22"/>
          <w:lang w:val="nb-NO" w:eastAsia="nb-NO"/>
        </w:rPr>
      </w:pPr>
      <w:r w:rsidRPr="00EB4DC2">
        <w:rPr>
          <w:rFonts w:asciiTheme="minorHAnsi" w:hAnsiTheme="minorHAnsi" w:cstheme="minorHAnsi"/>
          <w:sz w:val="22"/>
          <w:szCs w:val="22"/>
          <w:lang w:val="nb-NO" w:eastAsia="nb-NO"/>
        </w:rPr>
        <w:t>NTNU innfører fra 2014 en modell kalt TDI-modellen. Kort sagt innebærer det at man innenfor BOA-virksomheten kan få dekket en større del av de faktiske kostnadene. Inntektene kan bli høyere, men prisen på NTNUs tjenester stiger også</w:t>
      </w:r>
      <w:r w:rsidR="00EB4DC2">
        <w:rPr>
          <w:rFonts w:asciiTheme="minorHAnsi" w:hAnsiTheme="minorHAnsi" w:cstheme="minorHAnsi"/>
          <w:sz w:val="22"/>
          <w:szCs w:val="22"/>
          <w:lang w:val="nb-NO" w:eastAsia="nb-NO"/>
        </w:rPr>
        <w:t xml:space="preserve"> </w:t>
      </w:r>
      <w:r w:rsidRPr="00EB4DC2">
        <w:rPr>
          <w:rFonts w:asciiTheme="minorHAnsi" w:hAnsiTheme="minorHAnsi" w:cstheme="minorHAnsi"/>
          <w:sz w:val="22"/>
          <w:szCs w:val="22"/>
          <w:lang w:val="nb-NO" w:eastAsia="nb-NO"/>
        </w:rPr>
        <w:t>og skjerper konkurransen. NFR har akseptert TDI-modellen og den innføres ved alle norske universitet. Men NFR har ikke fått økte rammer for ti</w:t>
      </w:r>
      <w:r w:rsidR="00EB4DC2">
        <w:rPr>
          <w:rFonts w:asciiTheme="minorHAnsi" w:hAnsiTheme="minorHAnsi" w:cstheme="minorHAnsi"/>
          <w:sz w:val="22"/>
          <w:szCs w:val="22"/>
          <w:lang w:val="nb-NO" w:eastAsia="nb-NO"/>
        </w:rPr>
        <w:t>l</w:t>
      </w:r>
      <w:r w:rsidRPr="00EB4DC2">
        <w:rPr>
          <w:rFonts w:asciiTheme="minorHAnsi" w:hAnsiTheme="minorHAnsi" w:cstheme="minorHAnsi"/>
          <w:sz w:val="22"/>
          <w:szCs w:val="22"/>
          <w:lang w:val="nb-NO" w:eastAsia="nb-NO"/>
        </w:rPr>
        <w:t>deling, noe som innebærer at de vil kunne tilby færre prosjekt fordi hver</w:t>
      </w:r>
      <w:r w:rsidR="00EB4DC2">
        <w:rPr>
          <w:rFonts w:asciiTheme="minorHAnsi" w:hAnsiTheme="minorHAnsi" w:cstheme="minorHAnsi"/>
          <w:sz w:val="22"/>
          <w:szCs w:val="22"/>
          <w:lang w:val="nb-NO" w:eastAsia="nb-NO"/>
        </w:rPr>
        <w:t>t</w:t>
      </w:r>
      <w:r w:rsidRPr="00EB4DC2">
        <w:rPr>
          <w:rFonts w:asciiTheme="minorHAnsi" w:hAnsiTheme="minorHAnsi" w:cstheme="minorHAnsi"/>
          <w:sz w:val="22"/>
          <w:szCs w:val="22"/>
          <w:lang w:val="nb-NO" w:eastAsia="nb-NO"/>
        </w:rPr>
        <w:t xml:space="preserve"> prosjekt blir dyrere. De som får prosjekt, vil få mer midler, men</w:t>
      </w:r>
      <w:r w:rsidR="00EB4DC2">
        <w:rPr>
          <w:rFonts w:asciiTheme="minorHAnsi" w:hAnsiTheme="minorHAnsi" w:cstheme="minorHAnsi"/>
          <w:sz w:val="22"/>
          <w:szCs w:val="22"/>
          <w:lang w:val="nb-NO" w:eastAsia="nb-NO"/>
        </w:rPr>
        <w:t xml:space="preserve"> det blir færre som får.</w:t>
      </w:r>
      <w:r w:rsidRPr="00EB4DC2">
        <w:rPr>
          <w:rFonts w:asciiTheme="minorHAnsi" w:hAnsiTheme="minorHAnsi" w:cstheme="minorHAnsi"/>
          <w:sz w:val="22"/>
          <w:szCs w:val="22"/>
          <w:lang w:val="nb-NO" w:eastAsia="nb-NO"/>
        </w:rPr>
        <w:t xml:space="preserve"> Hvordan dette vil slå inn for de arkeologiske undersøkelsene er usikkert. Vi forholder oss til Riksantikvaren og MD, med de faste priser som er satt. Arbeidet som er gjort av "TDI-gruppa" har hatt sitt fokus mot forskningen med NFR og EU. Offentlig myndighetsutøvelse og MD har ikke deltatt i dialogen. Riksantikvaren har hele tiden hatt en åpn</w:t>
      </w:r>
      <w:r w:rsidR="00EB4DC2">
        <w:rPr>
          <w:rFonts w:asciiTheme="minorHAnsi" w:hAnsiTheme="minorHAnsi" w:cstheme="minorHAnsi"/>
          <w:sz w:val="22"/>
          <w:szCs w:val="22"/>
          <w:lang w:val="nb-NO" w:eastAsia="nb-NO"/>
        </w:rPr>
        <w:t>ing for at vi kan ta en høyere overhe</w:t>
      </w:r>
      <w:r w:rsidRPr="00EB4DC2">
        <w:rPr>
          <w:rFonts w:asciiTheme="minorHAnsi" w:hAnsiTheme="minorHAnsi" w:cstheme="minorHAnsi"/>
          <w:sz w:val="22"/>
          <w:szCs w:val="22"/>
          <w:lang w:val="nb-NO" w:eastAsia="nb-NO"/>
        </w:rPr>
        <w:t>a</w:t>
      </w:r>
      <w:r w:rsidR="00EB4DC2">
        <w:rPr>
          <w:rFonts w:asciiTheme="minorHAnsi" w:hAnsiTheme="minorHAnsi" w:cstheme="minorHAnsi"/>
          <w:sz w:val="22"/>
          <w:szCs w:val="22"/>
          <w:lang w:val="nb-NO" w:eastAsia="nb-NO"/>
        </w:rPr>
        <w:t>d</w:t>
      </w:r>
      <w:r w:rsidRPr="00EB4DC2">
        <w:rPr>
          <w:rFonts w:asciiTheme="minorHAnsi" w:hAnsiTheme="minorHAnsi" w:cstheme="minorHAnsi"/>
          <w:sz w:val="22"/>
          <w:szCs w:val="22"/>
          <w:lang w:val="nb-NO" w:eastAsia="nb-NO"/>
        </w:rPr>
        <w:t xml:space="preserve"> enn 60%, men dokume</w:t>
      </w:r>
      <w:r w:rsidR="00EB4DC2">
        <w:rPr>
          <w:rFonts w:asciiTheme="minorHAnsi" w:hAnsiTheme="minorHAnsi" w:cstheme="minorHAnsi"/>
          <w:sz w:val="22"/>
          <w:szCs w:val="22"/>
          <w:lang w:val="nb-NO" w:eastAsia="nb-NO"/>
        </w:rPr>
        <w:t>n</w:t>
      </w:r>
      <w:r w:rsidRPr="00EB4DC2">
        <w:rPr>
          <w:rFonts w:asciiTheme="minorHAnsi" w:hAnsiTheme="minorHAnsi" w:cstheme="minorHAnsi"/>
          <w:sz w:val="22"/>
          <w:szCs w:val="22"/>
          <w:lang w:val="nb-NO" w:eastAsia="nb-NO"/>
        </w:rPr>
        <w:t>tasjonskravet ligger hos oss - vi må vise at våre kostnader overskrider 60%.  </w:t>
      </w:r>
    </w:p>
    <w:p w:rsidR="00B97D97" w:rsidRPr="00EB4DC2" w:rsidRDefault="00B97D97" w:rsidP="00B97D97">
      <w:pPr>
        <w:rPr>
          <w:rFonts w:asciiTheme="minorHAnsi" w:hAnsiTheme="minorHAnsi" w:cstheme="minorHAnsi"/>
          <w:sz w:val="22"/>
          <w:szCs w:val="22"/>
          <w:lang w:val="nb-NO" w:eastAsia="nb-NO"/>
        </w:rPr>
      </w:pPr>
    </w:p>
    <w:p w:rsidR="00B97D97" w:rsidRPr="00EB4DC2" w:rsidRDefault="00B97D97" w:rsidP="00B97D97">
      <w:pPr>
        <w:rPr>
          <w:rFonts w:asciiTheme="minorHAnsi" w:hAnsiTheme="minorHAnsi" w:cstheme="minorHAnsi"/>
          <w:sz w:val="22"/>
          <w:szCs w:val="22"/>
          <w:lang w:val="nb-NO" w:eastAsia="nb-NO"/>
        </w:rPr>
      </w:pPr>
      <w:r w:rsidRPr="00EB4DC2">
        <w:rPr>
          <w:rFonts w:asciiTheme="minorHAnsi" w:hAnsiTheme="minorHAnsi" w:cstheme="minorHAnsi"/>
          <w:sz w:val="22"/>
          <w:szCs w:val="22"/>
          <w:lang w:val="nb-NO" w:eastAsia="nb-NO"/>
        </w:rPr>
        <w:t>Innføring av TDI-modellen vil gi både fordeler og utfordringer. </w:t>
      </w:r>
    </w:p>
    <w:p w:rsidR="00B97D97" w:rsidRPr="00EB4DC2" w:rsidRDefault="00EB4DC2" w:rsidP="00B97D97">
      <w:pPr>
        <w:rPr>
          <w:rFonts w:asciiTheme="minorHAnsi" w:hAnsiTheme="minorHAnsi" w:cstheme="minorHAnsi"/>
          <w:sz w:val="22"/>
          <w:szCs w:val="22"/>
          <w:lang w:val="nb-NO" w:eastAsia="nb-NO"/>
        </w:rPr>
      </w:pPr>
      <w:r>
        <w:rPr>
          <w:rFonts w:asciiTheme="minorHAnsi" w:hAnsiTheme="minorHAnsi" w:cstheme="minorHAnsi"/>
          <w:sz w:val="22"/>
          <w:szCs w:val="22"/>
          <w:lang w:val="nb-NO" w:eastAsia="nb-NO"/>
        </w:rPr>
        <w:t xml:space="preserve">En utfordring for alle er å </w:t>
      </w:r>
      <w:r w:rsidR="00B97D97" w:rsidRPr="00EB4DC2">
        <w:rPr>
          <w:rFonts w:asciiTheme="minorHAnsi" w:hAnsiTheme="minorHAnsi" w:cstheme="minorHAnsi"/>
          <w:sz w:val="22"/>
          <w:szCs w:val="22"/>
          <w:lang w:val="nb-NO" w:eastAsia="nb-NO"/>
        </w:rPr>
        <w:t>fastsette prisen for leiested - hva koser det å bruke et areal, en tjeneste o.l. Hvilken kapasitet</w:t>
      </w:r>
      <w:r>
        <w:rPr>
          <w:rFonts w:asciiTheme="minorHAnsi" w:hAnsiTheme="minorHAnsi" w:cstheme="minorHAnsi"/>
          <w:sz w:val="22"/>
          <w:szCs w:val="22"/>
          <w:lang w:val="nb-NO" w:eastAsia="nb-NO"/>
        </w:rPr>
        <w:t xml:space="preserve"> og hvordan skal den </w:t>
      </w:r>
      <w:r w:rsidR="00B97D97" w:rsidRPr="00EB4DC2">
        <w:rPr>
          <w:rFonts w:asciiTheme="minorHAnsi" w:hAnsiTheme="minorHAnsi" w:cstheme="minorHAnsi"/>
          <w:sz w:val="22"/>
          <w:szCs w:val="22"/>
          <w:lang w:val="nb-NO" w:eastAsia="nb-NO"/>
        </w:rPr>
        <w:t>beregnes? </w:t>
      </w:r>
    </w:p>
    <w:p w:rsidR="00B97D97" w:rsidRPr="00EB4DC2" w:rsidRDefault="00B97D97" w:rsidP="00B97D97">
      <w:pPr>
        <w:rPr>
          <w:rFonts w:asciiTheme="minorHAnsi" w:hAnsiTheme="minorHAnsi" w:cstheme="minorHAnsi"/>
          <w:sz w:val="22"/>
          <w:szCs w:val="22"/>
          <w:lang w:val="nb-NO" w:eastAsia="nb-NO"/>
        </w:rPr>
      </w:pPr>
    </w:p>
    <w:p w:rsidR="00B97D97" w:rsidRPr="00EB4DC2" w:rsidRDefault="00B97D97" w:rsidP="00B97D97">
      <w:pPr>
        <w:rPr>
          <w:rFonts w:asciiTheme="minorHAnsi" w:hAnsiTheme="minorHAnsi" w:cstheme="minorHAnsi"/>
          <w:sz w:val="22"/>
          <w:szCs w:val="22"/>
          <w:lang w:val="nb-NO" w:eastAsia="nb-NO"/>
        </w:rPr>
      </w:pPr>
      <w:r w:rsidRPr="00EB4DC2">
        <w:rPr>
          <w:rFonts w:asciiTheme="minorHAnsi" w:hAnsiTheme="minorHAnsi" w:cstheme="minorHAnsi"/>
          <w:sz w:val="22"/>
          <w:szCs w:val="22"/>
          <w:lang w:val="nb-NO" w:eastAsia="nb-NO"/>
        </w:rPr>
        <w:t>En konsekvens for SAK er at vi i dag har monopol på en god del av våre oppgaver - både samlingskuratering og utgravingsvirksomhet. TDI-modellen er en følge av offentlig tjenestekjøp, der hvor det er konkurranse i markedet. Vår myn</w:t>
      </w:r>
      <w:r w:rsidR="00EB4DC2">
        <w:rPr>
          <w:rFonts w:asciiTheme="minorHAnsi" w:hAnsiTheme="minorHAnsi" w:cstheme="minorHAnsi"/>
          <w:sz w:val="22"/>
          <w:szCs w:val="22"/>
          <w:lang w:val="nb-NO" w:eastAsia="nb-NO"/>
        </w:rPr>
        <w:t>d</w:t>
      </w:r>
      <w:r w:rsidRPr="00EB4DC2">
        <w:rPr>
          <w:rFonts w:asciiTheme="minorHAnsi" w:hAnsiTheme="minorHAnsi" w:cstheme="minorHAnsi"/>
          <w:sz w:val="22"/>
          <w:szCs w:val="22"/>
          <w:lang w:val="nb-NO" w:eastAsia="nb-NO"/>
        </w:rPr>
        <w:t>ighetsutøvelse er knyttet til en særlov - og hvordan skal således denne delen av virksomheten ivaretas? Det må gjøres en juridisk utredning. Vi er i dag ikke konkurranseutsatt. Kan vi realprise for i imøtekomme TDI-modellen? Vår løsning finnes trolig et sted i midten. Det sentrale er at forvaltningsmuseene kjører samme skute og bruker samme kanaler - eksempelv</w:t>
      </w:r>
      <w:r w:rsidR="00EB4DC2">
        <w:rPr>
          <w:rFonts w:asciiTheme="minorHAnsi" w:hAnsiTheme="minorHAnsi" w:cstheme="minorHAnsi"/>
          <w:sz w:val="22"/>
          <w:szCs w:val="22"/>
          <w:lang w:val="nb-NO" w:eastAsia="nb-NO"/>
        </w:rPr>
        <w:t xml:space="preserve">is UHRM - men her vet vi at vi </w:t>
      </w:r>
      <w:r w:rsidRPr="00EB4DC2">
        <w:rPr>
          <w:rFonts w:asciiTheme="minorHAnsi" w:hAnsiTheme="minorHAnsi" w:cstheme="minorHAnsi"/>
          <w:sz w:val="22"/>
          <w:szCs w:val="22"/>
          <w:lang w:val="nb-NO" w:eastAsia="nb-NO"/>
        </w:rPr>
        <w:t>vil få utfordringer. </w:t>
      </w:r>
    </w:p>
    <w:p w:rsidR="00B97D97" w:rsidRPr="00EB4DC2" w:rsidRDefault="00B97D97" w:rsidP="00B97D97">
      <w:pPr>
        <w:rPr>
          <w:rFonts w:asciiTheme="minorHAnsi" w:hAnsiTheme="minorHAnsi" w:cstheme="minorHAnsi"/>
          <w:sz w:val="22"/>
          <w:szCs w:val="22"/>
          <w:lang w:val="nb-NO" w:eastAsia="nb-NO"/>
        </w:rPr>
      </w:pPr>
    </w:p>
    <w:p w:rsidR="00B97D97" w:rsidRPr="00EB4DC2" w:rsidRDefault="00B97D97" w:rsidP="00B97D97">
      <w:pPr>
        <w:rPr>
          <w:rFonts w:asciiTheme="minorHAnsi" w:hAnsiTheme="minorHAnsi" w:cstheme="minorHAnsi"/>
          <w:sz w:val="22"/>
          <w:szCs w:val="22"/>
          <w:lang w:val="nb-NO" w:eastAsia="nb-NO"/>
        </w:rPr>
      </w:pPr>
      <w:r w:rsidRPr="00EB4DC2">
        <w:rPr>
          <w:rFonts w:asciiTheme="minorHAnsi" w:hAnsiTheme="minorHAnsi" w:cstheme="minorHAnsi"/>
          <w:sz w:val="22"/>
          <w:szCs w:val="22"/>
          <w:lang w:val="nb-NO" w:eastAsia="nb-NO"/>
        </w:rPr>
        <w:t>Ivar Jensås takkes for en lang og meget nyttig gjennomgang. </w:t>
      </w:r>
      <w:r w:rsidRPr="00EB4DC2">
        <w:rPr>
          <w:rFonts w:asciiTheme="minorHAnsi" w:hAnsiTheme="minorHAnsi" w:cstheme="minorHAnsi"/>
          <w:sz w:val="22"/>
          <w:szCs w:val="22"/>
          <w:lang w:val="nb-NO" w:eastAsia="nb-NO"/>
        </w:rPr>
        <w:br/>
      </w:r>
    </w:p>
    <w:p w:rsidR="00B97D97" w:rsidRDefault="00B97D97" w:rsidP="00B97D97">
      <w:pPr>
        <w:pStyle w:val="Rentekst"/>
      </w:pPr>
      <w:r>
        <w:t> </w:t>
      </w:r>
    </w:p>
    <w:p w:rsidR="00B97D97" w:rsidRPr="00EB4DC2" w:rsidRDefault="00B97D97" w:rsidP="00B97D97">
      <w:pPr>
        <w:pStyle w:val="Rentekst"/>
        <w:rPr>
          <w:b/>
        </w:rPr>
      </w:pPr>
      <w:r w:rsidRPr="00EB4DC2">
        <w:rPr>
          <w:b/>
        </w:rPr>
        <w:t>Ss-sak 2/13 Funksjonsanalyse ved SAK</w:t>
      </w:r>
    </w:p>
    <w:p w:rsidR="00B97D97" w:rsidRDefault="00B97D97" w:rsidP="00B97D97">
      <w:pPr>
        <w:pStyle w:val="Rentekst"/>
      </w:pPr>
      <w:r>
        <w:t> </w:t>
      </w:r>
    </w:p>
    <w:p w:rsidR="00351E75" w:rsidRDefault="00B97D97" w:rsidP="00B97D97">
      <w:pPr>
        <w:pStyle w:val="Rentekst"/>
      </w:pPr>
      <w:r>
        <w:t>A</w:t>
      </w:r>
      <w:r w:rsidR="00EB4DC2">
        <w:t>rbeidet med funksjonsanalysen har</w:t>
      </w:r>
      <w:r>
        <w:t xml:space="preserve"> </w:t>
      </w:r>
      <w:r w:rsidR="00EB4DC2">
        <w:t>på</w:t>
      </w:r>
      <w:r>
        <w:t>gått gjennom hele høsten og alle de tilsatte har vært involvert</w:t>
      </w:r>
      <w:r w:rsidR="00351E75">
        <w:t xml:space="preserve"> siden oppstarten i august</w:t>
      </w:r>
      <w:r>
        <w:t xml:space="preserve">. Siden medio november har styringsgruppen sammen med en representant fra LOSAM </w:t>
      </w:r>
      <w:r w:rsidR="00EB4DC2">
        <w:t>jobbet videre med gruppenes grunnlagsarbeid</w:t>
      </w:r>
      <w:r w:rsidR="00351E75">
        <w:t xml:space="preserve"> som utgjør en rapport pr faggruppe med kartleggingsskjema</w:t>
      </w:r>
      <w:r w:rsidR="00EB4DC2">
        <w:t xml:space="preserve">. </w:t>
      </w:r>
    </w:p>
    <w:p w:rsidR="00351E75" w:rsidRDefault="00351E75" w:rsidP="00B97D97">
      <w:pPr>
        <w:pStyle w:val="Rentekst"/>
      </w:pPr>
    </w:p>
    <w:p w:rsidR="00B97D97" w:rsidRDefault="00B97D97" w:rsidP="00B97D97">
      <w:pPr>
        <w:pStyle w:val="Rentekst"/>
      </w:pPr>
      <w:r>
        <w:t>Prosjektgruppen</w:t>
      </w:r>
      <w:r w:rsidR="00351E75">
        <w:t>/styringsgruppen</w:t>
      </w:r>
      <w:r>
        <w:t xml:space="preserve"> har hatt flere møter</w:t>
      </w:r>
      <w:r w:rsidR="00351E75">
        <w:t xml:space="preserve"> og mye fokus er lagt i «</w:t>
      </w:r>
      <w:r>
        <w:t>på tvers-samarbeidet</w:t>
      </w:r>
      <w:r w:rsidR="00351E75">
        <w:t>»</w:t>
      </w:r>
      <w:r>
        <w:t xml:space="preserve"> mellom enhet</w:t>
      </w:r>
      <w:r w:rsidR="00351E75">
        <w:t xml:space="preserve">ene på seksjonen. Hvilke kontakter </w:t>
      </w:r>
      <w:r>
        <w:t>på tvers ønsker</w:t>
      </w:r>
      <w:r w:rsidR="00351E75">
        <w:t xml:space="preserve"> man? Hvor skal avgrensningene </w:t>
      </w:r>
      <w:r>
        <w:t>gå? Hva bør styrkes</w:t>
      </w:r>
      <w:r w:rsidR="00351E75">
        <w:t xml:space="preserve"> og tydeliggjøres? </w:t>
      </w:r>
      <w:r>
        <w:t>GIS-funksjonen</w:t>
      </w:r>
      <w:r w:rsidR="00351E75">
        <w:t xml:space="preserve"> er et eksempel på en slik funksjon som skal løftes. Dette følges også opp gjennom et tre års vikariat som nå er under tilsetting ved SAK. </w:t>
      </w:r>
      <w:r>
        <w:t xml:space="preserve"> </w:t>
      </w:r>
    </w:p>
    <w:p w:rsidR="00B97D97" w:rsidRDefault="00B97D97" w:rsidP="00B97D97">
      <w:pPr>
        <w:pStyle w:val="Rentekst"/>
      </w:pPr>
      <w:r>
        <w:t> </w:t>
      </w:r>
    </w:p>
    <w:p w:rsidR="00B97D97" w:rsidRDefault="00351E75" w:rsidP="00B97D97">
      <w:pPr>
        <w:pStyle w:val="Rentekst"/>
      </w:pPr>
      <w:r>
        <w:t xml:space="preserve">En annen funksjon som skal løftes på SAK er </w:t>
      </w:r>
      <w:r w:rsidR="00B97D97">
        <w:t>formidling</w:t>
      </w:r>
      <w:r>
        <w:t>stjenesten</w:t>
      </w:r>
      <w:r w:rsidR="00B97D97">
        <w:t>. Hva skal formidli</w:t>
      </w:r>
      <w:r w:rsidR="00E72656">
        <w:t>ngsforum</w:t>
      </w:r>
      <w:r>
        <w:t xml:space="preserve"> på SAK ha ansvar for</w:t>
      </w:r>
      <w:r w:rsidR="00B97D97">
        <w:t xml:space="preserve">? </w:t>
      </w:r>
    </w:p>
    <w:p w:rsidR="00B97D97" w:rsidRDefault="00B97D97" w:rsidP="00B97D97">
      <w:pPr>
        <w:pStyle w:val="Rentekst"/>
      </w:pPr>
      <w:r>
        <w:t> </w:t>
      </w:r>
    </w:p>
    <w:p w:rsidR="00E72656" w:rsidRDefault="00B97D97" w:rsidP="00B97D97">
      <w:pPr>
        <w:pStyle w:val="Rentekst"/>
      </w:pPr>
      <w:r>
        <w:t xml:space="preserve">Forskningsforum er </w:t>
      </w:r>
      <w:r w:rsidR="00E72656">
        <w:t xml:space="preserve">en </w:t>
      </w:r>
      <w:r>
        <w:t xml:space="preserve">meget </w:t>
      </w:r>
      <w:r w:rsidR="00E72656">
        <w:t xml:space="preserve">sentral brikke i kabalen. Forumet vil i </w:t>
      </w:r>
      <w:r>
        <w:t>2014 bli styrt av en forskningsstrategi</w:t>
      </w:r>
      <w:r w:rsidR="00E72656">
        <w:t xml:space="preserve"> som ferdigstilles i mars/april 2014. </w:t>
      </w:r>
    </w:p>
    <w:p w:rsidR="00B97D97" w:rsidRDefault="00B97D97" w:rsidP="00B97D97">
      <w:pPr>
        <w:pStyle w:val="Rentekst"/>
      </w:pPr>
      <w:r>
        <w:t xml:space="preserve"> </w:t>
      </w:r>
    </w:p>
    <w:p w:rsidR="00B97D97" w:rsidRDefault="00E72656" w:rsidP="00B97D97">
      <w:pPr>
        <w:pStyle w:val="Rentekst"/>
      </w:pPr>
      <w:r>
        <w:t>Det er laget en s</w:t>
      </w:r>
      <w:r w:rsidR="00B97D97">
        <w:t>kissetegning over de nødvendige møtearenaer</w:t>
      </w:r>
      <w:r w:rsidR="00963EB3">
        <w:t xml:space="preserve"> og denne vil struktureres</w:t>
      </w:r>
      <w:r>
        <w:t xml:space="preserve"> rett over nyttår</w:t>
      </w:r>
      <w:r w:rsidR="00B97D97">
        <w:t xml:space="preserve">. </w:t>
      </w:r>
    </w:p>
    <w:p w:rsidR="00B97D97" w:rsidRDefault="00B97D97" w:rsidP="00B97D97">
      <w:pPr>
        <w:pStyle w:val="Rentekst"/>
      </w:pPr>
      <w:r>
        <w:t> </w:t>
      </w:r>
    </w:p>
    <w:p w:rsidR="00B97D97" w:rsidRDefault="00963EB3" w:rsidP="00B97D97">
      <w:pPr>
        <w:pStyle w:val="Rentekst"/>
      </w:pPr>
      <w:r>
        <w:t>Seksjonsstyret bes ta</w:t>
      </w:r>
      <w:bookmarkStart w:id="1" w:name="_GoBack"/>
      <w:bookmarkEnd w:id="1"/>
      <w:r w:rsidR="00E72656">
        <w:t xml:space="preserve"> stilling til forslaget</w:t>
      </w:r>
      <w:r w:rsidR="00B97D97">
        <w:t xml:space="preserve"> til organisering, samt beskrive</w:t>
      </w:r>
      <w:r w:rsidR="00E72656">
        <w:t>l</w:t>
      </w:r>
      <w:r w:rsidR="00B97D97">
        <w:t>se</w:t>
      </w:r>
      <w:r w:rsidR="00E72656">
        <w:t>ne</w:t>
      </w:r>
      <w:r w:rsidR="00B97D97">
        <w:t xml:space="preserve"> av enh</w:t>
      </w:r>
      <w:r w:rsidR="00E72656">
        <w:t>etene. Vårt forslag til organis</w:t>
      </w:r>
      <w:r w:rsidR="00B97D97">
        <w:t>ering er ikke veldig an</w:t>
      </w:r>
      <w:r w:rsidR="00E72656">
        <w:t xml:space="preserve">nerledes enn dagens landskapskart, men den er nå </w:t>
      </w:r>
      <w:r w:rsidR="00B97D97">
        <w:t>myn</w:t>
      </w:r>
      <w:r w:rsidR="00E72656">
        <w:t>tet på et dokumentert grunnlag.</w:t>
      </w:r>
    </w:p>
    <w:p w:rsidR="00B97D97" w:rsidRDefault="00B97D97" w:rsidP="00B97D97">
      <w:pPr>
        <w:pStyle w:val="Rentekst"/>
      </w:pPr>
      <w:r>
        <w:t> </w:t>
      </w:r>
    </w:p>
    <w:p w:rsidR="00B97D97" w:rsidRDefault="00E72656" w:rsidP="00B97D97">
      <w:pPr>
        <w:pStyle w:val="Rentekst"/>
      </w:pPr>
      <w:r>
        <w:t>Konserv</w:t>
      </w:r>
      <w:r w:rsidR="00B97D97">
        <w:t>e</w:t>
      </w:r>
      <w:r>
        <w:t>r</w:t>
      </w:r>
      <w:r w:rsidR="00B97D97">
        <w:t xml:space="preserve">ing/bevaring er </w:t>
      </w:r>
      <w:r>
        <w:t xml:space="preserve">holdt som en egen enhet og er ikke innlemmet med andre enheter på seksjonen. Det er vurdert som viktig å gjøre det slik basert på at faget dekker en egen </w:t>
      </w:r>
      <w:r w:rsidR="00B97D97">
        <w:t>fagkompetanse innen SAK. De øvri</w:t>
      </w:r>
      <w:r>
        <w:t>ge gruppene</w:t>
      </w:r>
      <w:r w:rsidR="00B97D97">
        <w:t xml:space="preserve"> er av samme fagenhet - arkeologi. </w:t>
      </w:r>
      <w:r>
        <w:t>Det er ikke rett å s</w:t>
      </w:r>
      <w:r w:rsidR="00B97D97">
        <w:t xml:space="preserve">kjule en konserveringsenhet i en samlingsgruppe. </w:t>
      </w:r>
      <w:r>
        <w:t xml:space="preserve">Vi har god erfaring med å ha konservering/bevaring som en </w:t>
      </w:r>
      <w:r w:rsidR="00B97D97">
        <w:t>selvs</w:t>
      </w:r>
      <w:r>
        <w:t>tendig og tydelig stemme. Det har vært en diskusjon om</w:t>
      </w:r>
      <w:r w:rsidR="00B97D97">
        <w:t>k</w:t>
      </w:r>
      <w:r>
        <w:t>ri</w:t>
      </w:r>
      <w:r w:rsidR="00B97D97">
        <w:t>n</w:t>
      </w:r>
      <w:r>
        <w:t>g</w:t>
      </w:r>
      <w:r w:rsidR="00B97D97">
        <w:t xml:space="preserve"> hvorvidt magasin og bevaring </w:t>
      </w:r>
      <w:r>
        <w:t xml:space="preserve">skulle inngå i </w:t>
      </w:r>
      <w:r w:rsidR="00B97D97">
        <w:t xml:space="preserve">samme gruppe. </w:t>
      </w:r>
      <w:r>
        <w:t xml:space="preserve">Man har valgt å beholde hele magasinet i samling, også for å ha en tydelig linjestruktur for de to tilsatte i magasin som på tross av delte oppgaver også skal bistå hverandre og </w:t>
      </w:r>
      <w:r w:rsidR="0082772C">
        <w:t xml:space="preserve">skal styres av samme leder. Konservering/bevaring vil fortsatt ha ansvar for de </w:t>
      </w:r>
      <w:r w:rsidR="00B97D97">
        <w:t>fysiske forhold på magasinet</w:t>
      </w:r>
      <w:r w:rsidR="0082772C">
        <w:t xml:space="preserve">. </w:t>
      </w:r>
    </w:p>
    <w:p w:rsidR="00B97D97" w:rsidRDefault="00B97D97" w:rsidP="00B97D97">
      <w:pPr>
        <w:pStyle w:val="Rentekst"/>
      </w:pPr>
      <w:r>
        <w:t> </w:t>
      </w:r>
    </w:p>
    <w:p w:rsidR="00B97D97" w:rsidRDefault="0082772C" w:rsidP="0082772C">
      <w:pPr>
        <w:pStyle w:val="Rentekst"/>
      </w:pPr>
      <w:r>
        <w:t xml:space="preserve">Navnemessig skal enheten ytre forvaltning kun kalles ytre forvaltning, ikke kulturminneforvaltning. </w:t>
      </w:r>
    </w:p>
    <w:p w:rsidR="00B97D97" w:rsidRDefault="00B97D97" w:rsidP="00B97D97">
      <w:pPr>
        <w:pStyle w:val="Rentekst"/>
      </w:pPr>
      <w:r>
        <w:t> </w:t>
      </w:r>
    </w:p>
    <w:p w:rsidR="00B97D97" w:rsidRDefault="00B97D97" w:rsidP="00B97D97">
      <w:pPr>
        <w:pStyle w:val="Rentekst"/>
      </w:pPr>
      <w:r>
        <w:t xml:space="preserve">Bevaring vil fjerne to parenteser i enhetsbeskrivelsen. Organisk og uorganisk. </w:t>
      </w:r>
      <w:r w:rsidR="00854E0A">
        <w:t>Dette følges opp.</w:t>
      </w:r>
    </w:p>
    <w:p w:rsidR="00B97D97" w:rsidRDefault="00B97D97" w:rsidP="00B97D97">
      <w:pPr>
        <w:pStyle w:val="Rentekst"/>
      </w:pPr>
      <w:r>
        <w:t> </w:t>
      </w:r>
    </w:p>
    <w:p w:rsidR="00B97D97" w:rsidRDefault="00B97D97" w:rsidP="00B97D97">
      <w:pPr>
        <w:pStyle w:val="Rentekst"/>
      </w:pPr>
      <w:r>
        <w:t xml:space="preserve">Hvordan skal </w:t>
      </w:r>
      <w:r w:rsidR="00854E0A">
        <w:t>seksjonens to fora</w:t>
      </w:r>
      <w:r>
        <w:t xml:space="preserve"> fungere i praksis</w:t>
      </w:r>
      <w:r w:rsidR="00854E0A">
        <w:t xml:space="preserve"> – forskning og </w:t>
      </w:r>
      <w:r w:rsidR="00963EB3">
        <w:t>formidling</w:t>
      </w:r>
      <w:r>
        <w:t>?</w:t>
      </w:r>
      <w:r w:rsidR="00854E0A">
        <w:t xml:space="preserve"> Disse ligger ikke på nivå 4 og har ikke personalansvar.</w:t>
      </w:r>
      <w:r>
        <w:t xml:space="preserve"> Forskerne er sammensatt av forskerne</w:t>
      </w:r>
      <w:r w:rsidR="00854E0A">
        <w:t xml:space="preserve"> og er således en «enklere» gruppe enn formidling. Formidlingsforum må få en annen form</w:t>
      </w:r>
      <w:r>
        <w:t xml:space="preserve"> og en annen sammensetning</w:t>
      </w:r>
      <w:r w:rsidR="00854E0A">
        <w:t xml:space="preserve"> enn i dag</w:t>
      </w:r>
      <w:r>
        <w:t xml:space="preserve">. Dette er ikke et plenumsmøte, men </w:t>
      </w:r>
      <w:r w:rsidR="00963EB3">
        <w:t>forumet</w:t>
      </w:r>
      <w:r w:rsidR="00854E0A">
        <w:t xml:space="preserve"> skal sitte </w:t>
      </w:r>
      <w:r>
        <w:t xml:space="preserve">med et mandat og </w:t>
      </w:r>
      <w:r w:rsidR="00854E0A">
        <w:t>medlemmene skal snakke på</w:t>
      </w:r>
      <w:r>
        <w:t xml:space="preserve"> vegne av sine kollegaer. </w:t>
      </w:r>
    </w:p>
    <w:p w:rsidR="00B97D97" w:rsidRDefault="00B97D97" w:rsidP="00B97D97">
      <w:pPr>
        <w:pStyle w:val="Rentekst"/>
      </w:pPr>
      <w:r>
        <w:t> </w:t>
      </w:r>
    </w:p>
    <w:p w:rsidR="00B97D97" w:rsidRDefault="00854E0A" w:rsidP="00B97D97">
      <w:pPr>
        <w:pStyle w:val="Rentekst"/>
      </w:pPr>
      <w:r>
        <w:lastRenderedPageBreak/>
        <w:t xml:space="preserve">Den videre oppfølgingen blir å utvikle </w:t>
      </w:r>
      <w:r w:rsidR="00B97D97">
        <w:t>rutinebeskrivelse</w:t>
      </w:r>
      <w:r>
        <w:t>r og</w:t>
      </w:r>
      <w:r w:rsidR="00B97D97">
        <w:t xml:space="preserve"> beskrive de fora</w:t>
      </w:r>
      <w:r>
        <w:t>/møteplassene</w:t>
      </w:r>
      <w:r w:rsidR="00B97D97">
        <w:t xml:space="preserve"> som må være i denne strukturen. </w:t>
      </w:r>
      <w:r>
        <w:t xml:space="preserve">Til sist skal det </w:t>
      </w:r>
      <w:r w:rsidR="00B97D97">
        <w:t>lages endelig</w:t>
      </w:r>
      <w:r>
        <w:t>e stillingsbe</w:t>
      </w:r>
      <w:r w:rsidR="00B97D97">
        <w:t>s</w:t>
      </w:r>
      <w:r>
        <w:t>krivelser fo</w:t>
      </w:r>
      <w:r w:rsidR="00B97D97">
        <w:t xml:space="preserve">r den enkelte medarbeider. </w:t>
      </w:r>
    </w:p>
    <w:p w:rsidR="00B97D97" w:rsidRDefault="00854E0A" w:rsidP="00B97D97">
      <w:pPr>
        <w:pStyle w:val="Rentekst"/>
      </w:pPr>
      <w:r>
        <w:t xml:space="preserve">Så </w:t>
      </w:r>
      <w:r w:rsidR="00B97D97">
        <w:t xml:space="preserve">kommer også stillingsplanen på plass. </w:t>
      </w:r>
    </w:p>
    <w:p w:rsidR="00B97D97" w:rsidRDefault="00B97D97" w:rsidP="00B97D97">
      <w:pPr>
        <w:pStyle w:val="Rentekst"/>
      </w:pPr>
      <w:r>
        <w:t> </w:t>
      </w:r>
    </w:p>
    <w:p w:rsidR="00854E0A" w:rsidRDefault="00B97D97" w:rsidP="00B97D97">
      <w:pPr>
        <w:pStyle w:val="Rentekst"/>
      </w:pPr>
      <w:r>
        <w:t xml:space="preserve">Kan </w:t>
      </w:r>
      <w:r w:rsidR="00854E0A">
        <w:t xml:space="preserve">vedlagte materiale med organisasjonsplan og beskrivelser av enhetene </w:t>
      </w:r>
      <w:r>
        <w:t xml:space="preserve">vedtas </w:t>
      </w:r>
      <w:r w:rsidR="00854E0A">
        <w:t xml:space="preserve">av styret? </w:t>
      </w:r>
    </w:p>
    <w:p w:rsidR="00B97D97" w:rsidRDefault="00854E0A" w:rsidP="00B97D97">
      <w:pPr>
        <w:pStyle w:val="Rentekst"/>
      </w:pPr>
      <w:r>
        <w:t>E</w:t>
      </w:r>
      <w:r w:rsidR="00B97D97">
        <w:t>nstemmig</w:t>
      </w:r>
      <w:r>
        <w:t xml:space="preserve"> vedtatt</w:t>
      </w:r>
      <w:r w:rsidR="00B97D97">
        <w:t xml:space="preserve">. </w:t>
      </w:r>
    </w:p>
    <w:p w:rsidR="00B97D97" w:rsidRDefault="00B97D97" w:rsidP="00B97D97">
      <w:pPr>
        <w:pStyle w:val="Rentekst"/>
      </w:pPr>
      <w:r>
        <w:t> </w:t>
      </w:r>
    </w:p>
    <w:p w:rsidR="00854E0A" w:rsidRDefault="00854E0A" w:rsidP="00B97D97">
      <w:pPr>
        <w:pStyle w:val="Rentekst"/>
      </w:pPr>
    </w:p>
    <w:p w:rsidR="00854E0A" w:rsidRPr="00854E0A" w:rsidRDefault="00854E0A" w:rsidP="00B97D97">
      <w:pPr>
        <w:pStyle w:val="Rentekst"/>
        <w:rPr>
          <w:b/>
        </w:rPr>
      </w:pPr>
      <w:r>
        <w:rPr>
          <w:b/>
        </w:rPr>
        <w:t>Orienteringssak:</w:t>
      </w:r>
    </w:p>
    <w:p w:rsidR="00854E0A" w:rsidRDefault="00B97D97" w:rsidP="00B97D97">
      <w:pPr>
        <w:pStyle w:val="Rentekst"/>
      </w:pPr>
      <w:r>
        <w:t>Handlingsplanen 2014</w:t>
      </w:r>
      <w:r w:rsidR="00854E0A">
        <w:t xml:space="preserve">. </w:t>
      </w:r>
    </w:p>
    <w:p w:rsidR="00B97D97" w:rsidRDefault="00854E0A" w:rsidP="00B97D97">
      <w:pPr>
        <w:pStyle w:val="Rentekst"/>
      </w:pPr>
      <w:r>
        <w:t>N</w:t>
      </w:r>
      <w:r w:rsidR="00B97D97">
        <w:t>ormalt vært</w:t>
      </w:r>
      <w:r>
        <w:t xml:space="preserve"> arbeidet med handlingsplan vært en meget bred prosess,</w:t>
      </w:r>
      <w:r w:rsidR="00B97D97">
        <w:t xml:space="preserve"> veldig </w:t>
      </w:r>
      <w:r>
        <w:t>«</w:t>
      </w:r>
      <w:r w:rsidR="00B97D97">
        <w:t>bottom up</w:t>
      </w:r>
      <w:r>
        <w:t xml:space="preserve">».  </w:t>
      </w:r>
      <w:r w:rsidR="00B97D97">
        <w:t>I år har vi</w:t>
      </w:r>
      <w:r>
        <w:t xml:space="preserve"> pga funksjonsanalysen </w:t>
      </w:r>
      <w:r w:rsidR="00B97D97">
        <w:t>startet på koordina</w:t>
      </w:r>
      <w:r>
        <w:t>t</w:t>
      </w:r>
      <w:r w:rsidR="00B97D97">
        <w:t xml:space="preserve">ornivå. </w:t>
      </w:r>
      <w:r w:rsidR="008C7E9F">
        <w:t xml:space="preserve">De tre nivåene på VM - </w:t>
      </w:r>
      <w:r w:rsidR="00B97D97">
        <w:t>SAK, SA</w:t>
      </w:r>
      <w:r w:rsidR="008C7E9F">
        <w:t xml:space="preserve"> </w:t>
      </w:r>
      <w:r w:rsidR="00B97D97">
        <w:t>og SN har</w:t>
      </w:r>
      <w:r w:rsidR="008C7E9F">
        <w:t xml:space="preserve"> flere</w:t>
      </w:r>
      <w:r w:rsidR="00B97D97">
        <w:t xml:space="preserve"> parallelle innspill</w:t>
      </w:r>
      <w:r w:rsidR="008C7E9F">
        <w:t xml:space="preserve"> som er blitt </w:t>
      </w:r>
      <w:r w:rsidR="00B97D97">
        <w:t>fellespunkter i handlingsplanen.</w:t>
      </w:r>
      <w:r w:rsidR="008C7E9F">
        <w:t xml:space="preserve"> Dette ser vi som meget positivt. SAK</w:t>
      </w:r>
      <w:r w:rsidR="00B97D97">
        <w:t xml:space="preserve"> har ellers redusert antall handlingsplantiltak i forhold til i fjor</w:t>
      </w:r>
      <w:r w:rsidR="008C7E9F">
        <w:t xml:space="preserve"> og for </w:t>
      </w:r>
      <w:r w:rsidR="00B97D97">
        <w:t xml:space="preserve">SAK er </w:t>
      </w:r>
      <w:r w:rsidR="008C7E9F">
        <w:t xml:space="preserve">oppfølging av </w:t>
      </w:r>
      <w:r w:rsidR="00B97D97">
        <w:t>fu</w:t>
      </w:r>
      <w:r w:rsidR="008C7E9F">
        <w:t>nksjonsanalysen og forsknin</w:t>
      </w:r>
      <w:r w:rsidR="00B97D97">
        <w:t>g</w:t>
      </w:r>
      <w:r w:rsidR="008C7E9F">
        <w:t>s</w:t>
      </w:r>
      <w:r w:rsidR="00B97D97">
        <w:t>strat</w:t>
      </w:r>
      <w:r w:rsidR="008C7E9F">
        <w:t>eg</w:t>
      </w:r>
      <w:r w:rsidR="00B97D97">
        <w:t xml:space="preserve">ien veldig dominert av våre tiltak på handlingsplanen. </w:t>
      </w:r>
    </w:p>
    <w:p w:rsidR="00B97D97" w:rsidRDefault="00B97D97" w:rsidP="00B97D97">
      <w:pPr>
        <w:pStyle w:val="Rentekst"/>
      </w:pPr>
      <w:r>
        <w:t> </w:t>
      </w:r>
    </w:p>
    <w:p w:rsidR="008C7E9F" w:rsidRDefault="00B97D97" w:rsidP="00B97D97">
      <w:pPr>
        <w:pStyle w:val="Rentekst"/>
      </w:pPr>
      <w:r>
        <w:t>Kommentarer</w:t>
      </w:r>
      <w:r w:rsidR="008C7E9F">
        <w:t xml:space="preserve"> fra styret: </w:t>
      </w:r>
    </w:p>
    <w:p w:rsidR="008C7E9F" w:rsidRDefault="008C7E9F" w:rsidP="00B97D97">
      <w:pPr>
        <w:pStyle w:val="Rentekst"/>
      </w:pPr>
      <w:r>
        <w:t xml:space="preserve">Punkt </w:t>
      </w:r>
      <w:r w:rsidR="00B97D97">
        <w:t xml:space="preserve">SF 2.1.1. </w:t>
      </w:r>
      <w:r>
        <w:t>(s. 4) «SF skal utrede muligheter for bruk av 3. etg i Gunnerushuset, spesielt med tanke på presentasjon av NTNUs strategiske satsningsområder. Utredningen…………………..»</w:t>
      </w:r>
    </w:p>
    <w:p w:rsidR="00B97D97" w:rsidRDefault="008C7E9F" w:rsidP="00B97D97">
      <w:pPr>
        <w:pStyle w:val="Rentekst"/>
      </w:pPr>
      <w:r>
        <w:t xml:space="preserve">Er dette et ønske om å </w:t>
      </w:r>
      <w:r w:rsidR="00B97D97">
        <w:t>ta n</w:t>
      </w:r>
      <w:r>
        <w:t xml:space="preserve">ed hele forhistorisk utstilling? Og skal SAK delta i utredningsarbeidet? </w:t>
      </w:r>
      <w:r w:rsidR="00B97D97">
        <w:t xml:space="preserve"> </w:t>
      </w:r>
      <w:r>
        <w:t xml:space="preserve">For SAK gir en slik jobb et </w:t>
      </w:r>
      <w:r w:rsidR="00B97D97">
        <w:t xml:space="preserve">merarbeid på minimum 7 månedsverk. </w:t>
      </w:r>
      <w:r>
        <w:t xml:space="preserve">Hvem skal dekke det? Og hva med </w:t>
      </w:r>
      <w:r w:rsidR="00B97D97">
        <w:t xml:space="preserve">fremtiden for forhistorisk utstilling? Hva skal SAK gjøre? Dette er vårt fagområde, </w:t>
      </w:r>
      <w:r>
        <w:t xml:space="preserve">og utstillingen benyttes i dag bl.a. i </w:t>
      </w:r>
      <w:r w:rsidR="00B97D97">
        <w:t>undervisning</w:t>
      </w:r>
      <w:r>
        <w:t>en</w:t>
      </w:r>
      <w:r w:rsidR="00B97D97">
        <w:t xml:space="preserve"> o.l. Dette kan ikke SF alene få utrede</w:t>
      </w:r>
      <w:r>
        <w:t xml:space="preserve"> og det er ikke </w:t>
      </w:r>
      <w:r w:rsidR="00B97D97">
        <w:t xml:space="preserve">diskutert på VMs ledernivå. </w:t>
      </w:r>
      <w:r>
        <w:t xml:space="preserve">Et slikt grep kan være hugget </w:t>
      </w:r>
      <w:r w:rsidR="00963EB3">
        <w:t>for forhistorisk</w:t>
      </w:r>
      <w:r w:rsidR="00B97D97">
        <w:t xml:space="preserve"> utstilling </w:t>
      </w:r>
      <w:r>
        <w:t>i mange år fremover sett i lys av museets økonomi.  Dette punktet</w:t>
      </w:r>
      <w:r w:rsidR="00B97D97">
        <w:t xml:space="preserve"> er ikke godt nok kon</w:t>
      </w:r>
      <w:r>
        <w:t>sekvensutred</w:t>
      </w:r>
      <w:r w:rsidR="00B97D97">
        <w:t xml:space="preserve">et og dette tas med tilbake til ledermøtet. </w:t>
      </w:r>
    </w:p>
    <w:p w:rsidR="00B97D97" w:rsidRDefault="00B97D97" w:rsidP="00B97D97">
      <w:pPr>
        <w:pStyle w:val="Rentekst"/>
      </w:pPr>
      <w:r>
        <w:t> </w:t>
      </w:r>
    </w:p>
    <w:p w:rsidR="00FB50B6" w:rsidRDefault="00FB50B6" w:rsidP="00B97D97">
      <w:pPr>
        <w:pStyle w:val="Rentekst"/>
      </w:pPr>
      <w:r>
        <w:t>F3.1.1. (s.5) «NTNU Vitenskapsmuseet skal i samarbeid med NTNU Eiendom utrede alternative løsninger for magasinsituasjonen frem til 2020».</w:t>
      </w:r>
    </w:p>
    <w:p w:rsidR="00FB50B6" w:rsidRDefault="00FB50B6" w:rsidP="00B97D97">
      <w:pPr>
        <w:pStyle w:val="Rentekst"/>
      </w:pPr>
      <w:r>
        <w:t xml:space="preserve">Det ytres bekymring over at nybygg og magasin ikke speiles klarerer i </w:t>
      </w:r>
      <w:r w:rsidR="00963EB3">
        <w:t>Handlingsplanen</w:t>
      </w:r>
      <w:r>
        <w:t xml:space="preserve"> 2014. Hvor er vi egentlig? Skal vi samhandle med Mist?  Hvor er vi nå i forhold til event. fellesmagasin med</w:t>
      </w:r>
      <w:r w:rsidR="00B97D97">
        <w:t xml:space="preserve"> Mist?</w:t>
      </w:r>
      <w:r>
        <w:t xml:space="preserve"> Og hva er egentlig Kirkesamlingens fremtid?</w:t>
      </w:r>
    </w:p>
    <w:p w:rsidR="00B97D97" w:rsidRDefault="00B97D97" w:rsidP="00B97D97">
      <w:pPr>
        <w:pStyle w:val="Rentekst"/>
      </w:pPr>
      <w:r>
        <w:t>  </w:t>
      </w:r>
    </w:p>
    <w:p w:rsidR="00B97D97" w:rsidRDefault="00FB50B6" w:rsidP="00FB50B6">
      <w:pPr>
        <w:pStyle w:val="Rentekst"/>
      </w:pPr>
      <w:r>
        <w:t>«</w:t>
      </w:r>
      <w:r w:rsidR="00B97D97">
        <w:t>Kalvskinnstrandingen</w:t>
      </w:r>
      <w:r>
        <w:t>»</w:t>
      </w:r>
      <w:r w:rsidR="00B97D97">
        <w:t xml:space="preserve"> er ikke synliggjort. </w:t>
      </w:r>
      <w:r>
        <w:t xml:space="preserve">Det står i punkt F2.1.1 (s 3) at NTNU Vitenskapsmuseet skal være en tydelig aktør i arbeidet med universitetscampus og Campus Kalvskinnet, men det burde være mer markant.  </w:t>
      </w:r>
    </w:p>
    <w:p w:rsidR="00FB50B6" w:rsidRDefault="00FB50B6" w:rsidP="00FB50B6">
      <w:pPr>
        <w:pStyle w:val="Rentekst"/>
      </w:pPr>
    </w:p>
    <w:p w:rsidR="00B97D97" w:rsidRDefault="00FB50B6" w:rsidP="00B97D97">
      <w:pPr>
        <w:pStyle w:val="Rentekst"/>
      </w:pPr>
      <w:r>
        <w:t>Det poengteres at handlingsplanen skal følge opp samarbeidsavtalen</w:t>
      </w:r>
      <w:r w:rsidR="00B97D97">
        <w:t xml:space="preserve"> med Mist.</w:t>
      </w:r>
    </w:p>
    <w:p w:rsidR="00B97D97" w:rsidRDefault="00B97D97" w:rsidP="00B97D97">
      <w:pPr>
        <w:pStyle w:val="Rentekst"/>
      </w:pPr>
      <w:r>
        <w:t> </w:t>
      </w:r>
    </w:p>
    <w:p w:rsidR="00B97D97" w:rsidRDefault="00B97D97" w:rsidP="00B97D97">
      <w:pPr>
        <w:pStyle w:val="Rentekst"/>
      </w:pPr>
      <w:r>
        <w:t>Styringsdialog med Rektor</w:t>
      </w:r>
      <w:r w:rsidR="00FB50B6">
        <w:t xml:space="preserve"> høsten 2014</w:t>
      </w:r>
      <w:r>
        <w:t xml:space="preserve"> har gitt et nytt punkt</w:t>
      </w:r>
      <w:r w:rsidR="00FB50B6">
        <w:t xml:space="preserve"> på handlingsplanen (F 5.5.1, side 8)–</w:t>
      </w:r>
      <w:r>
        <w:t xml:space="preserve"> </w:t>
      </w:r>
      <w:r w:rsidR="00FB50B6">
        <w:t xml:space="preserve">det skal lages en </w:t>
      </w:r>
      <w:r>
        <w:t>beman</w:t>
      </w:r>
      <w:r w:rsidR="00FB50B6">
        <w:t>ni</w:t>
      </w:r>
      <w:r>
        <w:t>ngsplan for VM.</w:t>
      </w:r>
      <w:r w:rsidR="00FB50B6">
        <w:t xml:space="preserve"> Her vil SAK være klar i løpet av våren 2014. Under dette arbeidet skal det synliggjøres at det koster å drive museum med</w:t>
      </w:r>
      <w:r>
        <w:t xml:space="preserve"> </w:t>
      </w:r>
      <w:r w:rsidR="00FB50B6">
        <w:t>forvaltning, arkiv, magasin.</w:t>
      </w:r>
      <w:r>
        <w:t xml:space="preserve"> Vi skal skaffe finansiering til dette. </w:t>
      </w:r>
    </w:p>
    <w:p w:rsidR="00B97D97" w:rsidRDefault="00B97D97" w:rsidP="00B97D97">
      <w:pPr>
        <w:pStyle w:val="Rentekst"/>
      </w:pPr>
      <w:r>
        <w:t> </w:t>
      </w:r>
    </w:p>
    <w:p w:rsidR="00B97D97" w:rsidRDefault="00FB50B6" w:rsidP="00B97D97">
      <w:pPr>
        <w:pStyle w:val="Rentekst"/>
      </w:pPr>
      <w:r>
        <w:t xml:space="preserve">Under </w:t>
      </w:r>
      <w:r w:rsidR="00B97D97">
        <w:t>Undervisni</w:t>
      </w:r>
      <w:r>
        <w:t>n</w:t>
      </w:r>
      <w:r w:rsidR="00B97D97">
        <w:t>g</w:t>
      </w:r>
      <w:r>
        <w:t xml:space="preserve">, F 4.1.2 (s.6) SAK skal i tråd med </w:t>
      </w:r>
      <w:r w:rsidR="00963EB3">
        <w:t>samarbeidet</w:t>
      </w:r>
      <w:r>
        <w:t xml:space="preserve"> mellom arkeologi og kulturminneforvaltning drive et tverrseksjonelt forum for utvikling………….</w:t>
      </w:r>
      <w:r w:rsidR="003D74E6">
        <w:t>Hva gjøres av museet for å fø</w:t>
      </w:r>
      <w:r w:rsidR="00B97D97">
        <w:t>lge op</w:t>
      </w:r>
      <w:r w:rsidR="003D74E6">
        <w:t>p</w:t>
      </w:r>
      <w:r w:rsidR="00B97D97">
        <w:t xml:space="preserve"> dette punktet? </w:t>
      </w:r>
      <w:r w:rsidR="003D74E6">
        <w:t xml:space="preserve">Det må ansette </w:t>
      </w:r>
      <w:r w:rsidR="00B97D97">
        <w:t>folk på SF som kan</w:t>
      </w:r>
      <w:r w:rsidR="003D74E6">
        <w:t xml:space="preserve"> håndtere undervisning og formi</w:t>
      </w:r>
      <w:r w:rsidR="00B97D97">
        <w:t>d</w:t>
      </w:r>
      <w:r w:rsidR="003D74E6">
        <w:t>l</w:t>
      </w:r>
      <w:r w:rsidR="00B97D97">
        <w:t xml:space="preserve">ing. </w:t>
      </w:r>
    </w:p>
    <w:p w:rsidR="00B97D97" w:rsidRDefault="00B97D97" w:rsidP="00B97D97">
      <w:pPr>
        <w:pStyle w:val="Rentekst"/>
      </w:pPr>
      <w:r>
        <w:t> </w:t>
      </w:r>
    </w:p>
    <w:p w:rsidR="003D74E6" w:rsidRDefault="003D74E6" w:rsidP="00B97D97">
      <w:pPr>
        <w:pStyle w:val="Rentekst"/>
      </w:pPr>
    </w:p>
    <w:p w:rsidR="00B97D97" w:rsidRPr="003D74E6" w:rsidRDefault="00B97D97" w:rsidP="00B97D97">
      <w:pPr>
        <w:pStyle w:val="Rentekst"/>
        <w:rPr>
          <w:b/>
        </w:rPr>
      </w:pPr>
      <w:r w:rsidRPr="003D74E6">
        <w:rPr>
          <w:b/>
        </w:rPr>
        <w:lastRenderedPageBreak/>
        <w:t xml:space="preserve">Eventuelt. </w:t>
      </w:r>
    </w:p>
    <w:p w:rsidR="00B97D97" w:rsidRDefault="00B97D97" w:rsidP="00B97D97">
      <w:pPr>
        <w:pStyle w:val="Rentekst"/>
      </w:pPr>
      <w:r>
        <w:t> </w:t>
      </w:r>
    </w:p>
    <w:p w:rsidR="003D74E6" w:rsidRDefault="003D74E6" w:rsidP="00B97D97">
      <w:pPr>
        <w:pStyle w:val="Rentekst"/>
      </w:pPr>
      <w:r>
        <w:t xml:space="preserve">Punktet tas opp av rep. for de teknisk/adm tilsatte Jørgen Fastner: </w:t>
      </w:r>
    </w:p>
    <w:p w:rsidR="00B97D97" w:rsidRDefault="00B97D97" w:rsidP="00B97D97">
      <w:pPr>
        <w:pStyle w:val="Rentekst"/>
      </w:pPr>
      <w:r>
        <w:t>Ledelses på SAK i 2014 og fremover. Det e</w:t>
      </w:r>
      <w:r w:rsidR="003D74E6">
        <w:t>r helt stille om saken. Nå er seksjonslederne</w:t>
      </w:r>
      <w:r>
        <w:t xml:space="preserve"> prolongert </w:t>
      </w:r>
      <w:r w:rsidR="003D74E6">
        <w:t>frem til 01.09</w:t>
      </w:r>
      <w:r>
        <w:t xml:space="preserve">.14. </w:t>
      </w:r>
      <w:r w:rsidR="003D74E6">
        <w:t xml:space="preserve">For SAK handler dette om vår </w:t>
      </w:r>
      <w:r>
        <w:t>lederstilling</w:t>
      </w:r>
      <w:r w:rsidR="003D74E6">
        <w:t xml:space="preserve"> og det er for oss en meget viktig sak. St</w:t>
      </w:r>
      <w:r>
        <w:t>y</w:t>
      </w:r>
      <w:r w:rsidR="003D74E6">
        <w:t>r</w:t>
      </w:r>
      <w:r>
        <w:t>et må f</w:t>
      </w:r>
      <w:r w:rsidR="003D74E6">
        <w:t>å dette frem til museums</w:t>
      </w:r>
      <w:r>
        <w:t>ledelsen.</w:t>
      </w:r>
      <w:r w:rsidR="003D74E6">
        <w:t xml:space="preserve"> Ansatte stiller seg spørsmålet om det er en del av et </w:t>
      </w:r>
      <w:r>
        <w:t>økono</w:t>
      </w:r>
      <w:r w:rsidR="003D74E6">
        <w:t>misk «opplegg»?</w:t>
      </w:r>
      <w:r>
        <w:t xml:space="preserve"> </w:t>
      </w:r>
    </w:p>
    <w:p w:rsidR="00B97D97" w:rsidRDefault="00B97D97" w:rsidP="00B97D97">
      <w:pPr>
        <w:pStyle w:val="Rentekst"/>
      </w:pPr>
      <w:r>
        <w:t> </w:t>
      </w:r>
    </w:p>
    <w:p w:rsidR="00B97D97" w:rsidRDefault="003D74E6" w:rsidP="00B97D97">
      <w:pPr>
        <w:pStyle w:val="Rentekst"/>
      </w:pPr>
      <w:r>
        <w:t xml:space="preserve">Styret ber om at dette </w:t>
      </w:r>
      <w:r w:rsidR="00B97D97">
        <w:t xml:space="preserve">prioriteres og at </w:t>
      </w:r>
      <w:r>
        <w:t xml:space="preserve">de </w:t>
      </w:r>
      <w:r w:rsidR="00B97D97">
        <w:t>ansatte informeres</w:t>
      </w:r>
      <w:r>
        <w:t xml:space="preserve"> om fremdriftsplan og arbeid med saken</w:t>
      </w:r>
      <w:r w:rsidR="00B97D97">
        <w:t xml:space="preserve">. </w:t>
      </w:r>
      <w:r>
        <w:t xml:space="preserve">Det må komme mer informasjon enn at seksjonslederne nå er prolongert. </w:t>
      </w:r>
      <w:r w:rsidR="00B97D97">
        <w:t> </w:t>
      </w:r>
    </w:p>
    <w:p w:rsidR="003D74E6" w:rsidRDefault="003D74E6" w:rsidP="00B97D97">
      <w:pPr>
        <w:pStyle w:val="Rentekst"/>
      </w:pPr>
    </w:p>
    <w:p w:rsidR="003D74E6" w:rsidRDefault="003D74E6" w:rsidP="00B97D97">
      <w:pPr>
        <w:pStyle w:val="Rentekst"/>
      </w:pPr>
    </w:p>
    <w:p w:rsidR="00B97D97" w:rsidRDefault="003D74E6" w:rsidP="00B97D97">
      <w:pPr>
        <w:pStyle w:val="Rentekst"/>
      </w:pPr>
      <w:r>
        <w:t>Referat. Marianne Utne Nilsen</w:t>
      </w:r>
      <w:r w:rsidR="00B97D97">
        <w:t> </w:t>
      </w:r>
    </w:p>
    <w:p w:rsidR="00B97D97" w:rsidRDefault="00B97D97" w:rsidP="00B97D97">
      <w:pPr>
        <w:pStyle w:val="Rentekst"/>
      </w:pPr>
      <w:r>
        <w:t> </w:t>
      </w:r>
    </w:p>
    <w:p w:rsidR="00B97D97" w:rsidRDefault="00B97D97" w:rsidP="00B97D97">
      <w:pPr>
        <w:pStyle w:val="Rentekst"/>
      </w:pPr>
      <w:r>
        <w:t> </w:t>
      </w:r>
    </w:p>
    <w:p w:rsidR="00B97D97" w:rsidRDefault="00B97D97" w:rsidP="00B97D97">
      <w:pPr>
        <w:pStyle w:val="Rentekst"/>
      </w:pPr>
    </w:p>
    <w:sectPr w:rsidR="00B97D97">
      <w:headerReference w:type="default" r:id="rId6"/>
      <w:headerReference w:type="first" r:id="rId7"/>
      <w:footerReference w:type="first" r:id="rId8"/>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97" w:rsidRDefault="00B97D97">
      <w:r>
        <w:separator/>
      </w:r>
    </w:p>
  </w:endnote>
  <w:endnote w:type="continuationSeparator" w:id="0">
    <w:p w:rsidR="00B97D97" w:rsidRDefault="00B9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8D2BF8">
    <w:pPr>
      <w:pStyle w:val="Bunntekst"/>
      <w:pBdr>
        <w:bottom w:val="single" w:sz="4" w:space="1" w:color="auto"/>
      </w:pBdr>
    </w:pPr>
  </w:p>
  <w:p w:rsidR="008D2BF8" w:rsidRDefault="008D2BF8">
    <w:pPr>
      <w:pStyle w:val="FooterFet"/>
      <w:rPr>
        <w:bCs/>
      </w:rPr>
    </w:pPr>
    <w:r>
      <w:t>Postadresse</w:t>
    </w:r>
    <w:r>
      <w:tab/>
      <w:t xml:space="preserve">Org.nr. </w:t>
    </w:r>
    <w:r>
      <w:rPr>
        <w:b w:val="0"/>
        <w:bCs/>
      </w:rPr>
      <w:t>974 767 880</w:t>
    </w:r>
    <w:r>
      <w:rPr>
        <w:bCs/>
      </w:rPr>
      <w:tab/>
    </w:r>
    <w:r>
      <w:t>Besøksadresse</w:t>
    </w:r>
    <w:r>
      <w:tab/>
      <w:t>Telefon</w:t>
    </w:r>
    <w:r>
      <w:tab/>
    </w:r>
    <w:bookmarkStart w:id="6" w:name="tittel"/>
    <w:bookmarkEnd w:id="6"/>
  </w:p>
  <w:p w:rsidR="008D2BF8" w:rsidRDefault="00D308F2">
    <w:pPr>
      <w:pStyle w:val="FooterTekst"/>
    </w:pPr>
    <w:r>
      <w:t>7491 Trondheim</w:t>
    </w:r>
    <w:r w:rsidR="008D2BF8">
      <w:tab/>
      <w:t>E-post:</w:t>
    </w:r>
    <w:r w:rsidR="008D2BF8">
      <w:tab/>
    </w:r>
    <w:r>
      <w:t>Erling Skakkes gate 47b</w:t>
    </w:r>
    <w:r w:rsidR="008D2BF8">
      <w:tab/>
      <w:t xml:space="preserve">+ 47 </w:t>
    </w:r>
    <w:r>
      <w:t>73 59 21 70</w:t>
    </w:r>
    <w:r w:rsidR="008D2BF8">
      <w:tab/>
    </w:r>
    <w:bookmarkStart w:id="7" w:name="Navn"/>
    <w:bookmarkEnd w:id="7"/>
  </w:p>
  <w:p w:rsidR="008D2BF8" w:rsidRDefault="008D2BF8">
    <w:pPr>
      <w:pStyle w:val="FooterTekst"/>
    </w:pPr>
    <w:r>
      <w:tab/>
    </w:r>
    <w:r w:rsidR="00D308F2">
      <w:t>Arkeologi@vm.ntnu.no</w:t>
    </w:r>
    <w:r>
      <w:tab/>
    </w:r>
    <w:r w:rsidR="00D308F2">
      <w:t>Trondheim</w:t>
    </w:r>
    <w:r>
      <w:tab/>
    </w:r>
    <w:r>
      <w:rPr>
        <w:rFonts w:ascii="Arial" w:hAnsi="Arial"/>
        <w:b/>
      </w:rPr>
      <w:t>Telefaks</w:t>
    </w:r>
    <w:r>
      <w:tab/>
    </w:r>
    <w:bookmarkStart w:id="8" w:name="Navn2"/>
    <w:bookmarkEnd w:id="8"/>
  </w:p>
  <w:p w:rsidR="008D2BF8" w:rsidRDefault="00D308F2">
    <w:pPr>
      <w:pStyle w:val="FooterTekst"/>
    </w:pPr>
    <w:r>
      <w:t>Årets museum i Norge 2010</w:t>
    </w:r>
    <w:r w:rsidR="008D2BF8">
      <w:tab/>
      <w:t>http://</w:t>
    </w:r>
    <w:r>
      <w:t>www.ntnu.no/vitenskapsmuseet</w:t>
    </w:r>
    <w:r w:rsidR="008D2BF8">
      <w:tab/>
    </w:r>
    <w:r w:rsidR="008D2BF8">
      <w:tab/>
      <w:t xml:space="preserve">+ 47 </w:t>
    </w:r>
    <w:r>
      <w:t>73 59 22 38</w:t>
    </w:r>
    <w:r w:rsidR="008D2BF8">
      <w:tab/>
      <w:t xml:space="preserve">Tlf: + 47 </w:t>
    </w:r>
    <w:bookmarkStart w:id="9" w:name="Tlf"/>
    <w:bookmarkEnd w:id="9"/>
  </w:p>
  <w:p w:rsidR="008D2BF8" w:rsidRDefault="008D2BF8">
    <w:pPr>
      <w:pStyle w:val="Bunntekst"/>
      <w:rPr>
        <w:sz w:val="6"/>
        <w:lang w:val="nb-NO"/>
      </w:rPr>
    </w:pPr>
  </w:p>
  <w:p w:rsidR="008D2BF8" w:rsidRDefault="008D2BF8">
    <w:pPr>
      <w:pStyle w:val="FooterGraa"/>
    </w:pPr>
    <w:r>
      <w:t>All korrespondanse som inngår i saksbehandling skal adresseres til saksbehandlende enhet ved NTNU og ikke direkte til enkeltpersoner. Ved henvendelse vennligst oppgi referanse.</w:t>
    </w:r>
  </w:p>
  <w:p w:rsidR="008D2BF8" w:rsidRDefault="008D2BF8">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97" w:rsidRDefault="00B97D97">
      <w:r>
        <w:separator/>
      </w:r>
    </w:p>
  </w:footnote>
  <w:footnote w:type="continuationSeparator" w:id="0">
    <w:p w:rsidR="00B97D97" w:rsidRDefault="00B97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8D2BF8">
    <w:pPr>
      <w:pStyle w:val="sidetall"/>
    </w:pPr>
    <w:r>
      <w:tab/>
    </w:r>
    <w:r>
      <w:tab/>
    </w:r>
    <w:r>
      <w:fldChar w:fldCharType="begin"/>
    </w:r>
    <w:r>
      <w:instrText xml:space="preserve"> PAGE </w:instrText>
    </w:r>
    <w:r>
      <w:fldChar w:fldCharType="separate"/>
    </w:r>
    <w:r w:rsidR="00963EB3">
      <w:t>5</w:t>
    </w:r>
    <w:r>
      <w:fldChar w:fldCharType="end"/>
    </w:r>
    <w:r>
      <w:t xml:space="preserve"> av </w:t>
    </w:r>
    <w:r>
      <w:fldChar w:fldCharType="begin"/>
    </w:r>
    <w:r>
      <w:instrText xml:space="preserve"> NUMPAGES </w:instrText>
    </w:r>
    <w:r>
      <w:fldChar w:fldCharType="separate"/>
    </w:r>
    <w:r w:rsidR="00963EB3">
      <w:t>6</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8D2BF8">
      <w:tblPrEx>
        <w:tblCellMar>
          <w:top w:w="0" w:type="dxa"/>
          <w:bottom w:w="0" w:type="dxa"/>
        </w:tblCellMar>
      </w:tblPrEx>
      <w:tc>
        <w:tcPr>
          <w:tcW w:w="6579" w:type="dxa"/>
          <w:tcBorders>
            <w:top w:val="nil"/>
            <w:left w:val="nil"/>
            <w:bottom w:val="nil"/>
            <w:right w:val="nil"/>
          </w:tcBorders>
        </w:tcPr>
        <w:p w:rsidR="008D2BF8" w:rsidRDefault="008D2BF8">
          <w:pPr>
            <w:pStyle w:val="Header2"/>
          </w:pPr>
          <w:r>
            <w:t>Norges teknisk-naturvitenskapelige universitet</w:t>
          </w:r>
        </w:p>
      </w:tc>
      <w:tc>
        <w:tcPr>
          <w:tcW w:w="1341" w:type="dxa"/>
          <w:tcBorders>
            <w:top w:val="nil"/>
            <w:left w:val="nil"/>
            <w:bottom w:val="nil"/>
            <w:right w:val="nil"/>
          </w:tcBorders>
        </w:tcPr>
        <w:p w:rsidR="008D2BF8" w:rsidRDefault="008D2BF8">
          <w:pPr>
            <w:pStyle w:val="DatoRefTekst"/>
          </w:pPr>
          <w:r>
            <w:t>Dato</w:t>
          </w:r>
        </w:p>
        <w:p w:rsidR="008D2BF8" w:rsidRDefault="00B97D97">
          <w:pPr>
            <w:pStyle w:val="DatoRefFyllInn"/>
          </w:pPr>
          <w:bookmarkStart w:id="2" w:name="VarDato2"/>
          <w:bookmarkEnd w:id="2"/>
          <w:r>
            <w:t>17.12.2013</w:t>
          </w:r>
        </w:p>
      </w:tc>
      <w:tc>
        <w:tcPr>
          <w:tcW w:w="1996" w:type="dxa"/>
          <w:tcBorders>
            <w:top w:val="nil"/>
            <w:left w:val="nil"/>
            <w:bottom w:val="nil"/>
            <w:right w:val="nil"/>
          </w:tcBorders>
        </w:tcPr>
        <w:p w:rsidR="008D2BF8" w:rsidRDefault="008D2BF8">
          <w:pPr>
            <w:pStyle w:val="DatoRefTekst"/>
          </w:pPr>
          <w:r>
            <w:t>Referanse</w:t>
          </w:r>
        </w:p>
        <w:p w:rsidR="008D2BF8" w:rsidRDefault="008018D1">
          <w:pPr>
            <w:pStyle w:val="DatoRefFyllInn"/>
          </w:pPr>
          <w:bookmarkStart w:id="3" w:name="VarRef2"/>
          <w:bookmarkEnd w:id="3"/>
          <w:r>
            <w:t>2010/6689</w:t>
          </w:r>
        </w:p>
      </w:tc>
    </w:tr>
  </w:tbl>
  <w:p w:rsidR="008D2BF8" w:rsidRDefault="008D2BF8">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8D2BF8">
    <w:pPr>
      <w:pStyle w:val="sidetall"/>
    </w:pPr>
    <w:r>
      <w:rPr>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25pt;margin-top:1.4pt;width:129.75pt;height:24pt;z-index:251657728">
          <v:imagedata r:id="rId1" o:title="Logofarge8_5mm"/>
        </v:shape>
      </w:pict>
    </w:r>
    <w:r>
      <w:tab/>
    </w:r>
    <w:r>
      <w:tab/>
    </w:r>
    <w:r>
      <w:tab/>
    </w:r>
    <w:r>
      <w:fldChar w:fldCharType="begin"/>
    </w:r>
    <w:r>
      <w:instrText xml:space="preserve"> PAGE </w:instrText>
    </w:r>
    <w:r>
      <w:fldChar w:fldCharType="separate"/>
    </w:r>
    <w:r w:rsidR="00963EB3">
      <w:t>1</w:t>
    </w:r>
    <w:r>
      <w:fldChar w:fldCharType="end"/>
    </w:r>
    <w:r>
      <w:t xml:space="preserve"> av </w:t>
    </w:r>
    <w:r>
      <w:fldChar w:fldCharType="begin"/>
    </w:r>
    <w:r>
      <w:instrText xml:space="preserve"> NUMPAGES </w:instrText>
    </w:r>
    <w:r>
      <w:fldChar w:fldCharType="separate"/>
    </w:r>
    <w:r w:rsidR="00963EB3">
      <w:t>6</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8D2BF8">
      <w:tblPrEx>
        <w:tblCellMar>
          <w:top w:w="0" w:type="dxa"/>
          <w:bottom w:w="0" w:type="dxa"/>
        </w:tblCellMar>
      </w:tblPrEx>
      <w:tc>
        <w:tcPr>
          <w:tcW w:w="6579" w:type="dxa"/>
          <w:tcBorders>
            <w:top w:val="nil"/>
            <w:left w:val="nil"/>
            <w:bottom w:val="nil"/>
            <w:right w:val="nil"/>
          </w:tcBorders>
        </w:tcPr>
        <w:p w:rsidR="008D2BF8" w:rsidRDefault="008D2BF8">
          <w:pPr>
            <w:pStyle w:val="Topptekst"/>
            <w:rPr>
              <w:lang w:val="nb-NO"/>
            </w:rPr>
          </w:pPr>
        </w:p>
      </w:tc>
      <w:tc>
        <w:tcPr>
          <w:tcW w:w="1341" w:type="dxa"/>
          <w:tcBorders>
            <w:top w:val="nil"/>
            <w:left w:val="nil"/>
            <w:bottom w:val="nil"/>
            <w:right w:val="nil"/>
          </w:tcBorders>
        </w:tcPr>
        <w:p w:rsidR="008D2BF8" w:rsidRDefault="008D2BF8">
          <w:pPr>
            <w:pStyle w:val="DatoRefTekst"/>
          </w:pPr>
        </w:p>
        <w:p w:rsidR="008D2BF8" w:rsidRDefault="008D2BF8">
          <w:pPr>
            <w:pStyle w:val="DatoFyllInn1"/>
          </w:pPr>
        </w:p>
      </w:tc>
      <w:tc>
        <w:tcPr>
          <w:tcW w:w="1996" w:type="dxa"/>
          <w:tcBorders>
            <w:top w:val="nil"/>
            <w:left w:val="nil"/>
            <w:bottom w:val="nil"/>
            <w:right w:val="nil"/>
          </w:tcBorders>
        </w:tcPr>
        <w:p w:rsidR="008D2BF8" w:rsidRDefault="008D2BF8">
          <w:pPr>
            <w:pStyle w:val="DatoRefTekst"/>
          </w:pPr>
        </w:p>
      </w:tc>
    </w:tr>
    <w:tr w:rsidR="008D2BF8">
      <w:tblPrEx>
        <w:tblCellMar>
          <w:top w:w="0" w:type="dxa"/>
          <w:bottom w:w="0" w:type="dxa"/>
        </w:tblCellMar>
      </w:tblPrEx>
      <w:tc>
        <w:tcPr>
          <w:tcW w:w="6579" w:type="dxa"/>
          <w:tcBorders>
            <w:top w:val="nil"/>
            <w:left w:val="nil"/>
            <w:bottom w:val="nil"/>
            <w:right w:val="nil"/>
          </w:tcBorders>
        </w:tcPr>
        <w:p w:rsidR="008D2BF8" w:rsidRDefault="00D308F2">
          <w:pPr>
            <w:pStyle w:val="Header1"/>
          </w:pPr>
          <w:r>
            <w:t xml:space="preserve">Vitenskapsmuseet </w:t>
          </w:r>
        </w:p>
        <w:p w:rsidR="008D2BF8" w:rsidRDefault="00D308F2">
          <w:pPr>
            <w:pStyle w:val="Header1"/>
          </w:pPr>
          <w:r>
            <w:t xml:space="preserve">Seksjon for arkeologi og kulturhistorie </w:t>
          </w:r>
        </w:p>
      </w:tc>
      <w:tc>
        <w:tcPr>
          <w:tcW w:w="1341" w:type="dxa"/>
          <w:tcBorders>
            <w:top w:val="nil"/>
            <w:left w:val="nil"/>
            <w:bottom w:val="nil"/>
            <w:right w:val="nil"/>
          </w:tcBorders>
        </w:tcPr>
        <w:p w:rsidR="008D2BF8" w:rsidRDefault="008D2BF8">
          <w:pPr>
            <w:pStyle w:val="DatoRefTekst2"/>
          </w:pPr>
          <w:r>
            <w:t>Dato</w:t>
          </w:r>
        </w:p>
        <w:p w:rsidR="008D2BF8" w:rsidRDefault="00B97D97">
          <w:pPr>
            <w:pStyle w:val="DatoRefFyllInn"/>
          </w:pPr>
          <w:bookmarkStart w:id="4" w:name="VarDato"/>
          <w:bookmarkEnd w:id="4"/>
          <w:r>
            <w:t>17.12.2013</w:t>
          </w:r>
        </w:p>
      </w:tc>
      <w:tc>
        <w:tcPr>
          <w:tcW w:w="1996" w:type="dxa"/>
          <w:tcBorders>
            <w:top w:val="nil"/>
            <w:left w:val="nil"/>
            <w:bottom w:val="nil"/>
            <w:right w:val="nil"/>
          </w:tcBorders>
        </w:tcPr>
        <w:p w:rsidR="008D2BF8" w:rsidRDefault="008D2BF8">
          <w:pPr>
            <w:pStyle w:val="DatoRefTekst2"/>
          </w:pPr>
          <w:r>
            <w:t>Referanse</w:t>
          </w:r>
        </w:p>
        <w:p w:rsidR="008D2BF8" w:rsidRDefault="008018D1">
          <w:pPr>
            <w:pStyle w:val="DatoRefFyllInn"/>
          </w:pPr>
          <w:bookmarkStart w:id="5" w:name="VarRef"/>
          <w:bookmarkEnd w:id="5"/>
          <w:r>
            <w:t>2010/6689</w:t>
          </w:r>
        </w:p>
      </w:tc>
    </w:tr>
  </w:tbl>
  <w:p w:rsidR="008D2BF8" w:rsidRDefault="008D2BF8">
    <w:pPr>
      <w:pStyle w:val="Topptekst"/>
      <w:pBdr>
        <w:bottom w:val="single" w:sz="4" w:space="1" w:color="auto"/>
      </w:pBdr>
      <w:rPr>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D97"/>
    <w:rsid w:val="00351E75"/>
    <w:rsid w:val="00393D43"/>
    <w:rsid w:val="003D74E6"/>
    <w:rsid w:val="00745D75"/>
    <w:rsid w:val="007F7B69"/>
    <w:rsid w:val="008018D1"/>
    <w:rsid w:val="0082772C"/>
    <w:rsid w:val="00854E0A"/>
    <w:rsid w:val="00871FA1"/>
    <w:rsid w:val="008C7E9F"/>
    <w:rsid w:val="008D2BF8"/>
    <w:rsid w:val="00963EB3"/>
    <w:rsid w:val="009E1C59"/>
    <w:rsid w:val="00B97D97"/>
    <w:rsid w:val="00D308F2"/>
    <w:rsid w:val="00E16045"/>
    <w:rsid w:val="00E72656"/>
    <w:rsid w:val="00EB4DC2"/>
    <w:rsid w:val="00FB50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Rentekst">
    <w:name w:val="Plain Text"/>
    <w:basedOn w:val="Normal"/>
    <w:link w:val="RentekstTegn"/>
    <w:uiPriority w:val="99"/>
    <w:unhideWhenUsed/>
    <w:rsid w:val="00B97D97"/>
    <w:pPr>
      <w:spacing w:after="0"/>
      <w:ind w:left="0" w:right="0"/>
    </w:pPr>
    <w:rPr>
      <w:rFonts w:ascii="Calibri" w:eastAsia="Calibri" w:hAnsi="Calibri" w:cs="Calibri"/>
      <w:sz w:val="22"/>
      <w:szCs w:val="22"/>
      <w:lang w:val="nb-NO"/>
    </w:rPr>
  </w:style>
  <w:style w:type="character" w:customStyle="1" w:styleId="RentekstTegn">
    <w:name w:val="Ren tekst Tegn"/>
    <w:basedOn w:val="Standardskriftforavsnitt"/>
    <w:link w:val="Rentekst"/>
    <w:uiPriority w:val="99"/>
    <w:rsid w:val="00B97D97"/>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vm\Felles\Maler\ark\b_ref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b_refer</Template>
  <TotalTime>81</TotalTime>
  <Pages>6</Pages>
  <Words>2248</Words>
  <Characters>11918</Characters>
  <Application>Microsoft Office Word</Application>
  <DocSecurity>0</DocSecurity>
  <Lines>99</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Marianne Utne Nilsen</dc:creator>
  <cp:lastModifiedBy>Marianne Utne Nilsen</cp:lastModifiedBy>
  <cp:revision>4</cp:revision>
  <cp:lastPrinted>2005-07-27T08:59:00Z</cp:lastPrinted>
  <dcterms:created xsi:type="dcterms:W3CDTF">2013-12-17T09:36:00Z</dcterms:created>
  <dcterms:modified xsi:type="dcterms:W3CDTF">2013-12-17T14:27:00Z</dcterms:modified>
</cp:coreProperties>
</file>